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5E41EF" w14:paraId="30C8DCB2" w14:textId="77777777" w:rsidTr="0080079E">
        <w:trPr>
          <w:cantSplit/>
        </w:trPr>
        <w:tc>
          <w:tcPr>
            <w:tcW w:w="1418" w:type="dxa"/>
            <w:vAlign w:val="center"/>
          </w:tcPr>
          <w:p w14:paraId="3BBE3B8B" w14:textId="77777777" w:rsidR="0080079E" w:rsidRPr="005E41EF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5E41EF">
              <w:rPr>
                <w:noProof/>
                <w:lang w:val="en-US"/>
              </w:rPr>
              <w:drawing>
                <wp:inline distT="0" distB="0" distL="0" distR="0" wp14:anchorId="166A9A38" wp14:editId="12AB24F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BFF208F" w14:textId="770FB477" w:rsidR="0080079E" w:rsidRPr="005E41EF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E41E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5E41E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5E41EF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 xml:space="preserve">Dubái, 20 de noviembre </w:t>
            </w:r>
            <w:r w:rsidR="0089026F" w:rsidRPr="0089026F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–</w:t>
            </w:r>
            <w:r w:rsidRPr="005E41EF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5590D85A" w14:textId="77777777" w:rsidR="0080079E" w:rsidRPr="005E41EF" w:rsidRDefault="0080079E" w:rsidP="0080079E">
            <w:pPr>
              <w:spacing w:before="0" w:line="240" w:lineRule="atLeast"/>
              <w:rPr>
                <w:lang w:val="es-ES"/>
              </w:rPr>
            </w:pPr>
            <w:r w:rsidRPr="005E41EF">
              <w:rPr>
                <w:noProof/>
                <w:lang w:val="en-US"/>
              </w:rPr>
              <w:drawing>
                <wp:inline distT="0" distB="0" distL="0" distR="0" wp14:anchorId="4AB52025" wp14:editId="219F092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E41EF" w14:paraId="41B6829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C77700" w14:textId="77777777" w:rsidR="0090121B" w:rsidRPr="005E41E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32D08C7" w14:textId="77777777" w:rsidR="0090121B" w:rsidRPr="005E41E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E41EF" w14:paraId="6EBD60D0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1BD0C4A" w14:textId="77777777" w:rsidR="0090121B" w:rsidRPr="005E41E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C8D2B28" w14:textId="77777777" w:rsidR="0090121B" w:rsidRPr="005E41EF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E41EF" w14:paraId="7BB85B5D" w14:textId="77777777" w:rsidTr="0090121B">
        <w:trPr>
          <w:cantSplit/>
        </w:trPr>
        <w:tc>
          <w:tcPr>
            <w:tcW w:w="6911" w:type="dxa"/>
            <w:gridSpan w:val="2"/>
          </w:tcPr>
          <w:p w14:paraId="7238101C" w14:textId="77777777" w:rsidR="0090121B" w:rsidRPr="005E41E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5E41EF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BCEE872" w14:textId="471C6716" w:rsidR="0090121B" w:rsidRPr="005E41EF" w:rsidRDefault="005E41E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E41EF">
              <w:rPr>
                <w:rFonts w:ascii="Verdana" w:hAnsi="Verdana"/>
                <w:b/>
                <w:sz w:val="18"/>
                <w:szCs w:val="18"/>
                <w:lang w:val="es-ES"/>
              </w:rPr>
              <w:t>Document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o</w:t>
            </w:r>
            <w:r w:rsidRPr="005E41E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206-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5E41EF" w14:paraId="667C635D" w14:textId="77777777" w:rsidTr="0090121B">
        <w:trPr>
          <w:cantSplit/>
        </w:trPr>
        <w:tc>
          <w:tcPr>
            <w:tcW w:w="6911" w:type="dxa"/>
            <w:gridSpan w:val="2"/>
          </w:tcPr>
          <w:p w14:paraId="6A960C06" w14:textId="77777777" w:rsidR="000A5B9A" w:rsidRPr="005E41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9582B28" w14:textId="1B2D135F" w:rsidR="000A5B9A" w:rsidRPr="005E41EF" w:rsidRDefault="005E41EF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8</w:t>
            </w:r>
            <w:r w:rsidR="000A5B9A" w:rsidRPr="005E41E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de 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noviembre</w:t>
            </w:r>
            <w:r w:rsidR="000A5B9A" w:rsidRPr="005E41E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de 2023</w:t>
            </w:r>
          </w:p>
        </w:tc>
      </w:tr>
      <w:tr w:rsidR="000A5B9A" w:rsidRPr="005E41EF" w14:paraId="7A932250" w14:textId="77777777" w:rsidTr="0090121B">
        <w:trPr>
          <w:cantSplit/>
        </w:trPr>
        <w:tc>
          <w:tcPr>
            <w:tcW w:w="6911" w:type="dxa"/>
            <w:gridSpan w:val="2"/>
          </w:tcPr>
          <w:p w14:paraId="4CFCCBB7" w14:textId="77777777" w:rsidR="000A5B9A" w:rsidRPr="005E41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91FF8A9" w14:textId="33C6AF0E" w:rsidR="000A5B9A" w:rsidRPr="005E41E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E41E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Original: </w:t>
            </w:r>
            <w:r w:rsidR="005E41EF">
              <w:rPr>
                <w:rFonts w:ascii="Verdana" w:hAnsi="Verdana"/>
                <w:b/>
                <w:sz w:val="18"/>
                <w:szCs w:val="18"/>
                <w:lang w:val="es-ES"/>
              </w:rPr>
              <w:t>inglés</w:t>
            </w:r>
          </w:p>
        </w:tc>
      </w:tr>
      <w:tr w:rsidR="000A5B9A" w:rsidRPr="005E41EF" w14:paraId="652A73EF" w14:textId="77777777" w:rsidTr="006744FC">
        <w:trPr>
          <w:cantSplit/>
        </w:trPr>
        <w:tc>
          <w:tcPr>
            <w:tcW w:w="10031" w:type="dxa"/>
            <w:gridSpan w:val="4"/>
          </w:tcPr>
          <w:p w14:paraId="79985CBB" w14:textId="77777777" w:rsidR="000A5B9A" w:rsidRPr="005E41E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E41EF" w14:paraId="4825CE9A" w14:textId="77777777" w:rsidTr="0050008E">
        <w:trPr>
          <w:cantSplit/>
        </w:trPr>
        <w:tc>
          <w:tcPr>
            <w:tcW w:w="10031" w:type="dxa"/>
            <w:gridSpan w:val="4"/>
          </w:tcPr>
          <w:p w14:paraId="28AE775C" w14:textId="4FB31B6E" w:rsidR="000A5B9A" w:rsidRPr="005E41EF" w:rsidRDefault="005E41EF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5E41EF">
              <w:rPr>
                <w:lang w:val="es-ES"/>
              </w:rPr>
              <w:t>Nota de la Secretaria General</w:t>
            </w:r>
          </w:p>
        </w:tc>
      </w:tr>
      <w:tr w:rsidR="000A5B9A" w:rsidRPr="005E41EF" w14:paraId="0C281356" w14:textId="77777777" w:rsidTr="0050008E">
        <w:trPr>
          <w:cantSplit/>
        </w:trPr>
        <w:tc>
          <w:tcPr>
            <w:tcW w:w="10031" w:type="dxa"/>
            <w:gridSpan w:val="4"/>
          </w:tcPr>
          <w:p w14:paraId="6D73BD0A" w14:textId="6F184937" w:rsidR="000A5B9A" w:rsidRPr="005E41EF" w:rsidRDefault="005E41EF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5E41EF">
              <w:rPr>
                <w:lang w:val="es-ES"/>
              </w:rPr>
              <w:t>RESOLUCIÓN 216 (BUCAREST, 2022)</w:t>
            </w:r>
          </w:p>
        </w:tc>
      </w:tr>
      <w:tr w:rsidR="000A5B9A" w:rsidRPr="005E41EF" w14:paraId="0C3BE448" w14:textId="77777777" w:rsidTr="0050008E">
        <w:trPr>
          <w:cantSplit/>
        </w:trPr>
        <w:tc>
          <w:tcPr>
            <w:tcW w:w="10031" w:type="dxa"/>
            <w:gridSpan w:val="4"/>
          </w:tcPr>
          <w:p w14:paraId="787A7087" w14:textId="77777777" w:rsidR="000A5B9A" w:rsidRPr="005E41EF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5E41EF" w14:paraId="5D000C3F" w14:textId="77777777" w:rsidTr="0050008E">
        <w:trPr>
          <w:cantSplit/>
        </w:trPr>
        <w:tc>
          <w:tcPr>
            <w:tcW w:w="10031" w:type="dxa"/>
            <w:gridSpan w:val="4"/>
          </w:tcPr>
          <w:p w14:paraId="70B14DBC" w14:textId="11BDA30B" w:rsidR="000A5B9A" w:rsidRPr="005E41EF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</w:p>
        </w:tc>
      </w:tr>
    </w:tbl>
    <w:bookmarkEnd w:id="4"/>
    <w:p w14:paraId="7AE6B4C3" w14:textId="4F92D432" w:rsidR="005E41EF" w:rsidRPr="00BF1BD1" w:rsidRDefault="005E41EF" w:rsidP="00AB6EFF">
      <w:pPr>
        <w:pStyle w:val="Normalaftertitle"/>
      </w:pPr>
      <w:r w:rsidRPr="005E41EF">
        <w:rPr>
          <w:lang w:val="es-ES"/>
        </w:rPr>
        <w:t xml:space="preserve">Se </w:t>
      </w:r>
      <w:r w:rsidR="00772616" w:rsidRPr="005E41EF">
        <w:rPr>
          <w:lang w:val="es-ES"/>
        </w:rPr>
        <w:t>señal</w:t>
      </w:r>
      <w:r w:rsidR="00772616">
        <w:rPr>
          <w:lang w:val="es-ES"/>
        </w:rPr>
        <w:t>a</w:t>
      </w:r>
      <w:r w:rsidR="00772616" w:rsidRPr="005E41EF">
        <w:rPr>
          <w:lang w:val="es-ES"/>
        </w:rPr>
        <w:t xml:space="preserve"> a la atención de la </w:t>
      </w:r>
      <w:r w:rsidRPr="005E41EF">
        <w:rPr>
          <w:lang w:val="es-ES"/>
        </w:rPr>
        <w:t xml:space="preserve">CMR-23 la Resolución 216 (Bucarest, 2022) de la Conferencia de Plenipotenciarios de la UIT, de conformidad con </w:t>
      </w:r>
      <w:r>
        <w:rPr>
          <w:lang w:val="es-ES"/>
        </w:rPr>
        <w:t xml:space="preserve">el </w:t>
      </w:r>
      <w:r w:rsidRPr="005E41EF">
        <w:rPr>
          <w:i/>
          <w:iCs/>
          <w:lang w:val="es-ES"/>
        </w:rPr>
        <w:t>encarga al Secretario General</w:t>
      </w:r>
      <w:r w:rsidRPr="005E41EF">
        <w:rPr>
          <w:lang w:val="es-ES"/>
        </w:rPr>
        <w:t xml:space="preserve"> 1 de dicha Resolución. La Resolución está incluida en la publicación de la UIT «</w:t>
      </w:r>
      <w:hyperlink r:id="rId14" w:history="1">
        <w:r w:rsidRPr="005E41EF">
          <w:rPr>
            <w:rStyle w:val="Hyperlink"/>
            <w:lang w:val="es-ES"/>
          </w:rPr>
          <w:t>Conj</w:t>
        </w:r>
        <w:r w:rsidRPr="005E41EF">
          <w:rPr>
            <w:rStyle w:val="Hyperlink"/>
            <w:lang w:val="es-ES"/>
          </w:rPr>
          <w:t>u</w:t>
        </w:r>
        <w:r w:rsidRPr="005E41EF">
          <w:rPr>
            <w:rStyle w:val="Hyperlink"/>
            <w:lang w:val="es-ES"/>
          </w:rPr>
          <w:t>nto de textos fundamentales de la Unión Internacional de Telecomunicaciones</w:t>
        </w:r>
      </w:hyperlink>
      <w:r w:rsidRPr="005E41EF">
        <w:rPr>
          <w:lang w:val="es-ES"/>
        </w:rPr>
        <w:t xml:space="preserve">» (Edición de 2023) y se reproduce en </w:t>
      </w:r>
      <w:r>
        <w:rPr>
          <w:lang w:val="es-ES"/>
        </w:rPr>
        <w:t>el</w:t>
      </w:r>
      <w:r w:rsidRPr="005E41EF">
        <w:rPr>
          <w:lang w:val="es-ES"/>
        </w:rPr>
        <w:t xml:space="preserve"> Anexo al presente documento para facilitar su consulta.</w:t>
      </w:r>
    </w:p>
    <w:p w14:paraId="00DD404E" w14:textId="1B10DFA5" w:rsidR="005D56E3" w:rsidRPr="00BF1BD1" w:rsidRDefault="00AB6EFF" w:rsidP="00AB6EFF">
      <w:pPr>
        <w:tabs>
          <w:tab w:val="clear" w:pos="1134"/>
          <w:tab w:val="clear" w:pos="1871"/>
          <w:tab w:val="clear" w:pos="2268"/>
          <w:tab w:val="center" w:pos="7088"/>
        </w:tabs>
        <w:spacing w:before="840"/>
      </w:pPr>
      <w:r>
        <w:tab/>
      </w:r>
      <w:r w:rsidR="005E41EF" w:rsidRPr="00BF1BD1">
        <w:t>Doreen BOGDAN-MARTIN</w:t>
      </w:r>
      <w:r w:rsidR="005E41EF" w:rsidRPr="00BF1BD1">
        <w:br/>
      </w:r>
      <w:r>
        <w:tab/>
      </w:r>
      <w:r w:rsidR="005E41EF" w:rsidRPr="00BF1BD1">
        <w:t>Secretar</w:t>
      </w:r>
      <w:r w:rsidR="005E41EF">
        <w:t xml:space="preserve">ia </w:t>
      </w:r>
      <w:r w:rsidR="005E41EF" w:rsidRPr="00BF1BD1">
        <w:t>General</w:t>
      </w:r>
    </w:p>
    <w:p w14:paraId="07950330" w14:textId="039820AD" w:rsidR="005D56E3" w:rsidRPr="00BF1BD1" w:rsidRDefault="005D56E3" w:rsidP="00AB6EFF">
      <w:pPr>
        <w:spacing w:before="1200"/>
      </w:pPr>
      <w:r>
        <w:t>Anexo:</w:t>
      </w:r>
      <w:r w:rsidR="00AB6EFF">
        <w:t xml:space="preserve"> </w:t>
      </w:r>
      <w:r>
        <w:t>1</w:t>
      </w:r>
    </w:p>
    <w:p w14:paraId="59668940" w14:textId="77777777" w:rsidR="008750A8" w:rsidRPr="005E41EF" w:rsidRDefault="008750A8" w:rsidP="00AB6EFF">
      <w:pPr>
        <w:rPr>
          <w:lang w:val="es-ES"/>
        </w:rPr>
      </w:pPr>
      <w:r w:rsidRPr="005E41EF">
        <w:rPr>
          <w:lang w:val="es-ES"/>
        </w:rPr>
        <w:br w:type="page"/>
      </w:r>
    </w:p>
    <w:p w14:paraId="4DAC47C6" w14:textId="640F9F91" w:rsidR="004B7C98" w:rsidRPr="00AB6EFF" w:rsidRDefault="005E41EF" w:rsidP="00AB6EFF">
      <w:pPr>
        <w:pStyle w:val="ArtNo"/>
      </w:pPr>
      <w:r w:rsidRPr="00AB6EFF">
        <w:lastRenderedPageBreak/>
        <w:t>ANEXO</w:t>
      </w:r>
    </w:p>
    <w:p w14:paraId="5771E631" w14:textId="77777777" w:rsidR="005E41EF" w:rsidRPr="005E41EF" w:rsidRDefault="005E41EF" w:rsidP="00AB6EFF">
      <w:pPr>
        <w:pStyle w:val="ResNo"/>
        <w:rPr>
          <w:lang w:val="es-ES"/>
        </w:rPr>
      </w:pPr>
      <w:r w:rsidRPr="00AB6EFF">
        <w:t>RESOLUCIÓN</w:t>
      </w:r>
      <w:r w:rsidRPr="005E41EF">
        <w:rPr>
          <w:lang w:val="es-ES"/>
        </w:rPr>
        <w:t xml:space="preserve"> </w:t>
      </w:r>
      <w:r w:rsidRPr="005E41EF">
        <w:rPr>
          <w:rStyle w:val="href"/>
          <w:lang w:val="es-ES"/>
        </w:rPr>
        <w:t>216</w:t>
      </w:r>
      <w:r w:rsidRPr="005E41EF">
        <w:rPr>
          <w:lang w:val="es-ES"/>
        </w:rPr>
        <w:t xml:space="preserve"> (BUCAREST, 2022)</w:t>
      </w:r>
    </w:p>
    <w:p w14:paraId="4798D48B" w14:textId="7E2A47D0" w:rsidR="005E41EF" w:rsidRPr="005E41EF" w:rsidRDefault="005E41EF" w:rsidP="005E41EF">
      <w:pPr>
        <w:pStyle w:val="Restitle"/>
        <w:rPr>
          <w:lang w:val="es-ES"/>
        </w:rPr>
      </w:pPr>
      <w:r w:rsidRPr="005E41EF">
        <w:rPr>
          <w:lang w:val="es-ES"/>
        </w:rPr>
        <w:t xml:space="preserve">Utilización de las asignaciones de frecuencias en las instalaciones </w:t>
      </w:r>
      <w:r w:rsidR="00AB6EFF">
        <w:rPr>
          <w:lang w:val="es-ES"/>
        </w:rPr>
        <w:br/>
      </w:r>
      <w:r w:rsidRPr="005E41EF">
        <w:rPr>
          <w:lang w:val="es-ES"/>
        </w:rPr>
        <w:t>radioeléctricas militares de los servicios de defensa nacional</w:t>
      </w:r>
    </w:p>
    <w:p w14:paraId="4D1EC42B" w14:textId="77777777" w:rsidR="005E41EF" w:rsidRPr="005E41EF" w:rsidRDefault="005E41EF" w:rsidP="005E41EF">
      <w:pPr>
        <w:pStyle w:val="Normalaftertitle"/>
        <w:rPr>
          <w:lang w:val="es-ES"/>
        </w:rPr>
      </w:pPr>
      <w:r w:rsidRPr="005E41EF">
        <w:rPr>
          <w:lang w:val="es-ES"/>
        </w:rPr>
        <w:t>La Conferencia de Plenipotenciarios de la Unión Internacional de Telecomunicaciones (Bucarest, 2022),</w:t>
      </w:r>
    </w:p>
    <w:p w14:paraId="30588023" w14:textId="77777777" w:rsidR="005E41EF" w:rsidRPr="005E41EF" w:rsidRDefault="005E41EF" w:rsidP="005E41EF">
      <w:pPr>
        <w:pStyle w:val="Call"/>
        <w:rPr>
          <w:lang w:val="es-ES"/>
        </w:rPr>
      </w:pPr>
      <w:r w:rsidRPr="005E41EF">
        <w:rPr>
          <w:lang w:val="es-ES"/>
        </w:rPr>
        <w:t>considerando</w:t>
      </w:r>
    </w:p>
    <w:p w14:paraId="4E388260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a)</w:t>
      </w:r>
      <w:r w:rsidRPr="005E41EF">
        <w:rPr>
          <w:lang w:val="es-ES"/>
        </w:rPr>
        <w:tab/>
        <w:t>que la Conferencia Mundial de Radiocomunicaciones (CMR) (Sharm el-Sheikh, 2019), de conformidad con el Artículo 21 del Convenio de la UIT, invitó a esta Conferencia de Plenipotenciarios a examinar la cuestión de la invocación del Artículo 48 de la Constitución de la UIT en relación con el Reglamento de Radiocomunicaciones, y a adoptar las medidas necesarias, según proceda;</w:t>
      </w:r>
    </w:p>
    <w:p w14:paraId="68EE7789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b)</w:t>
      </w:r>
      <w:r w:rsidRPr="005E41EF">
        <w:rPr>
          <w:lang w:val="es-ES"/>
        </w:rPr>
        <w:tab/>
        <w:t>que el Reglamento de Radiocomunicaciones no incluye actualmente ninguna disposición o procedimiento específico en relación con la invocación del Artículo 48 aplicable a la tramitación, la inscripción y el mantenimiento en el Registro Internacional de Frecuencias de asignaciones de frecuencias a estaciones que forman parte de las instalaciones de los servicios de defensa nacional;</w:t>
      </w:r>
    </w:p>
    <w:p w14:paraId="1F6CBABB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c)</w:t>
      </w:r>
      <w:r w:rsidRPr="005E41EF">
        <w:rPr>
          <w:lang w:val="es-ES"/>
        </w:rPr>
        <w:tab/>
        <w:t>que se da por supuesto que los Estados Miembros actúan con integridad al invocar el Artículo 48 en relación con la utilización de las instalaciones radioeléctricas militares;</w:t>
      </w:r>
    </w:p>
    <w:p w14:paraId="29446A5B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d)</w:t>
      </w:r>
      <w:r w:rsidRPr="005E41EF">
        <w:rPr>
          <w:lang w:val="es-ES"/>
        </w:rPr>
        <w:tab/>
        <w:t>que la CMR-15 señaló que el Artículo 48 se refiere a "instalaciones radioeléctricas militares" y no a estaciones utilizadas para fines gubernamentales en general,</w:t>
      </w:r>
    </w:p>
    <w:p w14:paraId="40B0F768" w14:textId="77777777" w:rsidR="005E41EF" w:rsidRPr="005E41EF" w:rsidRDefault="005E41EF" w:rsidP="005E41EF">
      <w:pPr>
        <w:pStyle w:val="Call"/>
        <w:rPr>
          <w:lang w:val="es-ES"/>
        </w:rPr>
      </w:pPr>
      <w:r w:rsidRPr="005E41EF">
        <w:rPr>
          <w:lang w:val="es-ES"/>
        </w:rPr>
        <w:t>reconociendo</w:t>
      </w:r>
    </w:p>
    <w:p w14:paraId="60101C28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a)</w:t>
      </w:r>
      <w:r w:rsidRPr="005E41EF">
        <w:rPr>
          <w:lang w:val="es-ES"/>
        </w:rPr>
        <w:tab/>
        <w:t>que las disposiciones de la Constitución de la UIT se complementan además con las de los Reglamentos Administrativos, incluido el Reglamento de Radiocomunicaciones;</w:t>
      </w:r>
    </w:p>
    <w:p w14:paraId="65152064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b)</w:t>
      </w:r>
      <w:r w:rsidRPr="005E41EF">
        <w:rPr>
          <w:lang w:val="es-ES"/>
        </w:rPr>
        <w:tab/>
        <w:t>que, de conformidad con el número 202 del Artículo 48 de la Constitución de la UIT, los Estados Miembros conservan su entera libertad en lo relativo a las instalaciones radioeléctricas militares;</w:t>
      </w:r>
    </w:p>
    <w:p w14:paraId="704ED192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c)</w:t>
      </w:r>
      <w:r w:rsidRPr="005E41EF">
        <w:rPr>
          <w:lang w:val="es-ES"/>
        </w:rPr>
        <w:tab/>
        <w:t>que, de conformidad con el número 203 del Artículo 48 de la Constitución de la UIT, estas instalaciones deben observar, en la medida de lo posible, las disposiciones reglamentarias relativas a las acciones que habrán de adoptarse para impedir las interferencias perjudiciales;</w:t>
      </w:r>
    </w:p>
    <w:p w14:paraId="1ACAB55E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d)</w:t>
      </w:r>
      <w:r w:rsidRPr="005E41EF">
        <w:rPr>
          <w:lang w:val="es-ES"/>
        </w:rPr>
        <w:tab/>
        <w:t>que, en aplicación del Reglamento de Radiocomunicaciones, no existe ninguna restricción para que cualquier Estado Miembro invoque el Artículo 48 en lo concerniente a instalaciones radioeléctricas militares;</w:t>
      </w:r>
    </w:p>
    <w:p w14:paraId="6D9C9D34" w14:textId="77777777" w:rsidR="005E41EF" w:rsidRPr="005E41EF" w:rsidRDefault="005E41EF" w:rsidP="005E41EF">
      <w:pPr>
        <w:rPr>
          <w:lang w:val="es-ES"/>
        </w:rPr>
      </w:pPr>
      <w:r w:rsidRPr="005E41EF">
        <w:rPr>
          <w:i/>
          <w:iCs/>
          <w:lang w:val="es-ES"/>
        </w:rPr>
        <w:t>e)</w:t>
      </w:r>
      <w:r w:rsidRPr="005E41EF">
        <w:rPr>
          <w:lang w:val="es-ES"/>
        </w:rPr>
        <w:tab/>
        <w:t>que los derechos en materia de reconocimiento internacional y protección de las asignaciones de frecuencias se derivan de la inscripción de esas asignaciones de frecuencias en el Registro Internacional de Frecuencias y están condicionados por las disposiciones del Reglamento de Radiocomunicaciones,</w:t>
      </w:r>
    </w:p>
    <w:p w14:paraId="2C47CDBA" w14:textId="77777777" w:rsidR="005E41EF" w:rsidRPr="005E41EF" w:rsidRDefault="005E41EF" w:rsidP="005E41EF">
      <w:pPr>
        <w:pStyle w:val="Call"/>
        <w:rPr>
          <w:i w:val="0"/>
          <w:lang w:val="es-ES"/>
        </w:rPr>
      </w:pPr>
      <w:r w:rsidRPr="005E41EF">
        <w:rPr>
          <w:lang w:val="es-ES"/>
        </w:rPr>
        <w:t>reconociendo además</w:t>
      </w:r>
    </w:p>
    <w:p w14:paraId="59AC1988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la necesidad de mantener el carácter reservado y confidencial de la información proporcionada para la asignación de frecuencias para las cuales se invoca el Artículo 48,</w:t>
      </w:r>
    </w:p>
    <w:p w14:paraId="3A5C62C1" w14:textId="77777777" w:rsidR="005E41EF" w:rsidRPr="005E41EF" w:rsidRDefault="005E41EF" w:rsidP="005E41EF">
      <w:pPr>
        <w:pStyle w:val="Call"/>
        <w:rPr>
          <w:lang w:val="es-ES"/>
        </w:rPr>
      </w:pPr>
      <w:r w:rsidRPr="005E41EF">
        <w:rPr>
          <w:lang w:val="es-ES"/>
        </w:rPr>
        <w:lastRenderedPageBreak/>
        <w:t>resuelve</w:t>
      </w:r>
    </w:p>
    <w:p w14:paraId="0545529E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1</w:t>
      </w:r>
      <w:r w:rsidRPr="005E41EF">
        <w:rPr>
          <w:lang w:val="es-ES"/>
        </w:rPr>
        <w:tab/>
        <w:t>que toda invocación del Artículo 48 por parte de un Estado Miembro deberá declararse explícitamente en la presentación de dicha invocación;</w:t>
      </w:r>
    </w:p>
    <w:p w14:paraId="4F7F3C55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2</w:t>
      </w:r>
      <w:r w:rsidRPr="005E41EF">
        <w:rPr>
          <w:lang w:val="es-ES"/>
        </w:rPr>
        <w:tab/>
        <w:t>que, en caso de invocación del Artículo 48 al aplicar las disposiciones del Reglamento de Radiocomunicaciones a asignaciones de frecuencias a estaciones de los servicios espaciales o terrenales, se aplicarán los siguientes criterios:</w:t>
      </w:r>
    </w:p>
    <w:p w14:paraId="5F3A66EA" w14:textId="77777777" w:rsidR="005E41EF" w:rsidRPr="005E41EF" w:rsidRDefault="005E41EF" w:rsidP="005E41EF">
      <w:pPr>
        <w:pStyle w:val="enumlev1"/>
        <w:rPr>
          <w:lang w:val="es-ES"/>
        </w:rPr>
      </w:pPr>
      <w:r w:rsidRPr="005E41EF">
        <w:rPr>
          <w:lang w:val="es-ES"/>
        </w:rPr>
        <w:t>i)</w:t>
      </w:r>
      <w:r w:rsidRPr="005E41EF">
        <w:rPr>
          <w:lang w:val="es-ES"/>
        </w:rPr>
        <w:tab/>
        <w:t>los Estados Miembros asumen las obligaciones derivadas de utilizar dichas asignaciones de frecuencias para instalaciones radioeléctricas militares;</w:t>
      </w:r>
    </w:p>
    <w:p w14:paraId="5E8AF746" w14:textId="77777777" w:rsidR="005E41EF" w:rsidRPr="005E41EF" w:rsidRDefault="005E41EF" w:rsidP="005E41EF">
      <w:pPr>
        <w:pStyle w:val="enumlev1"/>
        <w:rPr>
          <w:lang w:val="es-ES"/>
        </w:rPr>
      </w:pPr>
      <w:r w:rsidRPr="005E41EF">
        <w:rPr>
          <w:lang w:val="es-ES"/>
        </w:rPr>
        <w:t>ii)</w:t>
      </w:r>
      <w:r w:rsidRPr="005E41EF">
        <w:rPr>
          <w:lang w:val="es-ES"/>
        </w:rPr>
        <w:tab/>
        <w:t>si una asignación de frecuencias para la que se ha invocado el Artículo 48 se usa para instalaciones radioeléctricas que no sean militares, serán aplicables a dicha asignación de frecuencias todas las disposiciones pertinentes del Reglamento de Radiocomunicaciones;</w:t>
      </w:r>
    </w:p>
    <w:p w14:paraId="143D1139" w14:textId="77777777" w:rsidR="005E41EF" w:rsidRPr="005E41EF" w:rsidRDefault="005E41EF" w:rsidP="005E41EF">
      <w:pPr>
        <w:pStyle w:val="enumlev1"/>
        <w:rPr>
          <w:lang w:val="es-ES"/>
        </w:rPr>
      </w:pPr>
      <w:r w:rsidRPr="005E41EF">
        <w:rPr>
          <w:lang w:val="es-ES"/>
        </w:rPr>
        <w:t>iii)</w:t>
      </w:r>
      <w:r w:rsidRPr="005E41EF">
        <w:rPr>
          <w:lang w:val="es-ES"/>
        </w:rPr>
        <w:tab/>
        <w:t>los Estados Miembros se obligan a revocar la invocación del Artículo 48 si la asignación de frecuencias deja de utilizarse para instalaciones radioeléctricas militares;</w:t>
      </w:r>
    </w:p>
    <w:p w14:paraId="42E60B95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3</w:t>
      </w:r>
      <w:r w:rsidRPr="005E41EF">
        <w:rPr>
          <w:lang w:val="es-ES"/>
        </w:rPr>
        <w:tab/>
        <w:t>que en el caso de la invocación del Artículo 48 efectuada a partir del 15 de octubre de 2022 que se revoque ulteriormente, o de cualquier revocación de la invocación del Artículo 48 posterior al 20 de noviembre de 2023, las asignaciones de frecuencias conexas estarán sujetas a todas las disposiciones pertinentes del Reglamento de Radiocomunicaciones, y los Estados Miembros deberán proporcionar toda la información pertinente a la Oficina de Radiocomunicaciones (BR), incluyendo la puesta en servicio o la reanudación del servicio de las asignaciones de frecuencias relacionadas con los servicios espaciales;</w:t>
      </w:r>
    </w:p>
    <w:p w14:paraId="0E571C1D" w14:textId="1F02CB4F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4</w:t>
      </w:r>
      <w:r w:rsidRPr="005E41EF">
        <w:rPr>
          <w:lang w:val="es-ES"/>
        </w:rPr>
        <w:tab/>
        <w:t>instar a los Estados Miembros que hayan invocado el Artículo 48 antes del 15 de octubre de 2022 a que revisen dicha invocación a la luz de lo establecido en la presente Resolución y, si el tipo de utilización de las asignaciones de frecuencias conexas ha variado y el Estado Miembro de que se trate decide revocar la invocación, que lo haga antes del 20 de noviembre de</w:t>
      </w:r>
      <w:r w:rsidR="00AB6EFF">
        <w:rPr>
          <w:lang w:val="es-ES"/>
        </w:rPr>
        <w:t> </w:t>
      </w:r>
      <w:r w:rsidRPr="005E41EF">
        <w:rPr>
          <w:lang w:val="es-ES"/>
        </w:rPr>
        <w:t>2023 sin necesidad de proporcionar ninguna información adicional;</w:t>
      </w:r>
    </w:p>
    <w:p w14:paraId="3EDE34DD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5</w:t>
      </w:r>
      <w:r w:rsidRPr="005E41EF">
        <w:rPr>
          <w:lang w:val="es-ES"/>
        </w:rPr>
        <w:tab/>
        <w:t xml:space="preserve">que la BR pueda solicitar aclaraciones a los Estados Miembros en relación con un posible incumplimiento en la utilización de las asignaciones de frecuencias con arreglo al Artículo 48 y en lo que atañe a las obligaciones previstas en el </w:t>
      </w:r>
      <w:r w:rsidRPr="005E41EF">
        <w:rPr>
          <w:i/>
          <w:iCs/>
          <w:lang w:val="es-ES"/>
        </w:rPr>
        <w:t>resuelve</w:t>
      </w:r>
      <w:r w:rsidRPr="005E41EF">
        <w:rPr>
          <w:lang w:val="es-ES"/>
        </w:rPr>
        <w:t> 2 anterior;</w:t>
      </w:r>
    </w:p>
    <w:p w14:paraId="6D9EE231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6</w:t>
      </w:r>
      <w:r w:rsidRPr="005E41EF">
        <w:rPr>
          <w:lang w:val="es-ES"/>
        </w:rPr>
        <w:tab/>
        <w:t xml:space="preserve">que la BR facilite a los Estados Miembros la necesaria motivación de la solicitud de aclaración que se especifica en el </w:t>
      </w:r>
      <w:r w:rsidRPr="005E41EF">
        <w:rPr>
          <w:i/>
          <w:iCs/>
          <w:lang w:val="es-ES"/>
        </w:rPr>
        <w:t>resuelve</w:t>
      </w:r>
      <w:r w:rsidRPr="005E41EF">
        <w:rPr>
          <w:lang w:val="es-ES"/>
        </w:rPr>
        <w:t> 5;</w:t>
      </w:r>
    </w:p>
    <w:p w14:paraId="03585ED3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7</w:t>
      </w:r>
      <w:r w:rsidRPr="005E41EF">
        <w:rPr>
          <w:lang w:val="es-ES"/>
        </w:rPr>
        <w:tab/>
        <w:t>que, sobre la base de las aclaraciones facilitadas y en caso de desacuerdo de un Estado Miembro con la evaluación de la BR, la controversia se remita a la Junta del Reglamento de Radiocomunicaciones (RRB), incluida la base para el desacuerdo del Estado Miembro en cuestión;</w:t>
      </w:r>
    </w:p>
    <w:p w14:paraId="703A8337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8</w:t>
      </w:r>
      <w:r w:rsidRPr="005E41EF">
        <w:rPr>
          <w:lang w:val="es-ES"/>
        </w:rPr>
        <w:tab/>
        <w:t xml:space="preserve">que, una vez que se reciba la información solicitada con arreglo al </w:t>
      </w:r>
      <w:r w:rsidRPr="005E41EF">
        <w:rPr>
          <w:i/>
          <w:iCs/>
          <w:lang w:val="es-ES"/>
        </w:rPr>
        <w:t>resuelve</w:t>
      </w:r>
      <w:r w:rsidRPr="005E41EF">
        <w:rPr>
          <w:lang w:val="es-ES"/>
        </w:rPr>
        <w:t> 7 anterior, la RRB pueda decidir que todas las disposiciones reglamentarias pertinentes se apliquen a dicha asignación de frecuencias;</w:t>
      </w:r>
    </w:p>
    <w:p w14:paraId="0FC8C886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9</w:t>
      </w:r>
      <w:r w:rsidRPr="005E41EF">
        <w:rPr>
          <w:lang w:val="es-ES"/>
        </w:rPr>
        <w:tab/>
        <w:t>que si los Estados Miembros concernidos no están de acuerdo con la decisión de la RRB, puedan presentar una apelación en la siguiente CMR, y la decisión de la RRB quede en suspenso hasta que la CMR adopte una decisión al respecto;</w:t>
      </w:r>
    </w:p>
    <w:p w14:paraId="24C173C1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10</w:t>
      </w:r>
      <w:r w:rsidRPr="005E41EF">
        <w:rPr>
          <w:lang w:val="es-ES"/>
        </w:rPr>
        <w:tab/>
        <w:t xml:space="preserve">que, al facilitar una aclaración en virtud del </w:t>
      </w:r>
      <w:r w:rsidRPr="005E41EF">
        <w:rPr>
          <w:i/>
          <w:iCs/>
          <w:lang w:val="es-ES"/>
        </w:rPr>
        <w:t>resuelve</w:t>
      </w:r>
      <w:r w:rsidRPr="005E41EF">
        <w:rPr>
          <w:lang w:val="es-ES"/>
        </w:rPr>
        <w:t> 7 anterior, los Estados Miembros no estén obligados a proporcionar a la RRB o a la BR información relativa a las asignaciones de frecuencias para instalaciones radioeléctricas militares que sea susceptible de causar perjuicio a sus instalaciones para los servicios de defensa nacional,</w:t>
      </w:r>
    </w:p>
    <w:p w14:paraId="248EFF09" w14:textId="77777777" w:rsidR="005E41EF" w:rsidRPr="005E41EF" w:rsidRDefault="005E41EF" w:rsidP="005E41EF">
      <w:pPr>
        <w:pStyle w:val="Call"/>
        <w:rPr>
          <w:lang w:val="es-ES"/>
        </w:rPr>
      </w:pPr>
      <w:r w:rsidRPr="005E41EF">
        <w:rPr>
          <w:lang w:val="es-ES"/>
        </w:rPr>
        <w:lastRenderedPageBreak/>
        <w:t>invita a los Estados Miembros</w:t>
      </w:r>
    </w:p>
    <w:p w14:paraId="1CDAB61E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a considerar la posibilidad de utilizar asignaciones de frecuencias separadas para instalaciones radioeléctricas militares e instalaciones radioeléctricas no militares al invocar el Artículo 48,</w:t>
      </w:r>
    </w:p>
    <w:p w14:paraId="0D895912" w14:textId="77777777" w:rsidR="005E41EF" w:rsidRPr="005E41EF" w:rsidRDefault="005E41EF" w:rsidP="005E41EF">
      <w:pPr>
        <w:pStyle w:val="Call"/>
        <w:rPr>
          <w:lang w:val="es-ES"/>
        </w:rPr>
      </w:pPr>
      <w:r w:rsidRPr="005E41EF">
        <w:rPr>
          <w:lang w:val="es-ES"/>
        </w:rPr>
        <w:t>encarga a la Junta del Reglamento de Radiocomunicaciones</w:t>
      </w:r>
    </w:p>
    <w:p w14:paraId="692AB58B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 xml:space="preserve">que tome en consideración la presente Resolución con miras a tomar, en su caso, las medidas necesarias en relación con las asignaciones de frecuencias para las que se invoque el Artículo 48, habida cuenta del </w:t>
      </w:r>
      <w:r w:rsidRPr="005E41EF">
        <w:rPr>
          <w:i/>
          <w:iCs/>
          <w:lang w:val="es-ES"/>
        </w:rPr>
        <w:t>reconociendo además</w:t>
      </w:r>
      <w:r w:rsidRPr="005E41EF">
        <w:rPr>
          <w:lang w:val="es-ES"/>
        </w:rPr>
        <w:t xml:space="preserve"> anterior,</w:t>
      </w:r>
    </w:p>
    <w:p w14:paraId="26838391" w14:textId="77777777" w:rsidR="005E41EF" w:rsidRPr="005E41EF" w:rsidRDefault="005E41EF" w:rsidP="005E41EF">
      <w:pPr>
        <w:pStyle w:val="Call"/>
        <w:rPr>
          <w:lang w:val="es-ES"/>
        </w:rPr>
      </w:pPr>
      <w:r w:rsidRPr="005E41EF">
        <w:rPr>
          <w:lang w:val="es-ES"/>
        </w:rPr>
        <w:t>encarga al Secretario General</w:t>
      </w:r>
    </w:p>
    <w:p w14:paraId="1E5B2500" w14:textId="77777777" w:rsidR="005E41EF" w:rsidRPr="005E41EF" w:rsidRDefault="005E41EF" w:rsidP="005E41EF">
      <w:pPr>
        <w:rPr>
          <w:lang w:val="es-ES"/>
        </w:rPr>
      </w:pPr>
      <w:r w:rsidRPr="005E41EF">
        <w:rPr>
          <w:lang w:val="es-ES"/>
        </w:rPr>
        <w:t>1</w:t>
      </w:r>
      <w:r w:rsidRPr="005E41EF">
        <w:rPr>
          <w:lang w:val="es-ES"/>
        </w:rPr>
        <w:tab/>
        <w:t>que señale esta Resolución a la atención de la CMR-2023;</w:t>
      </w:r>
    </w:p>
    <w:p w14:paraId="4CFA8DB3" w14:textId="77777777" w:rsidR="00400E98" w:rsidRPr="00B66444" w:rsidRDefault="005E41EF" w:rsidP="00400E98">
      <w:r w:rsidRPr="005E41EF">
        <w:rPr>
          <w:lang w:val="es-ES"/>
        </w:rPr>
        <w:t>2</w:t>
      </w:r>
      <w:r w:rsidRPr="005E41EF">
        <w:rPr>
          <w:lang w:val="es-ES"/>
        </w:rPr>
        <w:tab/>
        <w:t>que informe a la próxima Conferencia de Plenipotenciarios sobre la aplicación de esta Resolución.</w:t>
      </w:r>
    </w:p>
    <w:p w14:paraId="3C49054B" w14:textId="77777777" w:rsidR="00AB6EFF" w:rsidRDefault="00AB6EFF" w:rsidP="00411C49">
      <w:pPr>
        <w:pStyle w:val="Reasons"/>
      </w:pPr>
    </w:p>
    <w:p w14:paraId="585CF39F" w14:textId="77777777" w:rsidR="00AB6EFF" w:rsidRDefault="00AB6EFF">
      <w:pPr>
        <w:jc w:val="center"/>
      </w:pPr>
      <w:r>
        <w:t>______________</w:t>
      </w:r>
    </w:p>
    <w:sectPr w:rsidR="00AB6EFF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2F9A" w14:textId="77777777" w:rsidR="00CA1582" w:rsidRDefault="00CA1582">
      <w:r>
        <w:separator/>
      </w:r>
    </w:p>
  </w:endnote>
  <w:endnote w:type="continuationSeparator" w:id="0">
    <w:p w14:paraId="0D9964AF" w14:textId="77777777" w:rsidR="00CA1582" w:rsidRDefault="00C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8BC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A275A" w14:textId="1F16ECB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7B15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71B6" w14:textId="5B1F906B" w:rsidR="0077084A" w:rsidRPr="00816A01" w:rsidRDefault="00816A01" w:rsidP="00816A0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B6EFF">
      <w:rPr>
        <w:lang w:val="en-US"/>
      </w:rPr>
      <w:t>P:\ESP\ITU-R\CONF-R\CMR23\200\206S.docx</w:t>
    </w:r>
    <w:r>
      <w:fldChar w:fldCharType="end"/>
    </w:r>
    <w:r w:rsidRPr="00816A01">
      <w:rPr>
        <w:lang w:val="en-US"/>
      </w:rPr>
      <w:t xml:space="preserve"> </w:t>
    </w:r>
    <w:r>
      <w:rPr>
        <w:lang w:val="en-US"/>
      </w:rPr>
      <w:t>(</w:t>
    </w:r>
    <w:r w:rsidR="000C5B62">
      <w:rPr>
        <w:lang w:val="en-US"/>
      </w:rPr>
      <w:t>531079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E109" w14:textId="0A14510A" w:rsidR="0077084A" w:rsidRPr="00816A0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B6EFF">
      <w:rPr>
        <w:lang w:val="en-US"/>
      </w:rPr>
      <w:t>P:\ESP\ITU-R\CONF-R\CMR23\200\206S.docx</w:t>
    </w:r>
    <w:r>
      <w:fldChar w:fldCharType="end"/>
    </w:r>
    <w:r w:rsidR="00816A01" w:rsidRPr="00816A01">
      <w:rPr>
        <w:lang w:val="en-US"/>
      </w:rPr>
      <w:t xml:space="preserve"> </w:t>
    </w:r>
    <w:r w:rsidR="00816A01">
      <w:rPr>
        <w:lang w:val="en-US"/>
      </w:rPr>
      <w:t>(</w:t>
    </w:r>
    <w:r w:rsidR="000C5B62">
      <w:rPr>
        <w:lang w:val="en-US"/>
      </w:rPr>
      <w:t>531079</w:t>
    </w:r>
    <w:r w:rsidR="00816A0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3D69" w14:textId="77777777" w:rsidR="00CA1582" w:rsidRDefault="00CA1582">
      <w:r>
        <w:rPr>
          <w:b/>
        </w:rPr>
        <w:t>_______________</w:t>
      </w:r>
    </w:p>
  </w:footnote>
  <w:footnote w:type="continuationSeparator" w:id="0">
    <w:p w14:paraId="1FC55760" w14:textId="77777777" w:rsidR="00CA1582" w:rsidRDefault="00CA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41EA" w14:textId="479688A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5B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BE65FA" w14:textId="5418F007" w:rsidR="0077084A" w:rsidRDefault="005D56E3" w:rsidP="00C44E9E">
    <w:pPr>
      <w:pStyle w:val="Header"/>
      <w:rPr>
        <w:lang w:val="en-US"/>
      </w:rPr>
    </w:pPr>
    <w:r>
      <w:t>WRC23/206-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35217917">
    <w:abstractNumId w:val="8"/>
  </w:num>
  <w:num w:numId="2" w16cid:durableId="4986654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06381380">
    <w:abstractNumId w:val="9"/>
  </w:num>
  <w:num w:numId="4" w16cid:durableId="1894922192">
    <w:abstractNumId w:val="7"/>
  </w:num>
  <w:num w:numId="5" w16cid:durableId="2051688178">
    <w:abstractNumId w:val="6"/>
  </w:num>
  <w:num w:numId="6" w16cid:durableId="1790969210">
    <w:abstractNumId w:val="5"/>
  </w:num>
  <w:num w:numId="7" w16cid:durableId="1887717378">
    <w:abstractNumId w:val="4"/>
  </w:num>
  <w:num w:numId="8" w16cid:durableId="1156611198">
    <w:abstractNumId w:val="3"/>
  </w:num>
  <w:num w:numId="9" w16cid:durableId="116338640">
    <w:abstractNumId w:val="2"/>
  </w:num>
  <w:num w:numId="10" w16cid:durableId="1055398780">
    <w:abstractNumId w:val="1"/>
  </w:num>
  <w:num w:numId="11" w16cid:durableId="45687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C5B62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76BB3"/>
    <w:rsid w:val="003B1E8C"/>
    <w:rsid w:val="003C0613"/>
    <w:rsid w:val="003C2508"/>
    <w:rsid w:val="003D0AA3"/>
    <w:rsid w:val="003E2086"/>
    <w:rsid w:val="003F7F66"/>
    <w:rsid w:val="00400E98"/>
    <w:rsid w:val="00440B3A"/>
    <w:rsid w:val="0044375A"/>
    <w:rsid w:val="0045384C"/>
    <w:rsid w:val="00454553"/>
    <w:rsid w:val="00472A86"/>
    <w:rsid w:val="004B124A"/>
    <w:rsid w:val="004B3095"/>
    <w:rsid w:val="004B7C98"/>
    <w:rsid w:val="004D2749"/>
    <w:rsid w:val="004D2C7C"/>
    <w:rsid w:val="005078B6"/>
    <w:rsid w:val="005133B5"/>
    <w:rsid w:val="00524392"/>
    <w:rsid w:val="00532097"/>
    <w:rsid w:val="00534C93"/>
    <w:rsid w:val="0058350F"/>
    <w:rsid w:val="00583C7E"/>
    <w:rsid w:val="0059098E"/>
    <w:rsid w:val="005D46FB"/>
    <w:rsid w:val="005D56E3"/>
    <w:rsid w:val="005D7B15"/>
    <w:rsid w:val="005E41EF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2616"/>
    <w:rsid w:val="007952C7"/>
    <w:rsid w:val="007C0B95"/>
    <w:rsid w:val="007C2317"/>
    <w:rsid w:val="007D330A"/>
    <w:rsid w:val="0080079E"/>
    <w:rsid w:val="00816A01"/>
    <w:rsid w:val="008504C2"/>
    <w:rsid w:val="00866AE6"/>
    <w:rsid w:val="008750A8"/>
    <w:rsid w:val="0089026F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B6EFF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1582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7C6F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02FE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refbasdepage">
    <w:name w:val="ref_basdepage"/>
    <w:basedOn w:val="Normal"/>
    <w:rsid w:val="005E41EF"/>
    <w:pPr>
      <w:pBdr>
        <w:top w:val="single" w:sz="4" w:space="1" w:color="auto"/>
        <w:bottom w:val="single" w:sz="4" w:space="1" w:color="auto"/>
      </w:pBdr>
      <w:spacing w:before="480"/>
      <w:jc w:val="both"/>
    </w:pPr>
    <w:rPr>
      <w:rFonts w:ascii="Calibri" w:hAnsi="Calibri"/>
      <w:i/>
      <w:iCs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5E41EF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E41EF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5E41EF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5E41EF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5E41EF"/>
    <w:rPr>
      <w:rFonts w:ascii="Times New Roman" w:hAnsi="Times New Roman"/>
      <w:caps/>
      <w:sz w:val="28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1E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5D56E3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AB6E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6EF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S-CONF-PLEN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R23-WRC23-C-0111!A26-A1!MSW-S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44E74-3AD0-42EB-9795-41467D9497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E66B99-700D-45F4-8D5B-F705221CB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7A7FE-A662-464A-95B8-ABA7ADA1E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61E4D-3BEB-4A69-8293-C284FAFD09F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25FE346-72BB-4529-95C6-DC7B04FC7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1168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R23-WRC23-C-0111!A26-A1!MSW-S</vt:lpstr>
      <vt:lpstr>R23-WRC23-C-0111!A26-A1!MSW-S</vt:lpstr>
    </vt:vector>
  </TitlesOfParts>
  <Manager>Secretaría General - Pool</Manager>
  <Company>Unión Internacional de Telecomunicaciones (UIT)</Company>
  <LinksUpToDate>false</LinksUpToDate>
  <CharactersWithSpaces>7760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R23-WRC23-C-0111!A26-A1!MSW-S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3</cp:revision>
  <cp:lastPrinted>2003-02-19T20:20:00Z</cp:lastPrinted>
  <dcterms:created xsi:type="dcterms:W3CDTF">2023-11-14T04:13:00Z</dcterms:created>
  <dcterms:modified xsi:type="dcterms:W3CDTF">2023-11-14T04:24:00Z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