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10415" w14:paraId="2A23BF8D" w14:textId="77777777" w:rsidTr="00F320AA">
        <w:trPr>
          <w:cantSplit/>
        </w:trPr>
        <w:tc>
          <w:tcPr>
            <w:tcW w:w="1418" w:type="dxa"/>
            <w:vAlign w:val="center"/>
          </w:tcPr>
          <w:p w14:paraId="2193A48E" w14:textId="77777777" w:rsidR="00F320AA" w:rsidRPr="00210415" w:rsidRDefault="00F320AA" w:rsidP="00F320AA">
            <w:pPr>
              <w:spacing w:before="0"/>
              <w:rPr>
                <w:rFonts w:ascii="Verdana" w:hAnsi="Verdana"/>
                <w:position w:val="6"/>
              </w:rPr>
            </w:pPr>
            <w:r w:rsidRPr="00210415">
              <w:drawing>
                <wp:inline distT="0" distB="0" distL="0" distR="0" wp14:anchorId="3D897EF3" wp14:editId="5ED811E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81C93C8" w14:textId="77777777" w:rsidR="00F320AA" w:rsidRPr="00210415" w:rsidRDefault="00F320AA" w:rsidP="00F320AA">
            <w:pPr>
              <w:spacing w:before="400" w:after="48" w:line="240" w:lineRule="atLeast"/>
              <w:rPr>
                <w:rFonts w:ascii="Verdana" w:hAnsi="Verdana"/>
                <w:position w:val="6"/>
              </w:rPr>
            </w:pPr>
            <w:r w:rsidRPr="00210415">
              <w:rPr>
                <w:rFonts w:ascii="Verdana" w:hAnsi="Verdana" w:cs="Times"/>
                <w:b/>
                <w:position w:val="6"/>
                <w:sz w:val="22"/>
                <w:szCs w:val="22"/>
              </w:rPr>
              <w:t>World Radiocommunication Conference (WRC-23)</w:t>
            </w:r>
            <w:r w:rsidRPr="00210415">
              <w:rPr>
                <w:rFonts w:ascii="Verdana" w:hAnsi="Verdana" w:cs="Times"/>
                <w:b/>
                <w:position w:val="6"/>
                <w:sz w:val="26"/>
                <w:szCs w:val="26"/>
              </w:rPr>
              <w:br/>
            </w:r>
            <w:r w:rsidRPr="00210415">
              <w:rPr>
                <w:rFonts w:ascii="Verdana" w:hAnsi="Verdana"/>
                <w:b/>
                <w:bCs/>
                <w:position w:val="6"/>
                <w:sz w:val="18"/>
                <w:szCs w:val="18"/>
              </w:rPr>
              <w:t>Dubai, 20 November - 15 December 2023</w:t>
            </w:r>
          </w:p>
        </w:tc>
        <w:tc>
          <w:tcPr>
            <w:tcW w:w="1951" w:type="dxa"/>
            <w:vAlign w:val="center"/>
          </w:tcPr>
          <w:p w14:paraId="3B5E4256" w14:textId="77777777" w:rsidR="00F320AA" w:rsidRPr="00210415" w:rsidRDefault="00EB0812" w:rsidP="00F320AA">
            <w:pPr>
              <w:spacing w:before="0" w:line="240" w:lineRule="atLeast"/>
            </w:pPr>
            <w:r w:rsidRPr="00210415">
              <w:drawing>
                <wp:inline distT="0" distB="0" distL="0" distR="0" wp14:anchorId="2233E51F" wp14:editId="3BE9A90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10415" w14:paraId="66E69DEC" w14:textId="77777777">
        <w:trPr>
          <w:cantSplit/>
        </w:trPr>
        <w:tc>
          <w:tcPr>
            <w:tcW w:w="6911" w:type="dxa"/>
            <w:gridSpan w:val="2"/>
            <w:tcBorders>
              <w:bottom w:val="single" w:sz="12" w:space="0" w:color="auto"/>
            </w:tcBorders>
          </w:tcPr>
          <w:p w14:paraId="387843B0" w14:textId="77777777" w:rsidR="00A066F1" w:rsidRPr="00210415"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8C98B01" w14:textId="77777777" w:rsidR="00A066F1" w:rsidRPr="00210415" w:rsidRDefault="00A066F1" w:rsidP="00A066F1">
            <w:pPr>
              <w:spacing w:before="0" w:line="240" w:lineRule="atLeast"/>
              <w:rPr>
                <w:rFonts w:ascii="Verdana" w:hAnsi="Verdana"/>
                <w:szCs w:val="24"/>
              </w:rPr>
            </w:pPr>
          </w:p>
        </w:tc>
      </w:tr>
      <w:tr w:rsidR="00A066F1" w:rsidRPr="00210415" w14:paraId="6A6934A3" w14:textId="77777777">
        <w:trPr>
          <w:cantSplit/>
        </w:trPr>
        <w:tc>
          <w:tcPr>
            <w:tcW w:w="6911" w:type="dxa"/>
            <w:gridSpan w:val="2"/>
            <w:tcBorders>
              <w:top w:val="single" w:sz="12" w:space="0" w:color="auto"/>
            </w:tcBorders>
          </w:tcPr>
          <w:p w14:paraId="38454A9D" w14:textId="77777777" w:rsidR="00A066F1" w:rsidRPr="0021041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54C47BE" w14:textId="77777777" w:rsidR="00A066F1" w:rsidRPr="00210415" w:rsidRDefault="00A066F1" w:rsidP="00A066F1">
            <w:pPr>
              <w:spacing w:before="0" w:line="240" w:lineRule="atLeast"/>
              <w:rPr>
                <w:rFonts w:ascii="Verdana" w:hAnsi="Verdana"/>
                <w:sz w:val="20"/>
              </w:rPr>
            </w:pPr>
          </w:p>
        </w:tc>
      </w:tr>
      <w:tr w:rsidR="00A066F1" w:rsidRPr="00210415" w14:paraId="6D55B68E" w14:textId="77777777">
        <w:trPr>
          <w:cantSplit/>
          <w:trHeight w:val="23"/>
        </w:trPr>
        <w:tc>
          <w:tcPr>
            <w:tcW w:w="6911" w:type="dxa"/>
            <w:gridSpan w:val="2"/>
            <w:shd w:val="clear" w:color="auto" w:fill="auto"/>
          </w:tcPr>
          <w:p w14:paraId="611551A4" w14:textId="77777777" w:rsidR="00A066F1" w:rsidRPr="00210415"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10415">
              <w:rPr>
                <w:rFonts w:ascii="Verdana" w:hAnsi="Verdana"/>
                <w:sz w:val="20"/>
                <w:szCs w:val="20"/>
              </w:rPr>
              <w:t>PLENARY MEETING</w:t>
            </w:r>
          </w:p>
        </w:tc>
        <w:tc>
          <w:tcPr>
            <w:tcW w:w="3120" w:type="dxa"/>
            <w:gridSpan w:val="2"/>
          </w:tcPr>
          <w:p w14:paraId="09E9E729" w14:textId="524E029F" w:rsidR="00A066F1" w:rsidRPr="00210415" w:rsidRDefault="00E55816" w:rsidP="00AA666F">
            <w:pPr>
              <w:tabs>
                <w:tab w:val="left" w:pos="851"/>
              </w:tabs>
              <w:spacing w:before="0" w:line="240" w:lineRule="atLeast"/>
              <w:rPr>
                <w:rFonts w:ascii="Verdana" w:hAnsi="Verdana"/>
                <w:sz w:val="20"/>
              </w:rPr>
            </w:pPr>
            <w:r w:rsidRPr="00210415">
              <w:rPr>
                <w:rFonts w:ascii="Verdana" w:hAnsi="Verdana"/>
                <w:b/>
                <w:sz w:val="20"/>
              </w:rPr>
              <w:t xml:space="preserve">Document </w:t>
            </w:r>
            <w:r w:rsidR="00C63B7D" w:rsidRPr="00210415">
              <w:rPr>
                <w:rFonts w:ascii="Verdana" w:hAnsi="Verdana"/>
                <w:b/>
                <w:sz w:val="20"/>
              </w:rPr>
              <w:t>20</w:t>
            </w:r>
            <w:r w:rsidR="007A2C59" w:rsidRPr="00210415">
              <w:rPr>
                <w:rFonts w:ascii="Verdana" w:hAnsi="Verdana"/>
                <w:b/>
                <w:sz w:val="20"/>
              </w:rPr>
              <w:t>6</w:t>
            </w:r>
            <w:r w:rsidR="00A066F1" w:rsidRPr="00210415">
              <w:rPr>
                <w:rFonts w:ascii="Verdana" w:hAnsi="Verdana"/>
                <w:b/>
                <w:sz w:val="20"/>
              </w:rPr>
              <w:t>-</w:t>
            </w:r>
            <w:r w:rsidR="005E10C9" w:rsidRPr="00210415">
              <w:rPr>
                <w:rFonts w:ascii="Verdana" w:hAnsi="Verdana"/>
                <w:b/>
                <w:sz w:val="20"/>
              </w:rPr>
              <w:t>E</w:t>
            </w:r>
          </w:p>
        </w:tc>
      </w:tr>
      <w:tr w:rsidR="00A066F1" w:rsidRPr="00210415" w14:paraId="40D291A7" w14:textId="77777777">
        <w:trPr>
          <w:cantSplit/>
          <w:trHeight w:val="23"/>
        </w:trPr>
        <w:tc>
          <w:tcPr>
            <w:tcW w:w="6911" w:type="dxa"/>
            <w:gridSpan w:val="2"/>
            <w:shd w:val="clear" w:color="auto" w:fill="auto"/>
          </w:tcPr>
          <w:p w14:paraId="0C495B4D" w14:textId="77777777" w:rsidR="00A066F1" w:rsidRPr="00210415"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5405A3B" w14:textId="02840F34" w:rsidR="00A066F1" w:rsidRPr="00210415" w:rsidRDefault="00C63B7D" w:rsidP="007A2C59">
            <w:pPr>
              <w:tabs>
                <w:tab w:val="left" w:pos="993"/>
                <w:tab w:val="left" w:pos="2595"/>
              </w:tabs>
              <w:spacing w:before="0"/>
              <w:rPr>
                <w:rFonts w:ascii="Verdana" w:hAnsi="Verdana"/>
                <w:sz w:val="20"/>
              </w:rPr>
            </w:pPr>
            <w:r w:rsidRPr="00210415">
              <w:rPr>
                <w:rFonts w:ascii="Verdana" w:hAnsi="Verdana"/>
                <w:b/>
                <w:sz w:val="20"/>
              </w:rPr>
              <w:t>8</w:t>
            </w:r>
            <w:r w:rsidR="00D71BE3" w:rsidRPr="00210415">
              <w:rPr>
                <w:rFonts w:ascii="Verdana" w:hAnsi="Verdana"/>
                <w:b/>
                <w:sz w:val="20"/>
              </w:rPr>
              <w:t xml:space="preserve"> </w:t>
            </w:r>
            <w:r w:rsidR="003B5858" w:rsidRPr="00210415">
              <w:rPr>
                <w:rFonts w:ascii="Verdana" w:hAnsi="Verdana"/>
                <w:b/>
                <w:sz w:val="20"/>
              </w:rPr>
              <w:t>November</w:t>
            </w:r>
            <w:r w:rsidR="00420873" w:rsidRPr="00210415">
              <w:rPr>
                <w:rFonts w:ascii="Verdana" w:hAnsi="Verdana"/>
                <w:b/>
                <w:sz w:val="20"/>
              </w:rPr>
              <w:t xml:space="preserve"> 2023</w:t>
            </w:r>
          </w:p>
        </w:tc>
      </w:tr>
      <w:tr w:rsidR="00A066F1" w:rsidRPr="00210415" w14:paraId="689C9D42" w14:textId="77777777">
        <w:trPr>
          <w:cantSplit/>
          <w:trHeight w:val="23"/>
        </w:trPr>
        <w:tc>
          <w:tcPr>
            <w:tcW w:w="6911" w:type="dxa"/>
            <w:gridSpan w:val="2"/>
            <w:shd w:val="clear" w:color="auto" w:fill="auto"/>
          </w:tcPr>
          <w:p w14:paraId="692A9632" w14:textId="77777777" w:rsidR="00A066F1" w:rsidRPr="00210415"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1D0F6E6" w14:textId="77777777" w:rsidR="00A066F1" w:rsidRPr="00210415" w:rsidRDefault="00E55816" w:rsidP="00A066F1">
            <w:pPr>
              <w:tabs>
                <w:tab w:val="left" w:pos="993"/>
              </w:tabs>
              <w:spacing w:before="0"/>
              <w:rPr>
                <w:rFonts w:ascii="Verdana" w:hAnsi="Verdana"/>
                <w:b/>
                <w:sz w:val="20"/>
              </w:rPr>
            </w:pPr>
            <w:r w:rsidRPr="00210415">
              <w:rPr>
                <w:rFonts w:ascii="Verdana" w:hAnsi="Verdana"/>
                <w:b/>
                <w:sz w:val="20"/>
              </w:rPr>
              <w:t>Original: English</w:t>
            </w:r>
          </w:p>
        </w:tc>
      </w:tr>
      <w:tr w:rsidR="00A066F1" w:rsidRPr="00210415" w14:paraId="3D22BAA2" w14:textId="77777777" w:rsidTr="00025864">
        <w:trPr>
          <w:cantSplit/>
          <w:trHeight w:val="23"/>
        </w:trPr>
        <w:tc>
          <w:tcPr>
            <w:tcW w:w="10031" w:type="dxa"/>
            <w:gridSpan w:val="4"/>
            <w:shd w:val="clear" w:color="auto" w:fill="auto"/>
          </w:tcPr>
          <w:p w14:paraId="5B49E6A9" w14:textId="77777777" w:rsidR="00A066F1" w:rsidRPr="00210415" w:rsidRDefault="00A066F1" w:rsidP="00A066F1">
            <w:pPr>
              <w:tabs>
                <w:tab w:val="left" w:pos="993"/>
              </w:tabs>
              <w:spacing w:before="0"/>
              <w:rPr>
                <w:rFonts w:ascii="Verdana" w:hAnsi="Verdana"/>
                <w:b/>
                <w:sz w:val="20"/>
              </w:rPr>
            </w:pPr>
          </w:p>
        </w:tc>
      </w:tr>
      <w:tr w:rsidR="00E55816" w:rsidRPr="00210415" w14:paraId="65E58BDB" w14:textId="77777777" w:rsidTr="00025864">
        <w:trPr>
          <w:cantSplit/>
          <w:trHeight w:val="23"/>
        </w:trPr>
        <w:tc>
          <w:tcPr>
            <w:tcW w:w="10031" w:type="dxa"/>
            <w:gridSpan w:val="4"/>
            <w:shd w:val="clear" w:color="auto" w:fill="auto"/>
          </w:tcPr>
          <w:p w14:paraId="785EBF80" w14:textId="18F4B86B" w:rsidR="00E55816" w:rsidRPr="00210415" w:rsidRDefault="00891CF6" w:rsidP="00E55816">
            <w:pPr>
              <w:pStyle w:val="Source"/>
            </w:pPr>
            <w:r w:rsidRPr="00210415">
              <w:t>Note by the Secretary-General</w:t>
            </w:r>
          </w:p>
        </w:tc>
      </w:tr>
      <w:tr w:rsidR="00E55816" w:rsidRPr="00210415" w14:paraId="73807399" w14:textId="77777777" w:rsidTr="00025864">
        <w:trPr>
          <w:cantSplit/>
          <w:trHeight w:val="23"/>
        </w:trPr>
        <w:tc>
          <w:tcPr>
            <w:tcW w:w="10031" w:type="dxa"/>
            <w:gridSpan w:val="4"/>
            <w:shd w:val="clear" w:color="auto" w:fill="auto"/>
          </w:tcPr>
          <w:p w14:paraId="3233423A" w14:textId="39AD3BF9" w:rsidR="00B62691" w:rsidRPr="00210415" w:rsidRDefault="00B62691" w:rsidP="00126116">
            <w:pPr>
              <w:pStyle w:val="Title1"/>
            </w:pPr>
            <w:r w:rsidRPr="00210415">
              <w:t>RESOLUTION 216 (BUCHAREST, 2022)</w:t>
            </w:r>
          </w:p>
        </w:tc>
      </w:tr>
      <w:tr w:rsidR="00E55816" w:rsidRPr="00210415" w14:paraId="1D2A6026" w14:textId="77777777" w:rsidTr="00025864">
        <w:trPr>
          <w:cantSplit/>
          <w:trHeight w:val="23"/>
        </w:trPr>
        <w:tc>
          <w:tcPr>
            <w:tcW w:w="10031" w:type="dxa"/>
            <w:gridSpan w:val="4"/>
            <w:shd w:val="clear" w:color="auto" w:fill="auto"/>
          </w:tcPr>
          <w:p w14:paraId="21DFAE31" w14:textId="0B372480" w:rsidR="00E55816" w:rsidRPr="00210415" w:rsidRDefault="00E55816" w:rsidP="00E55816">
            <w:pPr>
              <w:pStyle w:val="Title2"/>
            </w:pPr>
          </w:p>
        </w:tc>
      </w:tr>
      <w:tr w:rsidR="00A538A6" w:rsidRPr="00210415" w14:paraId="7E7EA392" w14:textId="77777777" w:rsidTr="00025864">
        <w:trPr>
          <w:cantSplit/>
          <w:trHeight w:val="23"/>
        </w:trPr>
        <w:tc>
          <w:tcPr>
            <w:tcW w:w="10031" w:type="dxa"/>
            <w:gridSpan w:val="4"/>
            <w:shd w:val="clear" w:color="auto" w:fill="auto"/>
          </w:tcPr>
          <w:p w14:paraId="7DB75D2E" w14:textId="77777777" w:rsidR="00A538A6" w:rsidRPr="00210415" w:rsidRDefault="00A538A6" w:rsidP="004B13CB">
            <w:pPr>
              <w:pStyle w:val="Agendaitem"/>
              <w:rPr>
                <w:lang w:val="en-GB"/>
              </w:rPr>
            </w:pPr>
          </w:p>
        </w:tc>
      </w:tr>
    </w:tbl>
    <w:bookmarkEnd w:id="5"/>
    <w:bookmarkEnd w:id="6"/>
    <w:p w14:paraId="39DDECBF" w14:textId="32789CD6" w:rsidR="00514C2A" w:rsidRPr="00210415" w:rsidRDefault="00B34AC7" w:rsidP="00514C2A">
      <w:r w:rsidRPr="00210415">
        <w:t>Resolution</w:t>
      </w:r>
      <w:r w:rsidR="00126116" w:rsidRPr="00210415">
        <w:t> </w:t>
      </w:r>
      <w:r w:rsidRPr="00210415">
        <w:t>216 (Bucharest,</w:t>
      </w:r>
      <w:r w:rsidR="00126116" w:rsidRPr="00210415">
        <w:t> </w:t>
      </w:r>
      <w:r w:rsidRPr="00210415">
        <w:t xml:space="preserve">2022) </w:t>
      </w:r>
      <w:r w:rsidR="0080048F" w:rsidRPr="00210415">
        <w:t xml:space="preserve">of the ITU Plenipotentiary Conference </w:t>
      </w:r>
      <w:r w:rsidRPr="00210415">
        <w:t>is brought to the attention of WRC</w:t>
      </w:r>
      <w:r w:rsidR="00126116" w:rsidRPr="00210415">
        <w:noBreakHyphen/>
      </w:r>
      <w:r w:rsidRPr="00210415">
        <w:t xml:space="preserve">23 in accordance with </w:t>
      </w:r>
      <w:r w:rsidRPr="00210415">
        <w:rPr>
          <w:i/>
          <w:iCs/>
        </w:rPr>
        <w:t xml:space="preserve">instructs </w:t>
      </w:r>
      <w:r w:rsidR="00654FCF" w:rsidRPr="00210415">
        <w:rPr>
          <w:i/>
          <w:iCs/>
        </w:rPr>
        <w:t xml:space="preserve">the </w:t>
      </w:r>
      <w:r w:rsidRPr="00210415">
        <w:rPr>
          <w:i/>
          <w:iCs/>
        </w:rPr>
        <w:t>Secretary-General</w:t>
      </w:r>
      <w:r w:rsidR="00126116" w:rsidRPr="00210415">
        <w:t> </w:t>
      </w:r>
      <w:r w:rsidRPr="00210415">
        <w:t xml:space="preserve">1 of the </w:t>
      </w:r>
      <w:r w:rsidR="00741737" w:rsidRPr="00210415">
        <w:t xml:space="preserve">said </w:t>
      </w:r>
      <w:r w:rsidRPr="00210415">
        <w:t>Resolution.</w:t>
      </w:r>
      <w:r w:rsidR="00514C2A" w:rsidRPr="00210415">
        <w:t xml:space="preserve"> The</w:t>
      </w:r>
      <w:r w:rsidR="00F57D75" w:rsidRPr="00210415">
        <w:t xml:space="preserve"> </w:t>
      </w:r>
      <w:r w:rsidR="00F82791" w:rsidRPr="00210415">
        <w:t>Resolution</w:t>
      </w:r>
      <w:r w:rsidR="00514C2A" w:rsidRPr="00210415">
        <w:t xml:space="preserve"> </w:t>
      </w:r>
      <w:r w:rsidR="00F82791" w:rsidRPr="00210415">
        <w:t>is</w:t>
      </w:r>
      <w:r w:rsidR="00514C2A" w:rsidRPr="00210415">
        <w:t xml:space="preserve"> included in the ITU publication “</w:t>
      </w:r>
      <w:hyperlink r:id="rId14" w:history="1">
        <w:r w:rsidR="00514C2A" w:rsidRPr="00210415">
          <w:rPr>
            <w:rStyle w:val="Hyperlink"/>
          </w:rPr>
          <w:t>Collection</w:t>
        </w:r>
        <w:r w:rsidR="00514C2A" w:rsidRPr="00210415">
          <w:rPr>
            <w:rStyle w:val="Hyperlink"/>
          </w:rPr>
          <w:t xml:space="preserve"> </w:t>
        </w:r>
        <w:r w:rsidR="00514C2A" w:rsidRPr="00210415">
          <w:rPr>
            <w:rStyle w:val="Hyperlink"/>
          </w:rPr>
          <w:t>of the basic texts of the International Telecommunication Union” (2023 Edition</w:t>
        </w:r>
      </w:hyperlink>
      <w:r w:rsidR="00514C2A" w:rsidRPr="00210415">
        <w:t xml:space="preserve">) and </w:t>
      </w:r>
      <w:r w:rsidR="00F82791" w:rsidRPr="00210415">
        <w:t xml:space="preserve">is </w:t>
      </w:r>
      <w:r w:rsidR="00514C2A" w:rsidRPr="00210415">
        <w:t>provided in the Annex to this document for convenience.</w:t>
      </w:r>
    </w:p>
    <w:p w14:paraId="0DDE5A23" w14:textId="11D02562" w:rsidR="00F85BCD" w:rsidRPr="00210415" w:rsidRDefault="00F85BCD" w:rsidP="00DC3F67"/>
    <w:p w14:paraId="09061399" w14:textId="77777777" w:rsidR="00B34AC7" w:rsidRPr="00210415" w:rsidRDefault="00B34AC7" w:rsidP="00DC3F67"/>
    <w:p w14:paraId="78893E5D" w14:textId="77777777" w:rsidR="00B34AC7" w:rsidRPr="00210415" w:rsidRDefault="00B34AC7" w:rsidP="00DC3F67"/>
    <w:p w14:paraId="50DE7218" w14:textId="77777777" w:rsidR="00514C2A" w:rsidRPr="00210415" w:rsidRDefault="00514C2A" w:rsidP="00DC3F67"/>
    <w:p w14:paraId="02B807D8" w14:textId="290D7A0F" w:rsidR="0062573D" w:rsidRPr="00210415" w:rsidRDefault="00741737" w:rsidP="0062573D">
      <w:pPr>
        <w:tabs>
          <w:tab w:val="center" w:pos="7088"/>
        </w:tabs>
      </w:pPr>
      <w:r w:rsidRPr="00210415">
        <w:tab/>
      </w:r>
      <w:r w:rsidRPr="00210415">
        <w:tab/>
      </w:r>
      <w:r w:rsidR="0062573D" w:rsidRPr="00210415">
        <w:tab/>
      </w:r>
      <w:r w:rsidR="0062573D" w:rsidRPr="00210415">
        <w:tab/>
        <w:t>Doreen BOGDAN-MARTIN</w:t>
      </w:r>
      <w:r w:rsidR="0062573D" w:rsidRPr="00210415">
        <w:br/>
      </w:r>
      <w:r w:rsidR="0062573D" w:rsidRPr="00210415">
        <w:tab/>
      </w:r>
      <w:r w:rsidR="0062573D" w:rsidRPr="00210415">
        <w:tab/>
      </w:r>
      <w:r w:rsidR="0062573D" w:rsidRPr="00210415">
        <w:tab/>
      </w:r>
      <w:r w:rsidR="0062573D" w:rsidRPr="00210415">
        <w:tab/>
        <w:t>Secretary-General</w:t>
      </w:r>
    </w:p>
    <w:p w14:paraId="6911A81B" w14:textId="77777777" w:rsidR="0062573D" w:rsidRPr="00210415" w:rsidRDefault="0062573D" w:rsidP="0062573D"/>
    <w:p w14:paraId="08F54E0D" w14:textId="77777777" w:rsidR="00B62691" w:rsidRPr="00210415" w:rsidRDefault="00B62691" w:rsidP="00210415"/>
    <w:p w14:paraId="71E49A91" w14:textId="77777777" w:rsidR="00B62691" w:rsidRPr="00210415" w:rsidRDefault="00B62691" w:rsidP="00210415"/>
    <w:p w14:paraId="34947C8F" w14:textId="77777777" w:rsidR="00B62691" w:rsidRPr="00210415" w:rsidRDefault="00B62691" w:rsidP="00210415"/>
    <w:p w14:paraId="7A894FB2" w14:textId="77777777" w:rsidR="00B62691" w:rsidRPr="00210415" w:rsidRDefault="00B62691" w:rsidP="00210415"/>
    <w:p w14:paraId="62A0750D" w14:textId="77777777" w:rsidR="00B62691" w:rsidRPr="00210415" w:rsidRDefault="00B62691" w:rsidP="00210415"/>
    <w:p w14:paraId="253A3DE1" w14:textId="46649856" w:rsidR="00210415" w:rsidRPr="00210415" w:rsidRDefault="00B62691" w:rsidP="00126116">
      <w:r w:rsidRPr="00210415">
        <w:rPr>
          <w:b/>
          <w:bCs/>
        </w:rPr>
        <w:t>Annex</w:t>
      </w:r>
      <w:r w:rsidRPr="00210415">
        <w:t xml:space="preserve">: </w:t>
      </w:r>
      <w:r w:rsidRPr="00210415">
        <w:tab/>
      </w:r>
      <w:r w:rsidR="00F57D75" w:rsidRPr="00210415">
        <w:t>1</w:t>
      </w:r>
    </w:p>
    <w:p w14:paraId="0F54A6A3" w14:textId="1F47EC20" w:rsidR="00D71BE3" w:rsidRPr="00210415" w:rsidRDefault="00D71BE3" w:rsidP="00126116">
      <w:r w:rsidRPr="00210415">
        <w:br w:type="page"/>
      </w:r>
    </w:p>
    <w:p w14:paraId="32B9A648" w14:textId="77777777" w:rsidR="0088718D" w:rsidRPr="00210415" w:rsidRDefault="0088718D" w:rsidP="001C62DE">
      <w:pPr>
        <w:pStyle w:val="AnnexNo"/>
      </w:pPr>
      <w:r w:rsidRPr="00210415">
        <w:lastRenderedPageBreak/>
        <w:t>ANNEX</w:t>
      </w:r>
    </w:p>
    <w:p w14:paraId="1EA9B4C7" w14:textId="25F4CF04" w:rsidR="0088718D" w:rsidRPr="00210415" w:rsidRDefault="0088718D" w:rsidP="001C62DE">
      <w:pPr>
        <w:pStyle w:val="ResNo"/>
        <w:keepNext/>
        <w:keepLines/>
        <w:tabs>
          <w:tab w:val="clear" w:pos="567"/>
          <w:tab w:val="clear" w:pos="1701"/>
          <w:tab w:val="clear" w:pos="2835"/>
          <w:tab w:val="left" w:pos="1871"/>
        </w:tabs>
        <w:spacing w:before="480"/>
        <w:rPr>
          <w:rFonts w:ascii="Times New Roman" w:hAnsi="Times New Roman"/>
        </w:rPr>
      </w:pPr>
      <w:r w:rsidRPr="00210415">
        <w:rPr>
          <w:rFonts w:ascii="Times New Roman" w:hAnsi="Times New Roman"/>
        </w:rPr>
        <w:t>RESOLUTION</w:t>
      </w:r>
      <w:r w:rsidR="00126116" w:rsidRPr="00210415">
        <w:rPr>
          <w:rFonts w:ascii="Times New Roman" w:hAnsi="Times New Roman"/>
        </w:rPr>
        <w:t> </w:t>
      </w:r>
      <w:r w:rsidRPr="00210415">
        <w:rPr>
          <w:rFonts w:ascii="Times New Roman" w:hAnsi="Times New Roman"/>
        </w:rPr>
        <w:t>216 (BUCHAREST,</w:t>
      </w:r>
      <w:r w:rsidR="00126116" w:rsidRPr="00210415">
        <w:rPr>
          <w:rFonts w:ascii="Times New Roman" w:hAnsi="Times New Roman"/>
        </w:rPr>
        <w:t> </w:t>
      </w:r>
      <w:r w:rsidRPr="00210415">
        <w:rPr>
          <w:rFonts w:ascii="Times New Roman" w:hAnsi="Times New Roman"/>
        </w:rPr>
        <w:t>2022)</w:t>
      </w:r>
    </w:p>
    <w:p w14:paraId="6F890304" w14:textId="77777777" w:rsidR="0088718D" w:rsidRPr="00210415" w:rsidRDefault="0088718D" w:rsidP="001C62DE">
      <w:pPr>
        <w:pStyle w:val="Restitle"/>
        <w:keepNext/>
        <w:keepLines/>
        <w:tabs>
          <w:tab w:val="clear" w:pos="567"/>
          <w:tab w:val="clear" w:pos="1701"/>
          <w:tab w:val="clear" w:pos="2835"/>
          <w:tab w:val="left" w:pos="1871"/>
        </w:tabs>
        <w:spacing w:after="0"/>
        <w:rPr>
          <w:rFonts w:ascii="Times New Roman Bold" w:hAnsi="Times New Roman Bold"/>
        </w:rPr>
      </w:pPr>
      <w:r w:rsidRPr="00210415">
        <w:rPr>
          <w:rFonts w:ascii="Times New Roman Bold" w:hAnsi="Times New Roman Bold"/>
        </w:rPr>
        <w:t>Use of frequency assignments by military radio installations for</w:t>
      </w:r>
      <w:r w:rsidRPr="00210415">
        <w:rPr>
          <w:rFonts w:ascii="Times New Roman Bold" w:hAnsi="Times New Roman Bold"/>
        </w:rPr>
        <w:br/>
        <w:t>national defence services</w:t>
      </w:r>
    </w:p>
    <w:p w14:paraId="7645B0A7" w14:textId="65A3E49E" w:rsidR="0088718D" w:rsidRPr="00210415" w:rsidRDefault="0088718D" w:rsidP="001C62DE">
      <w:pPr>
        <w:pStyle w:val="Normalaftertitle"/>
        <w:tabs>
          <w:tab w:val="clear" w:pos="567"/>
          <w:tab w:val="clear" w:pos="1701"/>
          <w:tab w:val="clear" w:pos="2835"/>
          <w:tab w:val="left" w:pos="1871"/>
        </w:tabs>
        <w:spacing w:before="280"/>
        <w:rPr>
          <w:rFonts w:ascii="Times New Roman" w:hAnsi="Times New Roman"/>
        </w:rPr>
      </w:pPr>
      <w:r w:rsidRPr="00210415">
        <w:rPr>
          <w:rFonts w:ascii="Times New Roman" w:hAnsi="Times New Roman"/>
        </w:rPr>
        <w:t>The Plenipotentiary Conference of the International Telecommunication Union (Bucharest,</w:t>
      </w:r>
      <w:r w:rsidR="00126116" w:rsidRPr="00210415">
        <w:rPr>
          <w:rFonts w:ascii="Times New Roman" w:hAnsi="Times New Roman"/>
        </w:rPr>
        <w:t> </w:t>
      </w:r>
      <w:r w:rsidRPr="00210415">
        <w:rPr>
          <w:rFonts w:ascii="Times New Roman" w:hAnsi="Times New Roman"/>
        </w:rPr>
        <w:t>2022),</w:t>
      </w:r>
    </w:p>
    <w:p w14:paraId="6A96EEC7" w14:textId="77777777" w:rsidR="0088718D" w:rsidRPr="00210415" w:rsidRDefault="0088718D" w:rsidP="001C62DE">
      <w:pPr>
        <w:pStyle w:val="Call"/>
        <w:tabs>
          <w:tab w:val="clear" w:pos="567"/>
          <w:tab w:val="left" w:pos="1134"/>
          <w:tab w:val="left" w:pos="1871"/>
          <w:tab w:val="left" w:pos="2268"/>
        </w:tabs>
        <w:ind w:left="1134"/>
        <w:jc w:val="left"/>
        <w:rPr>
          <w:rFonts w:ascii="Times New Roman" w:hAnsi="Times New Roman"/>
        </w:rPr>
      </w:pPr>
      <w:r w:rsidRPr="00210415">
        <w:rPr>
          <w:rFonts w:ascii="Times New Roman" w:hAnsi="Times New Roman"/>
        </w:rPr>
        <w:t>considering</w:t>
      </w:r>
    </w:p>
    <w:p w14:paraId="3B5328BA" w14:textId="555EBDF9" w:rsidR="0088718D" w:rsidRPr="00210415" w:rsidRDefault="0088718D" w:rsidP="0088718D">
      <w:pPr>
        <w:rPr>
          <w:rFonts w:eastAsia="SimSun"/>
          <w:szCs w:val="24"/>
        </w:rPr>
      </w:pPr>
      <w:r w:rsidRPr="00210415">
        <w:rPr>
          <w:i/>
          <w:iCs/>
        </w:rPr>
        <w:t>a)</w:t>
      </w:r>
      <w:r w:rsidRPr="00210415">
        <w:tab/>
      </w:r>
      <w:r w:rsidRPr="00210415">
        <w:rPr>
          <w:rFonts w:eastAsia="SimSun"/>
          <w:szCs w:val="24"/>
        </w:rPr>
        <w:t>that the World Radiocommunication Conference (WRC) (Sharm el-Sheikh, 2019), in accordance with Article</w:t>
      </w:r>
      <w:r w:rsidR="00126116" w:rsidRPr="00210415">
        <w:rPr>
          <w:rFonts w:eastAsia="SimSun"/>
          <w:szCs w:val="24"/>
        </w:rPr>
        <w:t> </w:t>
      </w:r>
      <w:r w:rsidRPr="00210415">
        <w:rPr>
          <w:rFonts w:eastAsia="SimSun"/>
          <w:szCs w:val="24"/>
        </w:rPr>
        <w:t>21 of the ITU Convention, invited this plenipotentiary conference to consider the question of the invocation of Article</w:t>
      </w:r>
      <w:r w:rsidR="00126116" w:rsidRPr="00210415">
        <w:rPr>
          <w:rFonts w:eastAsia="SimSun"/>
          <w:szCs w:val="24"/>
        </w:rPr>
        <w:t> </w:t>
      </w:r>
      <w:r w:rsidRPr="00210415">
        <w:rPr>
          <w:rFonts w:eastAsia="SimSun"/>
          <w:szCs w:val="24"/>
        </w:rPr>
        <w:t>48 of the ITU Constitution in relation to the Radio Regulations, and to take necessary actions, as appropriate;</w:t>
      </w:r>
    </w:p>
    <w:p w14:paraId="004E38A6" w14:textId="73485BBB" w:rsidR="0088718D" w:rsidRPr="00210415" w:rsidRDefault="0088718D" w:rsidP="0088718D">
      <w:r w:rsidRPr="00210415">
        <w:rPr>
          <w:i/>
          <w:iCs/>
        </w:rPr>
        <w:t>b)</w:t>
      </w:r>
      <w:r w:rsidRPr="00210415">
        <w:tab/>
        <w:t>that there are currently no specific provisions/procedures in the Radio Regulations relating to the invocation of Article</w:t>
      </w:r>
      <w:r w:rsidR="00126116" w:rsidRPr="00210415">
        <w:t> </w:t>
      </w:r>
      <w:r w:rsidRPr="00210415">
        <w:t>48 for the processing, recording and maintaining in the Master International Frequency Register</w:t>
      </w:r>
      <w:r w:rsidR="00126116" w:rsidRPr="00210415">
        <w:t> </w:t>
      </w:r>
      <w:r w:rsidRPr="00210415">
        <w:t>(MIFR) of frequency assignments to stations that are part of installations for national defence services;</w:t>
      </w:r>
    </w:p>
    <w:p w14:paraId="53DFD9F2" w14:textId="77777777" w:rsidR="0088718D" w:rsidRPr="00210415" w:rsidRDefault="0088718D" w:rsidP="0088718D">
      <w:r w:rsidRPr="00210415">
        <w:rPr>
          <w:i/>
          <w:iCs/>
        </w:rPr>
        <w:t>c)</w:t>
      </w:r>
      <w:r w:rsidRPr="00210415">
        <w:rPr>
          <w:i/>
          <w:iCs/>
        </w:rPr>
        <w:tab/>
      </w:r>
      <w:r w:rsidRPr="00210415">
        <w:t>that Member States are by default assumed to be acting with integrity when invoking Article 48 for military radio installations</w:t>
      </w:r>
      <w:r w:rsidRPr="00210415">
        <w:rPr>
          <w:i/>
          <w:iCs/>
        </w:rPr>
        <w:t>;</w:t>
      </w:r>
    </w:p>
    <w:p w14:paraId="4DB9081C" w14:textId="113AD9E8" w:rsidR="0088718D" w:rsidRPr="00210415" w:rsidRDefault="0088718D" w:rsidP="0088718D">
      <w:r w:rsidRPr="00210415">
        <w:rPr>
          <w:i/>
          <w:iCs/>
        </w:rPr>
        <w:t>d)</w:t>
      </w:r>
      <w:r w:rsidRPr="00210415">
        <w:tab/>
        <w:t>that WRC</w:t>
      </w:r>
      <w:r w:rsidR="00126116" w:rsidRPr="00210415">
        <w:noBreakHyphen/>
      </w:r>
      <w:r w:rsidRPr="00210415">
        <w:t>15 noted that Article</w:t>
      </w:r>
      <w:r w:rsidR="00126116" w:rsidRPr="00210415">
        <w:t> </w:t>
      </w:r>
      <w:r w:rsidRPr="00210415">
        <w:t>48 refers to "military radio installations" and not to stations used for governmental purposes in general,</w:t>
      </w:r>
    </w:p>
    <w:p w14:paraId="4E78F150" w14:textId="77777777" w:rsidR="0088718D" w:rsidRPr="00210415" w:rsidRDefault="0088718D" w:rsidP="001C62DE">
      <w:pPr>
        <w:pStyle w:val="Call"/>
        <w:tabs>
          <w:tab w:val="clear" w:pos="567"/>
          <w:tab w:val="left" w:pos="1134"/>
          <w:tab w:val="left" w:pos="1871"/>
          <w:tab w:val="left" w:pos="2268"/>
        </w:tabs>
        <w:ind w:left="1134"/>
        <w:jc w:val="left"/>
        <w:rPr>
          <w:rFonts w:ascii="Times New Roman" w:hAnsi="Times New Roman"/>
        </w:rPr>
      </w:pPr>
      <w:r w:rsidRPr="00210415">
        <w:rPr>
          <w:rFonts w:ascii="Times New Roman" w:hAnsi="Times New Roman"/>
        </w:rPr>
        <w:t>recognizing</w:t>
      </w:r>
    </w:p>
    <w:p w14:paraId="10CE6D6C" w14:textId="77777777" w:rsidR="0088718D" w:rsidRPr="00210415" w:rsidRDefault="0088718D" w:rsidP="0088718D">
      <w:r w:rsidRPr="00210415">
        <w:rPr>
          <w:i/>
          <w:iCs/>
        </w:rPr>
        <w:t>a)</w:t>
      </w:r>
      <w:r w:rsidRPr="00210415">
        <w:tab/>
        <w:t>that the provisions of the Constitution are further complemented by those of the Administrative Regulations, including the Radio Regulations;</w:t>
      </w:r>
    </w:p>
    <w:p w14:paraId="5A48762A" w14:textId="29E47327" w:rsidR="0088718D" w:rsidRPr="00210415" w:rsidRDefault="0088718D" w:rsidP="0088718D">
      <w:r w:rsidRPr="00210415">
        <w:rPr>
          <w:i/>
          <w:iCs/>
        </w:rPr>
        <w:t>b)</w:t>
      </w:r>
      <w:r w:rsidRPr="00210415">
        <w:tab/>
        <w:t>that, as per No.</w:t>
      </w:r>
      <w:r w:rsidR="00126116" w:rsidRPr="00210415">
        <w:t> </w:t>
      </w:r>
      <w:r w:rsidRPr="00210415">
        <w:t>202 of the Constitution, under Article</w:t>
      </w:r>
      <w:r w:rsidR="00126116" w:rsidRPr="00210415">
        <w:t> </w:t>
      </w:r>
      <w:r w:rsidRPr="00210415">
        <w:t>48, Member States retain their entire freedom with regard to military radio installations;</w:t>
      </w:r>
    </w:p>
    <w:p w14:paraId="368270DD" w14:textId="41076960" w:rsidR="0088718D" w:rsidRPr="00210415" w:rsidRDefault="0088718D" w:rsidP="0088718D">
      <w:r w:rsidRPr="00210415">
        <w:rPr>
          <w:i/>
          <w:iCs/>
        </w:rPr>
        <w:t>c)</w:t>
      </w:r>
      <w:r w:rsidRPr="00210415">
        <w:tab/>
        <w:t>that, as per No.</w:t>
      </w:r>
      <w:r w:rsidR="00126116" w:rsidRPr="00210415">
        <w:t> </w:t>
      </w:r>
      <w:r w:rsidRPr="00210415">
        <w:t>203 of the Constitution, under Article</w:t>
      </w:r>
      <w:r w:rsidR="00126116" w:rsidRPr="00210415">
        <w:t> </w:t>
      </w:r>
      <w:r w:rsidRPr="00210415">
        <w:t>48, these installations must, so far as possible, observe statutory provisions relative to the measures to be taken to prevent harmful interference;</w:t>
      </w:r>
    </w:p>
    <w:p w14:paraId="4530A726" w14:textId="5EDDE90C" w:rsidR="0088718D" w:rsidRPr="00210415" w:rsidRDefault="0088718D" w:rsidP="0088718D">
      <w:r w:rsidRPr="00210415">
        <w:rPr>
          <w:i/>
          <w:iCs/>
        </w:rPr>
        <w:t>d)</w:t>
      </w:r>
      <w:r w:rsidRPr="00210415">
        <w:tab/>
        <w:t>that there is no restriction for any Member State to invoke Article</w:t>
      </w:r>
      <w:r w:rsidR="00126116" w:rsidRPr="00210415">
        <w:t> </w:t>
      </w:r>
      <w:r w:rsidRPr="00210415">
        <w:t>48 for military radio installations in application of the Radio Regulations;</w:t>
      </w:r>
    </w:p>
    <w:p w14:paraId="768946FA" w14:textId="77777777" w:rsidR="0088718D" w:rsidRPr="00210415" w:rsidRDefault="0088718D" w:rsidP="0088718D">
      <w:r w:rsidRPr="00210415">
        <w:rPr>
          <w:i/>
          <w:iCs/>
        </w:rPr>
        <w:t>e)</w:t>
      </w:r>
      <w:r w:rsidRPr="00210415">
        <w:tab/>
        <w:t>that the rights for international recognition and protection of any frequency assignments are derived from the recording of those frequency assignments in the MIFR and conditioned by the provisions of the Radio Regulations,</w:t>
      </w:r>
    </w:p>
    <w:p w14:paraId="0B74CD6C" w14:textId="77777777" w:rsidR="0088718D" w:rsidRPr="00210415" w:rsidRDefault="0088718D" w:rsidP="001C62DE">
      <w:pPr>
        <w:pStyle w:val="Call"/>
        <w:tabs>
          <w:tab w:val="clear" w:pos="567"/>
          <w:tab w:val="left" w:pos="1134"/>
          <w:tab w:val="left" w:pos="1871"/>
          <w:tab w:val="left" w:pos="2268"/>
        </w:tabs>
        <w:ind w:left="1134"/>
        <w:jc w:val="left"/>
        <w:rPr>
          <w:rFonts w:ascii="Times New Roman" w:hAnsi="Times New Roman"/>
        </w:rPr>
      </w:pPr>
      <w:r w:rsidRPr="00210415">
        <w:rPr>
          <w:rFonts w:ascii="Times New Roman" w:hAnsi="Times New Roman"/>
        </w:rPr>
        <w:t>recognizing further</w:t>
      </w:r>
    </w:p>
    <w:p w14:paraId="1AF97197" w14:textId="4400F890" w:rsidR="0088718D" w:rsidRPr="00210415" w:rsidRDefault="0088718D" w:rsidP="0088718D">
      <w:r w:rsidRPr="00210415">
        <w:t>that there is a need to maintain the sensitivity and confidentiality of the information provided for frequency assignments for which Article</w:t>
      </w:r>
      <w:r w:rsidR="00126116" w:rsidRPr="00210415">
        <w:t> </w:t>
      </w:r>
      <w:r w:rsidRPr="00210415">
        <w:t>48 is invoked,</w:t>
      </w:r>
    </w:p>
    <w:p w14:paraId="6E878106" w14:textId="77777777" w:rsidR="0088718D" w:rsidRPr="00210415" w:rsidRDefault="0088718D" w:rsidP="001C62DE">
      <w:pPr>
        <w:pStyle w:val="Call"/>
        <w:tabs>
          <w:tab w:val="clear" w:pos="567"/>
          <w:tab w:val="left" w:pos="1134"/>
          <w:tab w:val="left" w:pos="1871"/>
          <w:tab w:val="left" w:pos="2268"/>
        </w:tabs>
        <w:ind w:left="1134"/>
        <w:jc w:val="left"/>
        <w:rPr>
          <w:rFonts w:ascii="Times New Roman" w:hAnsi="Times New Roman"/>
        </w:rPr>
      </w:pPr>
      <w:r w:rsidRPr="00210415">
        <w:rPr>
          <w:rFonts w:ascii="Times New Roman" w:hAnsi="Times New Roman"/>
        </w:rPr>
        <w:t>resolves</w:t>
      </w:r>
    </w:p>
    <w:p w14:paraId="5F6DB4D8" w14:textId="35817D54" w:rsidR="0088718D" w:rsidRPr="00210415" w:rsidRDefault="0088718D" w:rsidP="0088718D">
      <w:r w:rsidRPr="00210415">
        <w:t>1</w:t>
      </w:r>
      <w:r w:rsidRPr="00210415">
        <w:tab/>
        <w:t>that any invocation of Article</w:t>
      </w:r>
      <w:r w:rsidR="00126116" w:rsidRPr="00210415">
        <w:t> </w:t>
      </w:r>
      <w:r w:rsidRPr="00210415">
        <w:t>48 by a Member State shall be explicitly stated as part of the submission of that invocation;</w:t>
      </w:r>
    </w:p>
    <w:p w14:paraId="0EBFB171" w14:textId="0890B4E0" w:rsidR="0088718D" w:rsidRPr="00210415" w:rsidRDefault="0088718D" w:rsidP="0088718D">
      <w:r w:rsidRPr="00210415">
        <w:lastRenderedPageBreak/>
        <w:t>2</w:t>
      </w:r>
      <w:r w:rsidRPr="00210415">
        <w:tab/>
        <w:t>that, in case of an invocation of Article</w:t>
      </w:r>
      <w:r w:rsidR="00126116" w:rsidRPr="00210415">
        <w:t> </w:t>
      </w:r>
      <w:r w:rsidRPr="00210415">
        <w:t>48 during the application of the provisions of the Radio Regulations for frequency assignments to stations in the space or terrestrial services, the following shall apply:</w:t>
      </w:r>
    </w:p>
    <w:p w14:paraId="6B06EFE6" w14:textId="77777777" w:rsidR="0088718D" w:rsidRPr="00210415" w:rsidRDefault="0088718D" w:rsidP="001C62DE">
      <w:pPr>
        <w:pStyle w:val="enumlev1"/>
        <w:tabs>
          <w:tab w:val="clear" w:pos="567"/>
        </w:tabs>
        <w:ind w:left="1134" w:hanging="1134"/>
        <w:rPr>
          <w:rFonts w:asciiTheme="majorBidi" w:hAnsiTheme="majorBidi" w:cstheme="majorBidi"/>
        </w:rPr>
      </w:pPr>
      <w:r w:rsidRPr="00210415">
        <w:rPr>
          <w:rFonts w:asciiTheme="majorBidi" w:hAnsiTheme="majorBidi" w:cstheme="majorBidi"/>
        </w:rPr>
        <w:t>i)</w:t>
      </w:r>
      <w:r w:rsidRPr="00210415">
        <w:rPr>
          <w:rFonts w:asciiTheme="majorBidi" w:hAnsiTheme="majorBidi" w:cstheme="majorBidi"/>
        </w:rPr>
        <w:tab/>
        <w:t>the Member State undertakes obligations to use such frequency assignments for military radio installations;</w:t>
      </w:r>
    </w:p>
    <w:p w14:paraId="042E3F12" w14:textId="31B57A77" w:rsidR="0088718D" w:rsidRPr="00210415" w:rsidRDefault="0088718D" w:rsidP="001C62DE">
      <w:pPr>
        <w:pStyle w:val="enumlev1"/>
        <w:tabs>
          <w:tab w:val="clear" w:pos="567"/>
        </w:tabs>
        <w:ind w:left="1134" w:hanging="1134"/>
        <w:rPr>
          <w:rFonts w:asciiTheme="majorBidi" w:hAnsiTheme="majorBidi" w:cstheme="majorBidi"/>
        </w:rPr>
      </w:pPr>
      <w:r w:rsidRPr="00210415">
        <w:rPr>
          <w:rFonts w:asciiTheme="majorBidi" w:hAnsiTheme="majorBidi" w:cstheme="majorBidi"/>
        </w:rPr>
        <w:t>ii)</w:t>
      </w:r>
      <w:r w:rsidRPr="00210415">
        <w:rPr>
          <w:rFonts w:asciiTheme="majorBidi" w:hAnsiTheme="majorBidi" w:cstheme="majorBidi"/>
        </w:rPr>
        <w:tab/>
        <w:t>if a frequency assignment for which Article</w:t>
      </w:r>
      <w:r w:rsidR="00126116" w:rsidRPr="00210415">
        <w:rPr>
          <w:rFonts w:asciiTheme="majorBidi" w:hAnsiTheme="majorBidi" w:cstheme="majorBidi"/>
        </w:rPr>
        <w:t> </w:t>
      </w:r>
      <w:r w:rsidRPr="00210415">
        <w:rPr>
          <w:rFonts w:asciiTheme="majorBidi" w:hAnsiTheme="majorBidi" w:cstheme="majorBidi"/>
        </w:rPr>
        <w:t>48 has been invoked is used for non-military radio installations, all relevant provisions of the Radio Regulations shall apply to the frequency assignment;</w:t>
      </w:r>
    </w:p>
    <w:p w14:paraId="7D365A65" w14:textId="0B538600" w:rsidR="0088718D" w:rsidRPr="00210415" w:rsidRDefault="0088718D" w:rsidP="001C62DE">
      <w:pPr>
        <w:pStyle w:val="enumlev1"/>
        <w:tabs>
          <w:tab w:val="clear" w:pos="567"/>
        </w:tabs>
        <w:ind w:left="1134" w:hanging="1134"/>
        <w:rPr>
          <w:rFonts w:asciiTheme="majorBidi" w:hAnsiTheme="majorBidi" w:cstheme="majorBidi"/>
        </w:rPr>
      </w:pPr>
      <w:r w:rsidRPr="00210415">
        <w:rPr>
          <w:rFonts w:asciiTheme="majorBidi" w:hAnsiTheme="majorBidi" w:cstheme="majorBidi"/>
        </w:rPr>
        <w:t>iii)</w:t>
      </w:r>
      <w:r w:rsidRPr="00210415">
        <w:rPr>
          <w:rFonts w:asciiTheme="majorBidi" w:hAnsiTheme="majorBidi" w:cstheme="majorBidi"/>
        </w:rPr>
        <w:tab/>
        <w:t>the Member State undertakes obligations to revoke an invocation of Article</w:t>
      </w:r>
      <w:r w:rsidR="00126116" w:rsidRPr="00210415">
        <w:rPr>
          <w:rFonts w:asciiTheme="majorBidi" w:hAnsiTheme="majorBidi" w:cstheme="majorBidi"/>
        </w:rPr>
        <w:t> </w:t>
      </w:r>
      <w:r w:rsidRPr="00210415">
        <w:rPr>
          <w:rFonts w:asciiTheme="majorBidi" w:hAnsiTheme="majorBidi" w:cstheme="majorBidi"/>
        </w:rPr>
        <w:t>48 if such frequency assignment is no longer used for military radio installations;</w:t>
      </w:r>
    </w:p>
    <w:p w14:paraId="3727CBCD" w14:textId="02873BE2" w:rsidR="0088718D" w:rsidRPr="00210415" w:rsidRDefault="0088718D" w:rsidP="0088718D">
      <w:r w:rsidRPr="00210415">
        <w:t>3</w:t>
      </w:r>
      <w:r w:rsidRPr="00210415">
        <w:tab/>
        <w:t>that, in the case of an invocation of Article</w:t>
      </w:r>
      <w:r w:rsidR="00126116" w:rsidRPr="00210415">
        <w:t> </w:t>
      </w:r>
      <w:r w:rsidRPr="00210415">
        <w:t>48 being made as of 15</w:t>
      </w:r>
      <w:r w:rsidR="00126116" w:rsidRPr="00210415">
        <w:t> </w:t>
      </w:r>
      <w:r w:rsidRPr="00210415">
        <w:t>October</w:t>
      </w:r>
      <w:r w:rsidR="00126116" w:rsidRPr="00210415">
        <w:t> </w:t>
      </w:r>
      <w:r w:rsidRPr="00210415">
        <w:t>2022 and then being subsequently revoked, or any revocation of the invocation of Articl</w:t>
      </w:r>
      <w:r w:rsidR="00126116" w:rsidRPr="00210415">
        <w:t>e </w:t>
      </w:r>
      <w:r w:rsidRPr="00210415">
        <w:t>48 after 20</w:t>
      </w:r>
      <w:r w:rsidR="00126116" w:rsidRPr="00210415">
        <w:t> </w:t>
      </w:r>
      <w:r w:rsidRPr="00210415">
        <w:t xml:space="preserve">November 2023, the associated frequency assignments shall be subject to all relevant provisions of the Radio Regulations, and the Member State shall be required to provide all relevant information to the Radiocommunication Bureau (BR), including the bringing-into-use or bringing-back-into-use information for frequency assignments related to space services; </w:t>
      </w:r>
    </w:p>
    <w:p w14:paraId="0CC23777" w14:textId="77777777" w:rsidR="0088718D" w:rsidRPr="00210415" w:rsidRDefault="0088718D" w:rsidP="0088718D">
      <w:r w:rsidRPr="00210415">
        <w:t>4</w:t>
      </w:r>
      <w:r w:rsidRPr="00210415">
        <w:tab/>
        <w:t>to urge those Member States that invoked Article 48 before 15 October 2022 to review past invocations in light of this resolution, and, if the nature of use of the related frequency assignments has changed and the Member State decides to revoke the past invocation, to do so before 20 November 2023, without necessarily having to provide any additional information;</w:t>
      </w:r>
    </w:p>
    <w:p w14:paraId="11D6885B" w14:textId="2009E67E" w:rsidR="0088718D" w:rsidRPr="00210415" w:rsidRDefault="0088718D" w:rsidP="0088718D">
      <w:r w:rsidRPr="00210415">
        <w:t>5</w:t>
      </w:r>
      <w:r w:rsidRPr="00210415">
        <w:tab/>
        <w:t xml:space="preserve">that BR may seek clarification from the Member State regarding possible non-compliant use of frequency assignments under Article 48 and in relation to the obligations under </w:t>
      </w:r>
      <w:r w:rsidRPr="00210415">
        <w:rPr>
          <w:i/>
          <w:iCs/>
        </w:rPr>
        <w:t>resolves</w:t>
      </w:r>
      <w:r w:rsidR="006F4DCA" w:rsidRPr="00210415">
        <w:rPr>
          <w:i/>
          <w:iCs/>
        </w:rPr>
        <w:t> </w:t>
      </w:r>
      <w:r w:rsidRPr="00210415">
        <w:t>2 above;</w:t>
      </w:r>
    </w:p>
    <w:p w14:paraId="6E39C068" w14:textId="77777777" w:rsidR="0088718D" w:rsidRPr="00210415" w:rsidRDefault="0088718D" w:rsidP="0088718D">
      <w:r w:rsidRPr="00210415">
        <w:t>6</w:t>
      </w:r>
      <w:r w:rsidRPr="00210415">
        <w:tab/>
        <w:t xml:space="preserve">that BR shall provide the Member State with the necessary rationale for the request for clarification in </w:t>
      </w:r>
      <w:r w:rsidRPr="00210415">
        <w:rPr>
          <w:i/>
          <w:iCs/>
        </w:rPr>
        <w:t>resolves</w:t>
      </w:r>
      <w:r w:rsidRPr="00210415">
        <w:t xml:space="preserve"> 5 above;</w:t>
      </w:r>
    </w:p>
    <w:p w14:paraId="38973C36" w14:textId="77777777" w:rsidR="0088718D" w:rsidRPr="00210415" w:rsidRDefault="0088718D" w:rsidP="0088718D">
      <w:r w:rsidRPr="00210415">
        <w:t>7</w:t>
      </w:r>
      <w:r w:rsidRPr="00210415">
        <w:tab/>
        <w:t>that, based on the clarification provided and in case of the disagreement of the Member State with the assessment of BR, the matter shall be referred to the Radio Regulations Board (RRB) together with the Member State's basis for its disagreement;</w:t>
      </w:r>
    </w:p>
    <w:p w14:paraId="1CEDA2C9" w14:textId="77777777" w:rsidR="0088718D" w:rsidRPr="00210415" w:rsidRDefault="0088718D" w:rsidP="0088718D">
      <w:r w:rsidRPr="00210415">
        <w:t>8</w:t>
      </w:r>
      <w:r w:rsidRPr="00210415">
        <w:tab/>
        <w:t xml:space="preserve">that, upon receipt of the information requested in </w:t>
      </w:r>
      <w:r w:rsidRPr="00210415">
        <w:rPr>
          <w:i/>
          <w:iCs/>
        </w:rPr>
        <w:t xml:space="preserve">resolves </w:t>
      </w:r>
      <w:r w:rsidRPr="00210415">
        <w:t>7 above, RRB may decide that all relevant regulatory provisions apply to that frequency assignment;</w:t>
      </w:r>
    </w:p>
    <w:p w14:paraId="638AB137" w14:textId="77777777" w:rsidR="0088718D" w:rsidRPr="00210415" w:rsidRDefault="0088718D" w:rsidP="0088718D">
      <w:r w:rsidRPr="00210415">
        <w:t>9</w:t>
      </w:r>
      <w:r w:rsidRPr="00210415">
        <w:tab/>
        <w:t>that, if the Member State disagrees with RRB's decision, it may appeal to the next WRC, and RRB's decision shall remain in abeyance until WRC decides on the matter;</w:t>
      </w:r>
    </w:p>
    <w:p w14:paraId="5ABD6DA9" w14:textId="77777777" w:rsidR="0088718D" w:rsidRPr="00210415" w:rsidRDefault="0088718D" w:rsidP="0088718D">
      <w:r w:rsidRPr="00210415">
        <w:t>10</w:t>
      </w:r>
      <w:r w:rsidRPr="00210415">
        <w:tab/>
        <w:t xml:space="preserve">that, in providing a clarification under </w:t>
      </w:r>
      <w:r w:rsidRPr="00210415">
        <w:rPr>
          <w:i/>
          <w:iCs/>
        </w:rPr>
        <w:t>resolves</w:t>
      </w:r>
      <w:r w:rsidRPr="00210415">
        <w:t xml:space="preserve"> 7 above, Member States are not obliged to provide information to RRB or BR with regard to frequency assignments for military radio installations that may cause prejudice to their installations for national defence services,</w:t>
      </w:r>
    </w:p>
    <w:p w14:paraId="0F1A8EDC" w14:textId="77777777" w:rsidR="0088718D" w:rsidRPr="00210415" w:rsidRDefault="0088718D" w:rsidP="001C62DE">
      <w:pPr>
        <w:pStyle w:val="Call"/>
        <w:tabs>
          <w:tab w:val="clear" w:pos="567"/>
          <w:tab w:val="left" w:pos="1134"/>
          <w:tab w:val="left" w:pos="1871"/>
          <w:tab w:val="left" w:pos="2268"/>
        </w:tabs>
        <w:ind w:left="1134"/>
        <w:jc w:val="left"/>
        <w:rPr>
          <w:rFonts w:ascii="Times New Roman" w:hAnsi="Times New Roman"/>
        </w:rPr>
      </w:pPr>
      <w:r w:rsidRPr="00210415">
        <w:rPr>
          <w:rFonts w:ascii="Times New Roman" w:hAnsi="Times New Roman"/>
        </w:rPr>
        <w:t>invites Member States</w:t>
      </w:r>
    </w:p>
    <w:p w14:paraId="08E73BA2" w14:textId="77777777" w:rsidR="0088718D" w:rsidRPr="00210415" w:rsidRDefault="0088718D" w:rsidP="0088718D">
      <w:r w:rsidRPr="00210415">
        <w:t xml:space="preserve">to consider using separate frequency assignments for military and non-military radio installations when Article 48 has been invoked, </w:t>
      </w:r>
    </w:p>
    <w:p w14:paraId="29E761B0" w14:textId="77777777" w:rsidR="0088718D" w:rsidRPr="00210415" w:rsidRDefault="0088718D" w:rsidP="001C62DE">
      <w:pPr>
        <w:pStyle w:val="Call"/>
        <w:tabs>
          <w:tab w:val="clear" w:pos="567"/>
          <w:tab w:val="left" w:pos="1134"/>
          <w:tab w:val="left" w:pos="1871"/>
          <w:tab w:val="left" w:pos="2268"/>
        </w:tabs>
        <w:ind w:left="1134"/>
        <w:jc w:val="left"/>
        <w:rPr>
          <w:rFonts w:ascii="Times New Roman" w:hAnsi="Times New Roman"/>
        </w:rPr>
      </w:pPr>
      <w:r w:rsidRPr="00210415">
        <w:rPr>
          <w:rFonts w:ascii="Times New Roman" w:hAnsi="Times New Roman"/>
        </w:rPr>
        <w:t>instructs the Radio Regulations Board</w:t>
      </w:r>
    </w:p>
    <w:p w14:paraId="2C9B5A61" w14:textId="77777777" w:rsidR="0088718D" w:rsidRPr="00210415" w:rsidRDefault="0088718D" w:rsidP="0088718D">
      <w:r w:rsidRPr="00210415">
        <w:t xml:space="preserve">to consider this resolution with a view to taking the necessary action, where appropriate, with regard to frequency assignments for which Article 48 is invoked, taking into account </w:t>
      </w:r>
      <w:r w:rsidRPr="00210415">
        <w:rPr>
          <w:i/>
          <w:iCs/>
        </w:rPr>
        <w:t>recognizing further</w:t>
      </w:r>
      <w:r w:rsidRPr="00210415">
        <w:t xml:space="preserve"> above,</w:t>
      </w:r>
    </w:p>
    <w:p w14:paraId="5EE712FA" w14:textId="77777777" w:rsidR="0088718D" w:rsidRPr="00210415" w:rsidRDefault="0088718D" w:rsidP="001C62DE">
      <w:pPr>
        <w:pStyle w:val="Call"/>
        <w:tabs>
          <w:tab w:val="clear" w:pos="567"/>
          <w:tab w:val="left" w:pos="1134"/>
          <w:tab w:val="left" w:pos="1871"/>
          <w:tab w:val="left" w:pos="2268"/>
        </w:tabs>
        <w:ind w:left="1134"/>
        <w:jc w:val="left"/>
        <w:rPr>
          <w:rFonts w:ascii="Times New Roman" w:hAnsi="Times New Roman"/>
        </w:rPr>
      </w:pPr>
      <w:r w:rsidRPr="00210415">
        <w:rPr>
          <w:rFonts w:ascii="Times New Roman" w:hAnsi="Times New Roman"/>
        </w:rPr>
        <w:lastRenderedPageBreak/>
        <w:t>instructs the Secretary-General</w:t>
      </w:r>
    </w:p>
    <w:p w14:paraId="61CFF58F" w14:textId="77777777" w:rsidR="0088718D" w:rsidRPr="00210415" w:rsidRDefault="0088718D" w:rsidP="0088718D">
      <w:r w:rsidRPr="00210415">
        <w:t>1</w:t>
      </w:r>
      <w:r w:rsidRPr="00210415">
        <w:tab/>
        <w:t>to bring this resolution to the attention of WRC-23;</w:t>
      </w:r>
    </w:p>
    <w:p w14:paraId="020C48A4" w14:textId="77777777" w:rsidR="0088718D" w:rsidRPr="00210415" w:rsidRDefault="0088718D" w:rsidP="0088718D">
      <w:r w:rsidRPr="00210415">
        <w:t>2</w:t>
      </w:r>
      <w:r w:rsidRPr="00210415">
        <w:tab/>
      </w:r>
      <w:r w:rsidRPr="00210415">
        <w:rPr>
          <w:lang w:eastAsia="pt-BR"/>
        </w:rPr>
        <w:t>to report to the next plenipotentiary conference on the implementation of this resolution</w:t>
      </w:r>
      <w:r w:rsidRPr="00210415">
        <w:t>.</w:t>
      </w:r>
    </w:p>
    <w:p w14:paraId="1B1C1BB9" w14:textId="77777777" w:rsidR="00210415" w:rsidRPr="00210415" w:rsidRDefault="00210415" w:rsidP="00210415"/>
    <w:p w14:paraId="288DFA7D" w14:textId="2E62EEFB" w:rsidR="001C62DE" w:rsidRPr="00126116" w:rsidRDefault="001C62DE" w:rsidP="001C62DE">
      <w:pPr>
        <w:jc w:val="center"/>
      </w:pPr>
      <w:r w:rsidRPr="00210415">
        <w:t>_______________</w:t>
      </w:r>
    </w:p>
    <w:sectPr w:rsidR="001C62DE" w:rsidRPr="00126116"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CE84" w14:textId="77777777" w:rsidR="00EC7F94" w:rsidRDefault="00EC7F94">
      <w:r>
        <w:separator/>
      </w:r>
    </w:p>
  </w:endnote>
  <w:endnote w:type="continuationSeparator" w:id="0">
    <w:p w14:paraId="6CB9B363" w14:textId="77777777" w:rsidR="00EC7F94" w:rsidRDefault="00EC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7D2D" w14:textId="77777777" w:rsidR="00E45D05" w:rsidRDefault="00E45D05">
    <w:pPr>
      <w:framePr w:wrap="around" w:vAnchor="text" w:hAnchor="margin" w:xAlign="right" w:y="1"/>
    </w:pPr>
    <w:r>
      <w:fldChar w:fldCharType="begin"/>
    </w:r>
    <w:r>
      <w:instrText xml:space="preserve">PAGE  </w:instrText>
    </w:r>
    <w:r>
      <w:fldChar w:fldCharType="end"/>
    </w:r>
  </w:p>
  <w:p w14:paraId="7AE00B13" w14:textId="76D0DC01" w:rsidR="00E45D05" w:rsidRPr="0080048F" w:rsidRDefault="00E45D05">
    <w:pPr>
      <w:ind w:right="360"/>
      <w:rPr>
        <w:lang w:val="pt-PT"/>
      </w:rPr>
    </w:pPr>
    <w:r>
      <w:fldChar w:fldCharType="begin"/>
    </w:r>
    <w:r w:rsidRPr="0080048F">
      <w:rPr>
        <w:lang w:val="pt-PT"/>
      </w:rPr>
      <w:instrText xml:space="preserve"> FILENAME \p  \* MERGEFORMAT </w:instrText>
    </w:r>
    <w:r>
      <w:fldChar w:fldCharType="separate"/>
    </w:r>
    <w:r w:rsidR="00433D02" w:rsidRPr="0080048F">
      <w:rPr>
        <w:noProof/>
        <w:lang w:val="pt-PT"/>
      </w:rPr>
      <w:t>P:\ENG\ITU-R\CONF-R\CMR23\000\056E.docx</w:t>
    </w:r>
    <w:r>
      <w:fldChar w:fldCharType="end"/>
    </w:r>
    <w:r w:rsidRPr="0080048F">
      <w:rPr>
        <w:lang w:val="pt-PT"/>
      </w:rPr>
      <w:tab/>
    </w:r>
    <w:r>
      <w:fldChar w:fldCharType="begin"/>
    </w:r>
    <w:r>
      <w:instrText xml:space="preserve"> SAVEDATE \@ DD.MM.YY </w:instrText>
    </w:r>
    <w:r>
      <w:fldChar w:fldCharType="separate"/>
    </w:r>
    <w:r w:rsidR="00210415">
      <w:rPr>
        <w:noProof/>
      </w:rPr>
      <w:t>09.11.23</w:t>
    </w:r>
    <w:r>
      <w:fldChar w:fldCharType="end"/>
    </w:r>
    <w:r w:rsidRPr="0080048F">
      <w:rPr>
        <w:lang w:val="pt-PT"/>
      </w:rPr>
      <w:tab/>
    </w:r>
    <w:r>
      <w:fldChar w:fldCharType="begin"/>
    </w:r>
    <w:r>
      <w:instrText xml:space="preserve"> PRINTDATE \@ DD.MM.YY </w:instrText>
    </w:r>
    <w:r>
      <w:fldChar w:fldCharType="separate"/>
    </w:r>
    <w:r w:rsidR="00433D02">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CD07" w14:textId="70DF690C" w:rsidR="00DC3F67" w:rsidRPr="0080048F" w:rsidRDefault="00126116" w:rsidP="00DC3F67">
    <w:pPr>
      <w:pStyle w:val="Footer"/>
      <w:rPr>
        <w:lang w:val="pt-PT"/>
      </w:rPr>
    </w:pPr>
    <w:r>
      <w:fldChar w:fldCharType="begin"/>
    </w:r>
    <w:r w:rsidRPr="0080048F">
      <w:rPr>
        <w:lang w:val="pt-PT"/>
      </w:rPr>
      <w:instrText xml:space="preserve"> FILENAME \p  \* MERGEFORMAT </w:instrText>
    </w:r>
    <w:r>
      <w:fldChar w:fldCharType="separate"/>
    </w:r>
    <w:r>
      <w:rPr>
        <w:lang w:val="pt-PT"/>
      </w:rPr>
      <w:t>P:\ENG\ITU-R\CONF-R\CMR23\200\206E.docx</w:t>
    </w:r>
    <w:r>
      <w:fldChar w:fldCharType="end"/>
    </w:r>
    <w:r w:rsidR="00DC3F67" w:rsidRPr="0080048F">
      <w:rPr>
        <w:lang w:val="pt-PT"/>
      </w:rPr>
      <w:t xml:space="preserve"> (</w:t>
    </w:r>
    <w:r>
      <w:rPr>
        <w:lang w:val="pt-PT"/>
      </w:rPr>
      <w:t>531079</w:t>
    </w:r>
    <w:r w:rsidR="00DC3F67" w:rsidRPr="0080048F">
      <w:rPr>
        <w:lang w:val="pt-P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D1F6" w14:textId="6E5AA9A1" w:rsidR="00DC3F67" w:rsidRPr="0080048F" w:rsidRDefault="00126116" w:rsidP="00DC3F67">
    <w:pPr>
      <w:pStyle w:val="Footer"/>
      <w:rPr>
        <w:lang w:val="pt-PT"/>
      </w:rPr>
    </w:pPr>
    <w:r>
      <w:fldChar w:fldCharType="begin"/>
    </w:r>
    <w:r w:rsidRPr="0080048F">
      <w:rPr>
        <w:lang w:val="pt-PT"/>
      </w:rPr>
      <w:instrText xml:space="preserve"> FILENAME \p  \* MERGEFORMAT </w:instrText>
    </w:r>
    <w:r>
      <w:fldChar w:fldCharType="separate"/>
    </w:r>
    <w:r>
      <w:rPr>
        <w:lang w:val="pt-PT"/>
      </w:rPr>
      <w:t>P:\ENG\ITU-R\CONF-R\CMR23\200\206E.docx</w:t>
    </w:r>
    <w:r>
      <w:fldChar w:fldCharType="end"/>
    </w:r>
    <w:r w:rsidR="00DC3F67" w:rsidRPr="0080048F">
      <w:rPr>
        <w:lang w:val="pt-PT"/>
      </w:rPr>
      <w:t xml:space="preserve"> (5</w:t>
    </w:r>
    <w:r>
      <w:rPr>
        <w:lang w:val="pt-PT"/>
      </w:rPr>
      <w:t>31079</w:t>
    </w:r>
    <w:r w:rsidR="00DC3F67" w:rsidRPr="0080048F">
      <w:rPr>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5688" w14:textId="77777777" w:rsidR="00EC7F94" w:rsidRDefault="00EC7F94">
      <w:r>
        <w:rPr>
          <w:b/>
        </w:rPr>
        <w:t>_______________</w:t>
      </w:r>
    </w:p>
  </w:footnote>
  <w:footnote w:type="continuationSeparator" w:id="0">
    <w:p w14:paraId="0D2DE280" w14:textId="77777777" w:rsidR="00EC7F94" w:rsidRDefault="00EC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84E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A0A395D" w14:textId="7F907772" w:rsidR="00A066F1" w:rsidRPr="00A066F1" w:rsidRDefault="00BC75DE" w:rsidP="00241FA2">
    <w:pPr>
      <w:pStyle w:val="Header"/>
    </w:pPr>
    <w:r>
      <w:t>WRC</w:t>
    </w:r>
    <w:r w:rsidR="006D70B0">
      <w:t>23</w:t>
    </w:r>
    <w:r w:rsidR="00A066F1">
      <w:t>/</w:t>
    </w:r>
    <w:r w:rsidR="001C62DE">
      <w:t>206</w:t>
    </w:r>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B410BA5"/>
    <w:multiLevelType w:val="hybridMultilevel"/>
    <w:tmpl w:val="E2E62D08"/>
    <w:lvl w:ilvl="0" w:tplc="F9C0C4C4">
      <w:start w:val="1"/>
      <w:numFmt w:val="decimal"/>
      <w:lvlText w:val="%1"/>
      <w:lvlJc w:val="left"/>
      <w:pPr>
        <w:ind w:left="113" w:hanging="567"/>
      </w:pPr>
      <w:rPr>
        <w:rFonts w:ascii="Calibri Light" w:eastAsia="Calibri Light" w:hAnsi="Calibri Light" w:cs="Calibri Light" w:hint="default"/>
        <w:b w:val="0"/>
        <w:bCs w:val="0"/>
        <w:i w:val="0"/>
        <w:iCs w:val="0"/>
        <w:color w:val="414042"/>
        <w:spacing w:val="0"/>
        <w:w w:val="100"/>
        <w:sz w:val="20"/>
        <w:szCs w:val="20"/>
        <w:lang w:val="en-US" w:eastAsia="en-US" w:bidi="ar-SA"/>
      </w:rPr>
    </w:lvl>
    <w:lvl w:ilvl="1" w:tplc="3C445816">
      <w:start w:val="1"/>
      <w:numFmt w:val="lowerRoman"/>
      <w:lvlText w:val="%2)"/>
      <w:lvlJc w:val="left"/>
      <w:pPr>
        <w:ind w:left="680" w:hanging="567"/>
      </w:pPr>
      <w:rPr>
        <w:rFonts w:ascii="Calibri Light" w:eastAsia="Calibri Light" w:hAnsi="Calibri Light" w:cs="Calibri Light" w:hint="default"/>
        <w:b w:val="0"/>
        <w:bCs w:val="0"/>
        <w:i w:val="0"/>
        <w:iCs w:val="0"/>
        <w:color w:val="414042"/>
        <w:spacing w:val="0"/>
        <w:w w:val="100"/>
        <w:sz w:val="20"/>
        <w:szCs w:val="20"/>
        <w:lang w:val="en-US" w:eastAsia="en-US" w:bidi="ar-SA"/>
      </w:rPr>
    </w:lvl>
    <w:lvl w:ilvl="2" w:tplc="DA3822D0">
      <w:numFmt w:val="bullet"/>
      <w:lvlText w:val="•"/>
      <w:lvlJc w:val="left"/>
      <w:pPr>
        <w:ind w:left="1418" w:hanging="567"/>
      </w:pPr>
      <w:rPr>
        <w:rFonts w:hint="default"/>
        <w:lang w:val="en-US" w:eastAsia="en-US" w:bidi="ar-SA"/>
      </w:rPr>
    </w:lvl>
    <w:lvl w:ilvl="3" w:tplc="D0A6FDAA">
      <w:numFmt w:val="bullet"/>
      <w:lvlText w:val="•"/>
      <w:lvlJc w:val="left"/>
      <w:pPr>
        <w:ind w:left="2157" w:hanging="567"/>
      </w:pPr>
      <w:rPr>
        <w:rFonts w:hint="default"/>
        <w:lang w:val="en-US" w:eastAsia="en-US" w:bidi="ar-SA"/>
      </w:rPr>
    </w:lvl>
    <w:lvl w:ilvl="4" w:tplc="15A25A80">
      <w:numFmt w:val="bullet"/>
      <w:lvlText w:val="•"/>
      <w:lvlJc w:val="left"/>
      <w:pPr>
        <w:ind w:left="2896" w:hanging="567"/>
      </w:pPr>
      <w:rPr>
        <w:rFonts w:hint="default"/>
        <w:lang w:val="en-US" w:eastAsia="en-US" w:bidi="ar-SA"/>
      </w:rPr>
    </w:lvl>
    <w:lvl w:ilvl="5" w:tplc="6D48BBB8">
      <w:numFmt w:val="bullet"/>
      <w:lvlText w:val="•"/>
      <w:lvlJc w:val="left"/>
      <w:pPr>
        <w:ind w:left="3635" w:hanging="567"/>
      </w:pPr>
      <w:rPr>
        <w:rFonts w:hint="default"/>
        <w:lang w:val="en-US" w:eastAsia="en-US" w:bidi="ar-SA"/>
      </w:rPr>
    </w:lvl>
    <w:lvl w:ilvl="6" w:tplc="F4E494E0">
      <w:numFmt w:val="bullet"/>
      <w:lvlText w:val="•"/>
      <w:lvlJc w:val="left"/>
      <w:pPr>
        <w:ind w:left="4374" w:hanging="567"/>
      </w:pPr>
      <w:rPr>
        <w:rFonts w:hint="default"/>
        <w:lang w:val="en-US" w:eastAsia="en-US" w:bidi="ar-SA"/>
      </w:rPr>
    </w:lvl>
    <w:lvl w:ilvl="7" w:tplc="FF54D2D4">
      <w:numFmt w:val="bullet"/>
      <w:lvlText w:val="•"/>
      <w:lvlJc w:val="left"/>
      <w:pPr>
        <w:ind w:left="5113" w:hanging="567"/>
      </w:pPr>
      <w:rPr>
        <w:rFonts w:hint="default"/>
        <w:lang w:val="en-US" w:eastAsia="en-US" w:bidi="ar-SA"/>
      </w:rPr>
    </w:lvl>
    <w:lvl w:ilvl="8" w:tplc="860E2C2C">
      <w:numFmt w:val="bullet"/>
      <w:lvlText w:val="•"/>
      <w:lvlJc w:val="left"/>
      <w:pPr>
        <w:ind w:left="5852" w:hanging="567"/>
      </w:pPr>
      <w:rPr>
        <w:rFonts w:hint="default"/>
        <w:lang w:val="en-US" w:eastAsia="en-US" w:bidi="ar-SA"/>
      </w:rPr>
    </w:lvl>
  </w:abstractNum>
  <w:abstractNum w:abstractNumId="3" w15:restartNumberingAfterBreak="0">
    <w:nsid w:val="3DFF124B"/>
    <w:multiLevelType w:val="hybridMultilevel"/>
    <w:tmpl w:val="1AE8AE16"/>
    <w:lvl w:ilvl="0" w:tplc="F86AB0BE">
      <w:start w:val="1"/>
      <w:numFmt w:val="lowerLetter"/>
      <w:lvlText w:val="%1)"/>
      <w:lvlJc w:val="left"/>
      <w:pPr>
        <w:ind w:left="113" w:hanging="567"/>
      </w:pPr>
      <w:rPr>
        <w:rFonts w:ascii="Calibri Light" w:eastAsia="Calibri Light" w:hAnsi="Calibri Light" w:cs="Calibri Light" w:hint="default"/>
        <w:b w:val="0"/>
        <w:bCs w:val="0"/>
        <w:i/>
        <w:iCs/>
        <w:color w:val="414042"/>
        <w:spacing w:val="-1"/>
        <w:w w:val="101"/>
        <w:sz w:val="20"/>
        <w:szCs w:val="20"/>
        <w:lang w:val="en-US" w:eastAsia="en-US" w:bidi="ar-SA"/>
      </w:rPr>
    </w:lvl>
    <w:lvl w:ilvl="1" w:tplc="E12CD42E">
      <w:numFmt w:val="bullet"/>
      <w:lvlText w:val="•"/>
      <w:lvlJc w:val="left"/>
      <w:pPr>
        <w:ind w:left="841" w:hanging="567"/>
      </w:pPr>
      <w:rPr>
        <w:rFonts w:hint="default"/>
        <w:lang w:val="en-US" w:eastAsia="en-US" w:bidi="ar-SA"/>
      </w:rPr>
    </w:lvl>
    <w:lvl w:ilvl="2" w:tplc="8A86D86C">
      <w:numFmt w:val="bullet"/>
      <w:lvlText w:val="•"/>
      <w:lvlJc w:val="left"/>
      <w:pPr>
        <w:ind w:left="1562" w:hanging="567"/>
      </w:pPr>
      <w:rPr>
        <w:rFonts w:hint="default"/>
        <w:lang w:val="en-US" w:eastAsia="en-US" w:bidi="ar-SA"/>
      </w:rPr>
    </w:lvl>
    <w:lvl w:ilvl="3" w:tplc="4846072A">
      <w:numFmt w:val="bullet"/>
      <w:lvlText w:val="•"/>
      <w:lvlJc w:val="left"/>
      <w:pPr>
        <w:ind w:left="2283" w:hanging="567"/>
      </w:pPr>
      <w:rPr>
        <w:rFonts w:hint="default"/>
        <w:lang w:val="en-US" w:eastAsia="en-US" w:bidi="ar-SA"/>
      </w:rPr>
    </w:lvl>
    <w:lvl w:ilvl="4" w:tplc="2F7888E8">
      <w:numFmt w:val="bullet"/>
      <w:lvlText w:val="•"/>
      <w:lvlJc w:val="left"/>
      <w:pPr>
        <w:ind w:left="3004" w:hanging="567"/>
      </w:pPr>
      <w:rPr>
        <w:rFonts w:hint="default"/>
        <w:lang w:val="en-US" w:eastAsia="en-US" w:bidi="ar-SA"/>
      </w:rPr>
    </w:lvl>
    <w:lvl w:ilvl="5" w:tplc="A216A9EE">
      <w:numFmt w:val="bullet"/>
      <w:lvlText w:val="•"/>
      <w:lvlJc w:val="left"/>
      <w:pPr>
        <w:ind w:left="3725" w:hanging="567"/>
      </w:pPr>
      <w:rPr>
        <w:rFonts w:hint="default"/>
        <w:lang w:val="en-US" w:eastAsia="en-US" w:bidi="ar-SA"/>
      </w:rPr>
    </w:lvl>
    <w:lvl w:ilvl="6" w:tplc="A33C9DDC">
      <w:numFmt w:val="bullet"/>
      <w:lvlText w:val="•"/>
      <w:lvlJc w:val="left"/>
      <w:pPr>
        <w:ind w:left="4446" w:hanging="567"/>
      </w:pPr>
      <w:rPr>
        <w:rFonts w:hint="default"/>
        <w:lang w:val="en-US" w:eastAsia="en-US" w:bidi="ar-SA"/>
      </w:rPr>
    </w:lvl>
    <w:lvl w:ilvl="7" w:tplc="697894E0">
      <w:numFmt w:val="bullet"/>
      <w:lvlText w:val="•"/>
      <w:lvlJc w:val="left"/>
      <w:pPr>
        <w:ind w:left="5167" w:hanging="567"/>
      </w:pPr>
      <w:rPr>
        <w:rFonts w:hint="default"/>
        <w:lang w:val="en-US" w:eastAsia="en-US" w:bidi="ar-SA"/>
      </w:rPr>
    </w:lvl>
    <w:lvl w:ilvl="8" w:tplc="DEE21D26">
      <w:numFmt w:val="bullet"/>
      <w:lvlText w:val="•"/>
      <w:lvlJc w:val="left"/>
      <w:pPr>
        <w:ind w:left="5888" w:hanging="567"/>
      </w:pPr>
      <w:rPr>
        <w:rFonts w:hint="default"/>
        <w:lang w:val="en-US" w:eastAsia="en-US" w:bidi="ar-SA"/>
      </w:rPr>
    </w:lvl>
  </w:abstractNum>
  <w:abstractNum w:abstractNumId="4" w15:restartNumberingAfterBreak="0">
    <w:nsid w:val="41E52E20"/>
    <w:multiLevelType w:val="hybridMultilevel"/>
    <w:tmpl w:val="77BCDF80"/>
    <w:lvl w:ilvl="0" w:tplc="C1FC716A">
      <w:start w:val="1"/>
      <w:numFmt w:val="decimal"/>
      <w:lvlText w:val="%1"/>
      <w:lvlJc w:val="left"/>
      <w:pPr>
        <w:ind w:left="680" w:hanging="567"/>
      </w:pPr>
      <w:rPr>
        <w:rFonts w:ascii="Calibri Light" w:eastAsia="Calibri Light" w:hAnsi="Calibri Light" w:cs="Calibri Light" w:hint="default"/>
        <w:b w:val="0"/>
        <w:bCs w:val="0"/>
        <w:i w:val="0"/>
        <w:iCs w:val="0"/>
        <w:color w:val="414042"/>
        <w:spacing w:val="0"/>
        <w:w w:val="100"/>
        <w:sz w:val="20"/>
        <w:szCs w:val="20"/>
        <w:lang w:val="en-US" w:eastAsia="en-US" w:bidi="ar-SA"/>
      </w:rPr>
    </w:lvl>
    <w:lvl w:ilvl="1" w:tplc="917CA412">
      <w:numFmt w:val="bullet"/>
      <w:lvlText w:val="•"/>
      <w:lvlJc w:val="left"/>
      <w:pPr>
        <w:ind w:left="1345" w:hanging="567"/>
      </w:pPr>
      <w:rPr>
        <w:rFonts w:hint="default"/>
        <w:lang w:val="en-US" w:eastAsia="en-US" w:bidi="ar-SA"/>
      </w:rPr>
    </w:lvl>
    <w:lvl w:ilvl="2" w:tplc="B2D41FB8">
      <w:numFmt w:val="bullet"/>
      <w:lvlText w:val="•"/>
      <w:lvlJc w:val="left"/>
      <w:pPr>
        <w:ind w:left="2010" w:hanging="567"/>
      </w:pPr>
      <w:rPr>
        <w:rFonts w:hint="default"/>
        <w:lang w:val="en-US" w:eastAsia="en-US" w:bidi="ar-SA"/>
      </w:rPr>
    </w:lvl>
    <w:lvl w:ilvl="3" w:tplc="43AA4560">
      <w:numFmt w:val="bullet"/>
      <w:lvlText w:val="•"/>
      <w:lvlJc w:val="left"/>
      <w:pPr>
        <w:ind w:left="2675" w:hanging="567"/>
      </w:pPr>
      <w:rPr>
        <w:rFonts w:hint="default"/>
        <w:lang w:val="en-US" w:eastAsia="en-US" w:bidi="ar-SA"/>
      </w:rPr>
    </w:lvl>
    <w:lvl w:ilvl="4" w:tplc="D2DAA092">
      <w:numFmt w:val="bullet"/>
      <w:lvlText w:val="•"/>
      <w:lvlJc w:val="left"/>
      <w:pPr>
        <w:ind w:left="3340" w:hanging="567"/>
      </w:pPr>
      <w:rPr>
        <w:rFonts w:hint="default"/>
        <w:lang w:val="en-US" w:eastAsia="en-US" w:bidi="ar-SA"/>
      </w:rPr>
    </w:lvl>
    <w:lvl w:ilvl="5" w:tplc="A5C62FBC">
      <w:numFmt w:val="bullet"/>
      <w:lvlText w:val="•"/>
      <w:lvlJc w:val="left"/>
      <w:pPr>
        <w:ind w:left="4005" w:hanging="567"/>
      </w:pPr>
      <w:rPr>
        <w:rFonts w:hint="default"/>
        <w:lang w:val="en-US" w:eastAsia="en-US" w:bidi="ar-SA"/>
      </w:rPr>
    </w:lvl>
    <w:lvl w:ilvl="6" w:tplc="8EEC8062">
      <w:numFmt w:val="bullet"/>
      <w:lvlText w:val="•"/>
      <w:lvlJc w:val="left"/>
      <w:pPr>
        <w:ind w:left="4670" w:hanging="567"/>
      </w:pPr>
      <w:rPr>
        <w:rFonts w:hint="default"/>
        <w:lang w:val="en-US" w:eastAsia="en-US" w:bidi="ar-SA"/>
      </w:rPr>
    </w:lvl>
    <w:lvl w:ilvl="7" w:tplc="C2D87D26">
      <w:numFmt w:val="bullet"/>
      <w:lvlText w:val="•"/>
      <w:lvlJc w:val="left"/>
      <w:pPr>
        <w:ind w:left="5335" w:hanging="567"/>
      </w:pPr>
      <w:rPr>
        <w:rFonts w:hint="default"/>
        <w:lang w:val="en-US" w:eastAsia="en-US" w:bidi="ar-SA"/>
      </w:rPr>
    </w:lvl>
    <w:lvl w:ilvl="8" w:tplc="9890767E">
      <w:numFmt w:val="bullet"/>
      <w:lvlText w:val="•"/>
      <w:lvlJc w:val="left"/>
      <w:pPr>
        <w:ind w:left="6000" w:hanging="567"/>
      </w:pPr>
      <w:rPr>
        <w:rFonts w:hint="default"/>
        <w:lang w:val="en-US" w:eastAsia="en-US" w:bidi="ar-SA"/>
      </w:rPr>
    </w:lvl>
  </w:abstractNum>
  <w:abstractNum w:abstractNumId="5" w15:restartNumberingAfterBreak="0">
    <w:nsid w:val="76973E72"/>
    <w:multiLevelType w:val="hybridMultilevel"/>
    <w:tmpl w:val="936AC59C"/>
    <w:lvl w:ilvl="0" w:tplc="640220D8">
      <w:start w:val="1"/>
      <w:numFmt w:val="lowerLetter"/>
      <w:lvlText w:val="%1)"/>
      <w:lvlJc w:val="left"/>
      <w:pPr>
        <w:ind w:left="113" w:hanging="567"/>
      </w:pPr>
      <w:rPr>
        <w:rFonts w:ascii="Calibri Light" w:eastAsia="Calibri Light" w:hAnsi="Calibri Light" w:cs="Calibri Light" w:hint="default"/>
        <w:b w:val="0"/>
        <w:bCs w:val="0"/>
        <w:i/>
        <w:iCs/>
        <w:color w:val="414042"/>
        <w:spacing w:val="0"/>
        <w:w w:val="100"/>
        <w:sz w:val="20"/>
        <w:szCs w:val="20"/>
        <w:lang w:val="en-US" w:eastAsia="en-US" w:bidi="ar-SA"/>
      </w:rPr>
    </w:lvl>
    <w:lvl w:ilvl="1" w:tplc="49965700">
      <w:numFmt w:val="bullet"/>
      <w:lvlText w:val="•"/>
      <w:lvlJc w:val="left"/>
      <w:pPr>
        <w:ind w:left="841" w:hanging="567"/>
      </w:pPr>
      <w:rPr>
        <w:rFonts w:hint="default"/>
        <w:lang w:val="en-US" w:eastAsia="en-US" w:bidi="ar-SA"/>
      </w:rPr>
    </w:lvl>
    <w:lvl w:ilvl="2" w:tplc="F2624CFE">
      <w:numFmt w:val="bullet"/>
      <w:lvlText w:val="•"/>
      <w:lvlJc w:val="left"/>
      <w:pPr>
        <w:ind w:left="1562" w:hanging="567"/>
      </w:pPr>
      <w:rPr>
        <w:rFonts w:hint="default"/>
        <w:lang w:val="en-US" w:eastAsia="en-US" w:bidi="ar-SA"/>
      </w:rPr>
    </w:lvl>
    <w:lvl w:ilvl="3" w:tplc="F9B89824">
      <w:numFmt w:val="bullet"/>
      <w:lvlText w:val="•"/>
      <w:lvlJc w:val="left"/>
      <w:pPr>
        <w:ind w:left="2283" w:hanging="567"/>
      </w:pPr>
      <w:rPr>
        <w:rFonts w:hint="default"/>
        <w:lang w:val="en-US" w:eastAsia="en-US" w:bidi="ar-SA"/>
      </w:rPr>
    </w:lvl>
    <w:lvl w:ilvl="4" w:tplc="37AAC6A0">
      <w:numFmt w:val="bullet"/>
      <w:lvlText w:val="•"/>
      <w:lvlJc w:val="left"/>
      <w:pPr>
        <w:ind w:left="3004" w:hanging="567"/>
      </w:pPr>
      <w:rPr>
        <w:rFonts w:hint="default"/>
        <w:lang w:val="en-US" w:eastAsia="en-US" w:bidi="ar-SA"/>
      </w:rPr>
    </w:lvl>
    <w:lvl w:ilvl="5" w:tplc="A36E6046">
      <w:numFmt w:val="bullet"/>
      <w:lvlText w:val="•"/>
      <w:lvlJc w:val="left"/>
      <w:pPr>
        <w:ind w:left="3725" w:hanging="567"/>
      </w:pPr>
      <w:rPr>
        <w:rFonts w:hint="default"/>
        <w:lang w:val="en-US" w:eastAsia="en-US" w:bidi="ar-SA"/>
      </w:rPr>
    </w:lvl>
    <w:lvl w:ilvl="6" w:tplc="DD4058DC">
      <w:numFmt w:val="bullet"/>
      <w:lvlText w:val="•"/>
      <w:lvlJc w:val="left"/>
      <w:pPr>
        <w:ind w:left="4446" w:hanging="567"/>
      </w:pPr>
      <w:rPr>
        <w:rFonts w:hint="default"/>
        <w:lang w:val="en-US" w:eastAsia="en-US" w:bidi="ar-SA"/>
      </w:rPr>
    </w:lvl>
    <w:lvl w:ilvl="7" w:tplc="55F62EEA">
      <w:numFmt w:val="bullet"/>
      <w:lvlText w:val="•"/>
      <w:lvlJc w:val="left"/>
      <w:pPr>
        <w:ind w:left="5167" w:hanging="567"/>
      </w:pPr>
      <w:rPr>
        <w:rFonts w:hint="default"/>
        <w:lang w:val="en-US" w:eastAsia="en-US" w:bidi="ar-SA"/>
      </w:rPr>
    </w:lvl>
    <w:lvl w:ilvl="8" w:tplc="50CABFFC">
      <w:numFmt w:val="bullet"/>
      <w:lvlText w:val="•"/>
      <w:lvlJc w:val="left"/>
      <w:pPr>
        <w:ind w:left="5888" w:hanging="567"/>
      </w:pPr>
      <w:rPr>
        <w:rFonts w:hint="default"/>
        <w:lang w:val="en-US" w:eastAsia="en-US" w:bidi="ar-SA"/>
      </w:rPr>
    </w:lvl>
  </w:abstractNum>
  <w:num w:numId="1" w16cid:durableId="1165823131">
    <w:abstractNumId w:val="0"/>
  </w:num>
  <w:num w:numId="2" w16cid:durableId="8053158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96477166">
    <w:abstractNumId w:val="5"/>
  </w:num>
  <w:num w:numId="4" w16cid:durableId="1062826493">
    <w:abstractNumId w:val="3"/>
  </w:num>
  <w:num w:numId="5" w16cid:durableId="573199442">
    <w:abstractNumId w:val="2"/>
  </w:num>
  <w:num w:numId="6" w16cid:durableId="440951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20A6"/>
    <w:rsid w:val="00051E39"/>
    <w:rsid w:val="000705F2"/>
    <w:rsid w:val="00077239"/>
    <w:rsid w:val="0007795D"/>
    <w:rsid w:val="00086491"/>
    <w:rsid w:val="00091346"/>
    <w:rsid w:val="00092E92"/>
    <w:rsid w:val="0009564B"/>
    <w:rsid w:val="0009706C"/>
    <w:rsid w:val="000974C8"/>
    <w:rsid w:val="000D154B"/>
    <w:rsid w:val="000D2DAF"/>
    <w:rsid w:val="000E463E"/>
    <w:rsid w:val="000F73FF"/>
    <w:rsid w:val="001137E6"/>
    <w:rsid w:val="00114CF7"/>
    <w:rsid w:val="00116C7A"/>
    <w:rsid w:val="00116EC4"/>
    <w:rsid w:val="00123B68"/>
    <w:rsid w:val="00126116"/>
    <w:rsid w:val="00126F2E"/>
    <w:rsid w:val="00127C15"/>
    <w:rsid w:val="00137736"/>
    <w:rsid w:val="00146F6F"/>
    <w:rsid w:val="0015094F"/>
    <w:rsid w:val="00156F53"/>
    <w:rsid w:val="00161F26"/>
    <w:rsid w:val="00184EB8"/>
    <w:rsid w:val="00187BD9"/>
    <w:rsid w:val="00190B55"/>
    <w:rsid w:val="001A4679"/>
    <w:rsid w:val="001B3670"/>
    <w:rsid w:val="001B3693"/>
    <w:rsid w:val="001C27EA"/>
    <w:rsid w:val="001C2CD5"/>
    <w:rsid w:val="001C3B5F"/>
    <w:rsid w:val="001C62DE"/>
    <w:rsid w:val="001C6343"/>
    <w:rsid w:val="001D058F"/>
    <w:rsid w:val="001D5A0A"/>
    <w:rsid w:val="002009EA"/>
    <w:rsid w:val="00202756"/>
    <w:rsid w:val="00202CA0"/>
    <w:rsid w:val="00210415"/>
    <w:rsid w:val="00215097"/>
    <w:rsid w:val="00216B6D"/>
    <w:rsid w:val="00220734"/>
    <w:rsid w:val="0022757F"/>
    <w:rsid w:val="00241FA2"/>
    <w:rsid w:val="0025770D"/>
    <w:rsid w:val="002621A8"/>
    <w:rsid w:val="00271316"/>
    <w:rsid w:val="002B349C"/>
    <w:rsid w:val="002D58BE"/>
    <w:rsid w:val="002E2B21"/>
    <w:rsid w:val="002E53A6"/>
    <w:rsid w:val="002F4747"/>
    <w:rsid w:val="00302605"/>
    <w:rsid w:val="00316F84"/>
    <w:rsid w:val="00325C21"/>
    <w:rsid w:val="00361B37"/>
    <w:rsid w:val="00377BD3"/>
    <w:rsid w:val="00384088"/>
    <w:rsid w:val="003852CE"/>
    <w:rsid w:val="0039169B"/>
    <w:rsid w:val="00396E32"/>
    <w:rsid w:val="003A6305"/>
    <w:rsid w:val="003A7F8C"/>
    <w:rsid w:val="003B2284"/>
    <w:rsid w:val="003B532E"/>
    <w:rsid w:val="003B5858"/>
    <w:rsid w:val="003D0F8B"/>
    <w:rsid w:val="003D1D62"/>
    <w:rsid w:val="003D642B"/>
    <w:rsid w:val="003E0DB6"/>
    <w:rsid w:val="003E79F4"/>
    <w:rsid w:val="0041348E"/>
    <w:rsid w:val="00420873"/>
    <w:rsid w:val="00433D02"/>
    <w:rsid w:val="00492075"/>
    <w:rsid w:val="00494F6D"/>
    <w:rsid w:val="004969AD"/>
    <w:rsid w:val="004A26C4"/>
    <w:rsid w:val="004B13CB"/>
    <w:rsid w:val="004D09FA"/>
    <w:rsid w:val="004D26EA"/>
    <w:rsid w:val="004D2BFB"/>
    <w:rsid w:val="004D5D5C"/>
    <w:rsid w:val="004E4BBD"/>
    <w:rsid w:val="004F3DC0"/>
    <w:rsid w:val="0050139F"/>
    <w:rsid w:val="00514C2A"/>
    <w:rsid w:val="005406B9"/>
    <w:rsid w:val="0055140B"/>
    <w:rsid w:val="005861D7"/>
    <w:rsid w:val="00592EAC"/>
    <w:rsid w:val="005964AB"/>
    <w:rsid w:val="005B2B9B"/>
    <w:rsid w:val="005B72CD"/>
    <w:rsid w:val="005C099A"/>
    <w:rsid w:val="005C31A5"/>
    <w:rsid w:val="005E10C9"/>
    <w:rsid w:val="005E290B"/>
    <w:rsid w:val="005E61DD"/>
    <w:rsid w:val="005F04D8"/>
    <w:rsid w:val="006023DF"/>
    <w:rsid w:val="00614D2D"/>
    <w:rsid w:val="00615426"/>
    <w:rsid w:val="00616219"/>
    <w:rsid w:val="0062573D"/>
    <w:rsid w:val="0063782D"/>
    <w:rsid w:val="00645B7D"/>
    <w:rsid w:val="00646369"/>
    <w:rsid w:val="00654FCF"/>
    <w:rsid w:val="00657DE0"/>
    <w:rsid w:val="00663B74"/>
    <w:rsid w:val="00664755"/>
    <w:rsid w:val="00685313"/>
    <w:rsid w:val="00692833"/>
    <w:rsid w:val="006A6E9B"/>
    <w:rsid w:val="006B3779"/>
    <w:rsid w:val="006B7C2A"/>
    <w:rsid w:val="006C23DA"/>
    <w:rsid w:val="006D70B0"/>
    <w:rsid w:val="006E134B"/>
    <w:rsid w:val="006E3D45"/>
    <w:rsid w:val="006F4DCA"/>
    <w:rsid w:val="00703E85"/>
    <w:rsid w:val="0070607A"/>
    <w:rsid w:val="007149F9"/>
    <w:rsid w:val="00733A30"/>
    <w:rsid w:val="00741737"/>
    <w:rsid w:val="00745AEE"/>
    <w:rsid w:val="00750F10"/>
    <w:rsid w:val="007742CA"/>
    <w:rsid w:val="00790D70"/>
    <w:rsid w:val="007A2281"/>
    <w:rsid w:val="007A2C59"/>
    <w:rsid w:val="007A6F1F"/>
    <w:rsid w:val="007D5320"/>
    <w:rsid w:val="0080048F"/>
    <w:rsid w:val="00800972"/>
    <w:rsid w:val="00804475"/>
    <w:rsid w:val="00811633"/>
    <w:rsid w:val="00814037"/>
    <w:rsid w:val="00841216"/>
    <w:rsid w:val="00842AF0"/>
    <w:rsid w:val="00845F93"/>
    <w:rsid w:val="0086171E"/>
    <w:rsid w:val="00872FC8"/>
    <w:rsid w:val="00876647"/>
    <w:rsid w:val="008845D0"/>
    <w:rsid w:val="00884D60"/>
    <w:rsid w:val="0088718D"/>
    <w:rsid w:val="00891CF6"/>
    <w:rsid w:val="00896E56"/>
    <w:rsid w:val="008B43F2"/>
    <w:rsid w:val="008B6CFF"/>
    <w:rsid w:val="008D126D"/>
    <w:rsid w:val="008F014B"/>
    <w:rsid w:val="00903BEA"/>
    <w:rsid w:val="009274B4"/>
    <w:rsid w:val="00934EA2"/>
    <w:rsid w:val="0093646E"/>
    <w:rsid w:val="00944A5C"/>
    <w:rsid w:val="00952A66"/>
    <w:rsid w:val="009B1EA1"/>
    <w:rsid w:val="009B29EC"/>
    <w:rsid w:val="009B3CE3"/>
    <w:rsid w:val="009B7345"/>
    <w:rsid w:val="009B7C9A"/>
    <w:rsid w:val="009C56E5"/>
    <w:rsid w:val="009C7716"/>
    <w:rsid w:val="009E5FC8"/>
    <w:rsid w:val="009E687A"/>
    <w:rsid w:val="009F236F"/>
    <w:rsid w:val="00A023F2"/>
    <w:rsid w:val="00A066F1"/>
    <w:rsid w:val="00A141AF"/>
    <w:rsid w:val="00A16D29"/>
    <w:rsid w:val="00A30305"/>
    <w:rsid w:val="00A31D2D"/>
    <w:rsid w:val="00A358B7"/>
    <w:rsid w:val="00A4600A"/>
    <w:rsid w:val="00A538A6"/>
    <w:rsid w:val="00A545D2"/>
    <w:rsid w:val="00A54C25"/>
    <w:rsid w:val="00A5713F"/>
    <w:rsid w:val="00A641C4"/>
    <w:rsid w:val="00A65BB9"/>
    <w:rsid w:val="00A710E7"/>
    <w:rsid w:val="00A7372E"/>
    <w:rsid w:val="00A823D3"/>
    <w:rsid w:val="00A8284C"/>
    <w:rsid w:val="00A93B85"/>
    <w:rsid w:val="00AA0B18"/>
    <w:rsid w:val="00AA3C65"/>
    <w:rsid w:val="00AA666F"/>
    <w:rsid w:val="00AB25B3"/>
    <w:rsid w:val="00AC126A"/>
    <w:rsid w:val="00AD7914"/>
    <w:rsid w:val="00AE514B"/>
    <w:rsid w:val="00B34AC7"/>
    <w:rsid w:val="00B40888"/>
    <w:rsid w:val="00B62691"/>
    <w:rsid w:val="00B639E9"/>
    <w:rsid w:val="00B674F0"/>
    <w:rsid w:val="00B817CD"/>
    <w:rsid w:val="00B81A7D"/>
    <w:rsid w:val="00B91EF7"/>
    <w:rsid w:val="00B94AD0"/>
    <w:rsid w:val="00BB0F26"/>
    <w:rsid w:val="00BB3A95"/>
    <w:rsid w:val="00BC0D98"/>
    <w:rsid w:val="00BC70E2"/>
    <w:rsid w:val="00BC75DE"/>
    <w:rsid w:val="00BD6CCE"/>
    <w:rsid w:val="00BF1BD1"/>
    <w:rsid w:val="00C0018F"/>
    <w:rsid w:val="00C16A5A"/>
    <w:rsid w:val="00C20466"/>
    <w:rsid w:val="00C214ED"/>
    <w:rsid w:val="00C234E6"/>
    <w:rsid w:val="00C324A8"/>
    <w:rsid w:val="00C42FCE"/>
    <w:rsid w:val="00C54517"/>
    <w:rsid w:val="00C56F70"/>
    <w:rsid w:val="00C57B91"/>
    <w:rsid w:val="00C63B7D"/>
    <w:rsid w:val="00C64CD8"/>
    <w:rsid w:val="00C82695"/>
    <w:rsid w:val="00C97C68"/>
    <w:rsid w:val="00CA1A47"/>
    <w:rsid w:val="00CA3DFC"/>
    <w:rsid w:val="00CB44E5"/>
    <w:rsid w:val="00CC247A"/>
    <w:rsid w:val="00CC299A"/>
    <w:rsid w:val="00CD5211"/>
    <w:rsid w:val="00CE04B6"/>
    <w:rsid w:val="00CE388F"/>
    <w:rsid w:val="00CE5E47"/>
    <w:rsid w:val="00CF020F"/>
    <w:rsid w:val="00CF2B5B"/>
    <w:rsid w:val="00D06A05"/>
    <w:rsid w:val="00D14CE0"/>
    <w:rsid w:val="00D164BC"/>
    <w:rsid w:val="00D255D4"/>
    <w:rsid w:val="00D268B3"/>
    <w:rsid w:val="00D32B8B"/>
    <w:rsid w:val="00D32BAA"/>
    <w:rsid w:val="00D36AD2"/>
    <w:rsid w:val="00D52FD6"/>
    <w:rsid w:val="00D54009"/>
    <w:rsid w:val="00D5651D"/>
    <w:rsid w:val="00D57A34"/>
    <w:rsid w:val="00D71BE3"/>
    <w:rsid w:val="00D74898"/>
    <w:rsid w:val="00D801ED"/>
    <w:rsid w:val="00D826E8"/>
    <w:rsid w:val="00D86C49"/>
    <w:rsid w:val="00D936BC"/>
    <w:rsid w:val="00D96530"/>
    <w:rsid w:val="00DA1CB1"/>
    <w:rsid w:val="00DC3F67"/>
    <w:rsid w:val="00DD44AF"/>
    <w:rsid w:val="00DE2AC3"/>
    <w:rsid w:val="00DE5692"/>
    <w:rsid w:val="00DE6300"/>
    <w:rsid w:val="00DF4BC6"/>
    <w:rsid w:val="00DF78E0"/>
    <w:rsid w:val="00E03C94"/>
    <w:rsid w:val="00E205BC"/>
    <w:rsid w:val="00E26226"/>
    <w:rsid w:val="00E26562"/>
    <w:rsid w:val="00E45D05"/>
    <w:rsid w:val="00E55816"/>
    <w:rsid w:val="00E55AEF"/>
    <w:rsid w:val="00E65C2E"/>
    <w:rsid w:val="00E96C6E"/>
    <w:rsid w:val="00E976C1"/>
    <w:rsid w:val="00EA12E5"/>
    <w:rsid w:val="00EB0812"/>
    <w:rsid w:val="00EB54B2"/>
    <w:rsid w:val="00EB55C6"/>
    <w:rsid w:val="00EC7F94"/>
    <w:rsid w:val="00EF1932"/>
    <w:rsid w:val="00EF71B6"/>
    <w:rsid w:val="00F009C7"/>
    <w:rsid w:val="00F02766"/>
    <w:rsid w:val="00F05BD4"/>
    <w:rsid w:val="00F06473"/>
    <w:rsid w:val="00F320AA"/>
    <w:rsid w:val="00F47F7A"/>
    <w:rsid w:val="00F57D75"/>
    <w:rsid w:val="00F6155B"/>
    <w:rsid w:val="00F65C19"/>
    <w:rsid w:val="00F822B0"/>
    <w:rsid w:val="00F82791"/>
    <w:rsid w:val="00F836CB"/>
    <w:rsid w:val="00F85BCD"/>
    <w:rsid w:val="00FD08E2"/>
    <w:rsid w:val="00FD18DA"/>
    <w:rsid w:val="00FD2546"/>
    <w:rsid w:val="00FD7041"/>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39CB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99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ChapNo">
    <w:name w:val="Chap_No"/>
    <w:basedOn w:val="Normal"/>
    <w:next w:val="Chaptitle"/>
    <w:rsid w:val="00CE04B6"/>
    <w:pPr>
      <w:tabs>
        <w:tab w:val="clear" w:pos="1134"/>
        <w:tab w:val="clear" w:pos="1871"/>
        <w:tab w:val="clear" w:pos="2268"/>
      </w:tabs>
      <w:spacing w:before="600"/>
      <w:jc w:val="center"/>
    </w:pPr>
    <w:rPr>
      <w:rFonts w:ascii="Calibri" w:hAnsi="Calibri"/>
      <w:caps/>
      <w:sz w:val="28"/>
    </w:r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haptitle">
    <w:name w:val="Chap_title"/>
    <w:basedOn w:val="Normal"/>
    <w:next w:val="Normal"/>
    <w:rsid w:val="00CE04B6"/>
    <w:pPr>
      <w:tabs>
        <w:tab w:val="clear" w:pos="1134"/>
        <w:tab w:val="clear" w:pos="1871"/>
        <w:tab w:val="clear" w:pos="2268"/>
      </w:tabs>
      <w:spacing w:before="240" w:after="240"/>
      <w:jc w:val="center"/>
    </w:pPr>
    <w:rPr>
      <w:rFonts w:ascii="Calibri" w:hAnsi="Calibri"/>
      <w:b/>
      <w:sz w:val="28"/>
    </w:rPr>
  </w:style>
  <w:style w:type="paragraph" w:customStyle="1" w:styleId="enumlev1">
    <w:name w:val="enumlev1"/>
    <w:basedOn w:val="Normal"/>
    <w:link w:val="enumlev1Char"/>
    <w:rsid w:val="00903BEA"/>
    <w:pPr>
      <w:tabs>
        <w:tab w:val="clear" w:pos="1871"/>
        <w:tab w:val="left" w:pos="567"/>
        <w:tab w:val="left" w:pos="1701"/>
        <w:tab w:val="left" w:pos="2835"/>
      </w:tabs>
      <w:spacing w:before="86"/>
      <w:ind w:left="567" w:hanging="567"/>
    </w:pPr>
    <w:rPr>
      <w:rFonts w:ascii="Calibri" w:hAnsi="Calibri"/>
    </w:rPr>
  </w:style>
  <w:style w:type="paragraph" w:customStyle="1" w:styleId="Normalaftertitle">
    <w:name w:val="Normal after title"/>
    <w:basedOn w:val="Normal"/>
    <w:next w:val="Normal"/>
    <w:link w:val="NormalaftertitleChar"/>
    <w:qFormat/>
    <w:rsid w:val="00903BEA"/>
    <w:pPr>
      <w:tabs>
        <w:tab w:val="clear" w:pos="1871"/>
        <w:tab w:val="left" w:pos="567"/>
        <w:tab w:val="left" w:pos="1701"/>
        <w:tab w:val="left" w:pos="2835"/>
      </w:tabs>
      <w:spacing w:before="240"/>
    </w:pPr>
    <w:rPr>
      <w:rFonts w:ascii="Calibri" w:hAnsi="Calibri"/>
    </w:rPr>
  </w:style>
  <w:style w:type="paragraph" w:customStyle="1" w:styleId="ArtNo">
    <w:name w:val="Art_No"/>
    <w:basedOn w:val="Normal"/>
    <w:next w:val="Arttitle"/>
    <w:rsid w:val="00903BEA"/>
    <w:pPr>
      <w:tabs>
        <w:tab w:val="clear" w:pos="1134"/>
        <w:tab w:val="clear" w:pos="1871"/>
        <w:tab w:val="clear" w:pos="2268"/>
      </w:tabs>
      <w:spacing w:before="600"/>
      <w:jc w:val="center"/>
    </w:pPr>
    <w:rPr>
      <w:rFonts w:ascii="Calibri" w:hAnsi="Calibri"/>
      <w:caps/>
      <w:sz w:val="28"/>
    </w:rPr>
  </w:style>
  <w:style w:type="paragraph" w:customStyle="1" w:styleId="Arttitle">
    <w:name w:val="Art_title"/>
    <w:basedOn w:val="Normal"/>
    <w:next w:val="Normal"/>
    <w:rsid w:val="00903BEA"/>
    <w:pPr>
      <w:tabs>
        <w:tab w:val="clear" w:pos="1134"/>
        <w:tab w:val="clear" w:pos="1871"/>
        <w:tab w:val="clear" w:pos="2268"/>
      </w:tabs>
      <w:spacing w:before="240" w:after="240"/>
      <w:jc w:val="center"/>
    </w:pPr>
    <w:rPr>
      <w:rFonts w:ascii="Calibri" w:hAnsi="Calibri"/>
      <w:b/>
      <w:sz w:val="28"/>
    </w:rPr>
  </w:style>
  <w:style w:type="paragraph" w:customStyle="1" w:styleId="ArttitleS2">
    <w:name w:val="Art_title_S2"/>
    <w:basedOn w:val="Arttitle"/>
    <w:next w:val="NormalS2"/>
    <w:rsid w:val="00903BEA"/>
    <w:pPr>
      <w:tabs>
        <w:tab w:val="left" w:pos="851"/>
      </w:tabs>
      <w:jc w:val="left"/>
    </w:pPr>
    <w:rPr>
      <w:sz w:val="24"/>
    </w:rPr>
  </w:style>
  <w:style w:type="paragraph" w:customStyle="1" w:styleId="enumlev1S2">
    <w:name w:val="enumlev1_S2"/>
    <w:basedOn w:val="enumlev1"/>
    <w:rsid w:val="00903BEA"/>
    <w:pPr>
      <w:tabs>
        <w:tab w:val="clear" w:pos="567"/>
        <w:tab w:val="clear" w:pos="1134"/>
        <w:tab w:val="clear" w:pos="1701"/>
        <w:tab w:val="clear" w:pos="2268"/>
        <w:tab w:val="clear" w:pos="2835"/>
        <w:tab w:val="left" w:pos="851"/>
      </w:tabs>
      <w:ind w:left="0" w:firstLine="0"/>
    </w:pPr>
    <w:rPr>
      <w:b/>
    </w:rPr>
  </w:style>
  <w:style w:type="paragraph" w:customStyle="1" w:styleId="NormalaftertitleS2">
    <w:name w:val="Normal after title_S2"/>
    <w:basedOn w:val="Normalaftertitle"/>
    <w:next w:val="NormalS2"/>
    <w:rsid w:val="00903BEA"/>
    <w:pPr>
      <w:keepNext/>
      <w:keepLines/>
      <w:tabs>
        <w:tab w:val="clear" w:pos="567"/>
        <w:tab w:val="clear" w:pos="1134"/>
        <w:tab w:val="clear" w:pos="1701"/>
        <w:tab w:val="clear" w:pos="2268"/>
        <w:tab w:val="clear" w:pos="2835"/>
        <w:tab w:val="left" w:pos="851"/>
      </w:tabs>
    </w:pPr>
    <w:rPr>
      <w:b/>
    </w:rPr>
  </w:style>
  <w:style w:type="paragraph" w:customStyle="1" w:styleId="NormalS2">
    <w:name w:val="Normal_S2"/>
    <w:basedOn w:val="Normal"/>
    <w:rsid w:val="00903BEA"/>
    <w:pPr>
      <w:tabs>
        <w:tab w:val="clear" w:pos="1134"/>
        <w:tab w:val="clear" w:pos="1871"/>
        <w:tab w:val="clear" w:pos="2268"/>
        <w:tab w:val="left" w:pos="851"/>
      </w:tabs>
    </w:pPr>
    <w:rPr>
      <w:rFonts w:ascii="Calibri" w:hAnsi="Calibri"/>
      <w:b/>
    </w:rPr>
  </w:style>
  <w:style w:type="paragraph" w:customStyle="1" w:styleId="Pa19">
    <w:name w:val="Pa19"/>
    <w:basedOn w:val="Normal"/>
    <w:next w:val="Normal"/>
    <w:uiPriority w:val="99"/>
    <w:rsid w:val="00903BEA"/>
    <w:pPr>
      <w:tabs>
        <w:tab w:val="clear" w:pos="1134"/>
        <w:tab w:val="clear" w:pos="1871"/>
        <w:tab w:val="clear" w:pos="2268"/>
      </w:tabs>
      <w:overflowPunct/>
      <w:spacing w:before="0" w:line="201" w:lineRule="atLeast"/>
      <w:textAlignment w:val="auto"/>
    </w:pPr>
    <w:rPr>
      <w:rFonts w:ascii="Calibri" w:hAnsi="Calibri" w:cs="Calibri"/>
      <w:szCs w:val="24"/>
      <w:lang w:eastAsia="zh-CN"/>
    </w:rPr>
  </w:style>
  <w:style w:type="paragraph" w:customStyle="1" w:styleId="Pa22">
    <w:name w:val="Pa22"/>
    <w:basedOn w:val="Normal"/>
    <w:next w:val="Normal"/>
    <w:uiPriority w:val="99"/>
    <w:rsid w:val="00903BEA"/>
    <w:pPr>
      <w:tabs>
        <w:tab w:val="clear" w:pos="1134"/>
        <w:tab w:val="clear" w:pos="1871"/>
        <w:tab w:val="clear" w:pos="2268"/>
      </w:tabs>
      <w:overflowPunct/>
      <w:spacing w:before="0" w:line="201" w:lineRule="atLeast"/>
      <w:textAlignment w:val="auto"/>
    </w:pPr>
    <w:rPr>
      <w:rFonts w:ascii="Calibri" w:hAnsi="Calibri" w:cs="Calibri"/>
      <w:szCs w:val="24"/>
      <w:lang w:eastAsia="zh-CN"/>
    </w:rPr>
  </w:style>
  <w:style w:type="paragraph" w:customStyle="1" w:styleId="ResNo">
    <w:name w:val="Res_No"/>
    <w:basedOn w:val="AnnexNo"/>
    <w:next w:val="Restitle"/>
    <w:rsid w:val="00903BEA"/>
    <w:pPr>
      <w:keepNext w:val="0"/>
      <w:keepLines w:val="0"/>
      <w:tabs>
        <w:tab w:val="clear" w:pos="1871"/>
        <w:tab w:val="left" w:pos="567"/>
        <w:tab w:val="left" w:pos="1701"/>
        <w:tab w:val="left" w:pos="2835"/>
      </w:tabs>
      <w:spacing w:before="720" w:after="0"/>
    </w:pPr>
    <w:rPr>
      <w:rFonts w:ascii="Calibri" w:hAnsi="Calibri"/>
    </w:rPr>
  </w:style>
  <w:style w:type="paragraph" w:customStyle="1" w:styleId="Restitle">
    <w:name w:val="Res_title"/>
    <w:basedOn w:val="Annextitle"/>
    <w:next w:val="Normal"/>
    <w:rsid w:val="00903BEA"/>
    <w:pPr>
      <w:keepNext w:val="0"/>
      <w:keepLines w:val="0"/>
      <w:tabs>
        <w:tab w:val="clear" w:pos="1871"/>
        <w:tab w:val="left" w:pos="567"/>
        <w:tab w:val="left" w:pos="1701"/>
        <w:tab w:val="left" w:pos="2835"/>
      </w:tabs>
      <w:spacing w:after="240"/>
    </w:pPr>
    <w:rPr>
      <w:rFonts w:ascii="Calibri" w:hAnsi="Calibri"/>
    </w:rPr>
  </w:style>
  <w:style w:type="paragraph" w:customStyle="1" w:styleId="Reasons">
    <w:name w:val="Reasons"/>
    <w:basedOn w:val="Normal"/>
    <w:qFormat/>
    <w:rsid w:val="00137736"/>
    <w:pPr>
      <w:tabs>
        <w:tab w:val="clear" w:pos="1134"/>
        <w:tab w:val="clear" w:pos="1871"/>
        <w:tab w:val="clear" w:pos="2268"/>
      </w:tabs>
      <w:overflowPunct/>
      <w:autoSpaceDE/>
      <w:autoSpaceDN/>
      <w:adjustRightInd/>
      <w:spacing w:before="0"/>
      <w:textAlignment w:val="auto"/>
    </w:pPr>
    <w:rPr>
      <w:lang w:val="en-US"/>
    </w:rPr>
  </w:style>
  <w:style w:type="character" w:styleId="EndnoteReference">
    <w:name w:val="endnote reference"/>
    <w:basedOn w:val="DefaultParagraphFont"/>
    <w:rsid w:val="00745AEE"/>
    <w:rPr>
      <w:vertAlign w:val="superscript"/>
    </w:rPr>
  </w:style>
  <w:style w:type="paragraph" w:styleId="NormalIndent">
    <w:name w:val="Normal Indent"/>
    <w:basedOn w:val="Normal"/>
    <w:rsid w:val="00190B55"/>
    <w:pPr>
      <w:ind w:left="1134"/>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ource">
    <w:name w:val="Source"/>
    <w:basedOn w:val="Normal"/>
    <w:next w:val="Normal"/>
    <w:rsid w:val="00190B55"/>
    <w:pPr>
      <w:spacing w:before="840"/>
      <w:jc w:val="center"/>
    </w:pPr>
    <w:rPr>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62573D"/>
    <w:rPr>
      <w:color w:val="605E5C"/>
      <w:shd w:val="clear" w:color="auto" w:fill="E1DFDD"/>
    </w:rPr>
  </w:style>
  <w:style w:type="paragraph" w:styleId="EndnoteText">
    <w:name w:val="endnote text"/>
    <w:basedOn w:val="Normal"/>
    <w:link w:val="EndnoteTextChar"/>
    <w:semiHidden/>
    <w:unhideWhenUsed/>
    <w:rsid w:val="0062573D"/>
    <w:pPr>
      <w:spacing w:before="0"/>
    </w:pPr>
    <w:rPr>
      <w:sz w:val="20"/>
    </w:rPr>
  </w:style>
  <w:style w:type="character" w:customStyle="1" w:styleId="EndnoteTextChar">
    <w:name w:val="Endnote Text Char"/>
    <w:basedOn w:val="DefaultParagraphFont"/>
    <w:link w:val="EndnoteText"/>
    <w:semiHidden/>
    <w:rsid w:val="0062573D"/>
    <w:rPr>
      <w:rFonts w:ascii="Times New Roman" w:hAnsi="Times New Roman"/>
      <w:lang w:val="en-GB" w:eastAsia="en-US"/>
    </w:rPr>
  </w:style>
  <w:style w:type="character" w:styleId="FollowedHyperlink">
    <w:name w:val="FollowedHyperlink"/>
    <w:basedOn w:val="DefaultParagraphFont"/>
    <w:semiHidden/>
    <w:unhideWhenUsed/>
    <w:rsid w:val="00A65BB9"/>
    <w:rPr>
      <w:color w:val="800080" w:themeColor="followedHyperlink"/>
      <w:u w:val="single"/>
    </w:rPr>
  </w:style>
  <w:style w:type="paragraph" w:styleId="Revision">
    <w:name w:val="Revision"/>
    <w:hidden/>
    <w:uiPriority w:val="99"/>
    <w:semiHidden/>
    <w:rsid w:val="00BC0D98"/>
    <w:rPr>
      <w:rFonts w:ascii="Times New Roman" w:hAnsi="Times New Roman"/>
      <w:sz w:val="24"/>
      <w:lang w:val="en-GB" w:eastAsia="en-US"/>
    </w:rPr>
  </w:style>
  <w:style w:type="character" w:styleId="CommentReference">
    <w:name w:val="annotation reference"/>
    <w:basedOn w:val="DefaultParagraphFont"/>
    <w:semiHidden/>
    <w:unhideWhenUsed/>
    <w:rsid w:val="003E79F4"/>
    <w:rPr>
      <w:sz w:val="16"/>
      <w:szCs w:val="16"/>
    </w:rPr>
  </w:style>
  <w:style w:type="paragraph" w:styleId="CommentText">
    <w:name w:val="annotation text"/>
    <w:basedOn w:val="Normal"/>
    <w:link w:val="CommentTextChar"/>
    <w:unhideWhenUsed/>
    <w:rsid w:val="003E79F4"/>
    <w:rPr>
      <w:sz w:val="20"/>
    </w:rPr>
  </w:style>
  <w:style w:type="character" w:customStyle="1" w:styleId="CommentTextChar">
    <w:name w:val="Comment Text Char"/>
    <w:basedOn w:val="DefaultParagraphFont"/>
    <w:link w:val="CommentText"/>
    <w:rsid w:val="003E79F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E79F4"/>
    <w:rPr>
      <w:b/>
      <w:bCs/>
    </w:rPr>
  </w:style>
  <w:style w:type="character" w:customStyle="1" w:styleId="CommentSubjectChar">
    <w:name w:val="Comment Subject Char"/>
    <w:basedOn w:val="CommentTextChar"/>
    <w:link w:val="CommentSubject"/>
    <w:semiHidden/>
    <w:rsid w:val="003E79F4"/>
    <w:rPr>
      <w:rFonts w:ascii="Times New Roman" w:hAnsi="Times New Roman"/>
      <w:b/>
      <w:bCs/>
      <w:lang w:val="en-GB" w:eastAsia="en-US"/>
    </w:rPr>
  </w:style>
  <w:style w:type="paragraph" w:styleId="BodyText">
    <w:name w:val="Body Text"/>
    <w:basedOn w:val="Normal"/>
    <w:link w:val="BodyTextChar"/>
    <w:uiPriority w:val="1"/>
    <w:qFormat/>
    <w:rsid w:val="00AB25B3"/>
    <w:pPr>
      <w:widowControl w:val="0"/>
      <w:tabs>
        <w:tab w:val="clear" w:pos="1134"/>
        <w:tab w:val="clear" w:pos="1871"/>
        <w:tab w:val="clear" w:pos="2268"/>
      </w:tabs>
      <w:overflowPunct/>
      <w:adjustRightInd/>
      <w:spacing w:before="0"/>
      <w:textAlignment w:val="auto"/>
    </w:pPr>
    <w:rPr>
      <w:rFonts w:ascii="Calibri Light" w:eastAsia="Calibri Light" w:hAnsi="Calibri Light" w:cs="Calibri Light"/>
      <w:sz w:val="20"/>
      <w:lang w:val="en-US"/>
    </w:rPr>
  </w:style>
  <w:style w:type="character" w:customStyle="1" w:styleId="BodyTextChar">
    <w:name w:val="Body Text Char"/>
    <w:basedOn w:val="DefaultParagraphFont"/>
    <w:link w:val="BodyText"/>
    <w:uiPriority w:val="1"/>
    <w:rsid w:val="00AB25B3"/>
    <w:rPr>
      <w:rFonts w:ascii="Calibri Light" w:eastAsia="Calibri Light" w:hAnsi="Calibri Light" w:cs="Calibri Light"/>
      <w:lang w:eastAsia="en-US"/>
    </w:rPr>
  </w:style>
  <w:style w:type="paragraph" w:styleId="ListParagraph">
    <w:name w:val="List Paragraph"/>
    <w:basedOn w:val="Normal"/>
    <w:uiPriority w:val="1"/>
    <w:qFormat/>
    <w:rsid w:val="00AB25B3"/>
    <w:pPr>
      <w:widowControl w:val="0"/>
      <w:tabs>
        <w:tab w:val="clear" w:pos="1134"/>
        <w:tab w:val="clear" w:pos="1871"/>
        <w:tab w:val="clear" w:pos="2268"/>
      </w:tabs>
      <w:overflowPunct/>
      <w:adjustRightInd/>
      <w:spacing w:before="0"/>
      <w:ind w:left="113" w:right="409"/>
      <w:jc w:val="both"/>
      <w:textAlignment w:val="auto"/>
    </w:pPr>
    <w:rPr>
      <w:rFonts w:ascii="Calibri Light" w:eastAsia="Calibri Light" w:hAnsi="Calibri Light" w:cs="Calibri Light"/>
      <w:sz w:val="22"/>
      <w:szCs w:val="22"/>
      <w:lang w:val="en-US"/>
    </w:rPr>
  </w:style>
  <w:style w:type="character" w:customStyle="1" w:styleId="href">
    <w:name w:val="href"/>
    <w:basedOn w:val="DefaultParagraphFont"/>
    <w:rsid w:val="0088718D"/>
    <w:rPr>
      <w:color w:val="auto"/>
    </w:rPr>
  </w:style>
  <w:style w:type="paragraph" w:customStyle="1" w:styleId="Call">
    <w:name w:val="Call"/>
    <w:basedOn w:val="Normal"/>
    <w:next w:val="Normal"/>
    <w:link w:val="CallChar"/>
    <w:qFormat/>
    <w:rsid w:val="0088718D"/>
    <w:pPr>
      <w:keepNext/>
      <w:keepLines/>
      <w:tabs>
        <w:tab w:val="clear" w:pos="1134"/>
        <w:tab w:val="clear" w:pos="1871"/>
        <w:tab w:val="clear" w:pos="2268"/>
        <w:tab w:val="left" w:pos="567"/>
      </w:tabs>
      <w:spacing w:before="160"/>
      <w:ind w:left="567"/>
      <w:jc w:val="both"/>
    </w:pPr>
    <w:rPr>
      <w:rFonts w:ascii="Calibri" w:hAnsi="Calibri"/>
      <w:i/>
    </w:rPr>
  </w:style>
  <w:style w:type="character" w:customStyle="1" w:styleId="CallChar">
    <w:name w:val="Call Char"/>
    <w:basedOn w:val="DefaultParagraphFont"/>
    <w:link w:val="Call"/>
    <w:qFormat/>
    <w:locked/>
    <w:rsid w:val="0088718D"/>
    <w:rPr>
      <w:rFonts w:ascii="Calibri" w:hAnsi="Calibri"/>
      <w:i/>
      <w:sz w:val="24"/>
      <w:lang w:val="en-GB" w:eastAsia="en-US"/>
    </w:rPr>
  </w:style>
  <w:style w:type="character" w:customStyle="1" w:styleId="enumlev1Char">
    <w:name w:val="enumlev1 Char"/>
    <w:basedOn w:val="DefaultParagraphFont"/>
    <w:link w:val="enumlev1"/>
    <w:rsid w:val="0088718D"/>
    <w:rPr>
      <w:rFonts w:ascii="Calibri" w:hAnsi="Calibri"/>
      <w:sz w:val="24"/>
      <w:lang w:val="en-GB" w:eastAsia="en-US"/>
    </w:rPr>
  </w:style>
  <w:style w:type="character" w:customStyle="1" w:styleId="NormalaftertitleChar">
    <w:name w:val="Normal after title Char"/>
    <w:basedOn w:val="DefaultParagraphFont"/>
    <w:link w:val="Normalaftertitle"/>
    <w:locked/>
    <w:rsid w:val="0088718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37308">
      <w:bodyDiv w:val="1"/>
      <w:marLeft w:val="0"/>
      <w:marRight w:val="0"/>
      <w:marTop w:val="0"/>
      <w:marBottom w:val="0"/>
      <w:divBdr>
        <w:top w:val="none" w:sz="0" w:space="0" w:color="auto"/>
        <w:left w:val="none" w:sz="0" w:space="0" w:color="auto"/>
        <w:bottom w:val="none" w:sz="0" w:space="0" w:color="auto"/>
        <w:right w:val="none" w:sz="0" w:space="0" w:color="auto"/>
      </w:divBdr>
    </w:div>
    <w:div w:id="1532764143">
      <w:bodyDiv w:val="1"/>
      <w:marLeft w:val="0"/>
      <w:marRight w:val="0"/>
      <w:marTop w:val="0"/>
      <w:marBottom w:val="0"/>
      <w:divBdr>
        <w:top w:val="none" w:sz="0" w:space="0" w:color="auto"/>
        <w:left w:val="none" w:sz="0" w:space="0" w:color="auto"/>
        <w:bottom w:val="none" w:sz="0" w:space="0" w:color="auto"/>
        <w:right w:val="none" w:sz="0" w:space="0" w:color="auto"/>
      </w:divBdr>
    </w:div>
    <w:div w:id="21458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pub/S-CONF-P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76b7d054-b29f-418b-b414-6b742f999448" xsi:nil="true"/>
    <DPM_x0020_Version xmlns="76b7d054-b29f-418b-b414-6b742f999448" xsi:nil="true"/>
    <DPM_x0020_File_x0020_name xmlns="76b7d054-b29f-418b-b414-6b742f999448" xsi:nil="true"/>
  </documentManagement>
</p:properties>
</file>

<file path=customXml/itemProps1.xml><?xml version="1.0" encoding="utf-8"?>
<ds:datastoreItem xmlns:ds="http://schemas.openxmlformats.org/officeDocument/2006/customXml" ds:itemID="{E1395F06-24D1-421B-A229-FBEE1C522029}">
  <ds:schemaRefs>
    <ds:schemaRef ds:uri="http://schemas.microsoft.com/sharepoint/events"/>
  </ds:schemaRefs>
</ds:datastoreItem>
</file>

<file path=customXml/itemProps2.xml><?xml version="1.0" encoding="utf-8"?>
<ds:datastoreItem xmlns:ds="http://schemas.openxmlformats.org/officeDocument/2006/customXml" ds:itemID="{13F9110D-4D2F-421A-8DB2-46FD756EB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7EF69-2BC5-4DA4-BF40-4708085C7907}">
  <ds:schemaRefs>
    <ds:schemaRef ds:uri="http://schemas.openxmlformats.org/officeDocument/2006/bibliography"/>
  </ds:schemaRefs>
</ds:datastoreItem>
</file>

<file path=customXml/itemProps4.xml><?xml version="1.0" encoding="utf-8"?>
<ds:datastoreItem xmlns:ds="http://schemas.openxmlformats.org/officeDocument/2006/customXml" ds:itemID="{B802F2DA-D6E4-4E9D-948D-78537A068AED}">
  <ds:schemaRefs>
    <ds:schemaRef ds:uri="http://schemas.microsoft.com/sharepoint/v3/contenttype/forms"/>
  </ds:schemaRefs>
</ds:datastoreItem>
</file>

<file path=customXml/itemProps5.xml><?xml version="1.0" encoding="utf-8"?>
<ds:datastoreItem xmlns:ds="http://schemas.openxmlformats.org/officeDocument/2006/customXml" ds:itemID="{DFB2399A-0A9E-492F-A256-C95F9B7324E7}">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967</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R23-WRC23-C-0056!!MSW-E</vt:lpstr>
    </vt:vector>
  </TitlesOfParts>
  <Manager>General Secretariat - Pool</Manager>
  <Company>International Telecommunication Union (ITU)</Company>
  <LinksUpToDate>false</LinksUpToDate>
  <CharactersWithSpaces>6487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R23-WRC23-C-0056!!MSW-E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2023-11-09T08:48:00Z</dcterms:created>
  <dcterms:modified xsi:type="dcterms:W3CDTF">2023-11-11T14:59:00Z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y fmtid="{D5CDD505-2E9C-101B-9397-08002B2CF9AE}" pid="11" name="MediaServiceImageTags">
    <vt:lpwstr/>
  </property>
</Properties>
</file>