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744"/>
        <w:gridCol w:w="2376"/>
      </w:tblGrid>
      <w:tr w:rsidR="00A049C1" w14:paraId="7FCD8490" w14:textId="77777777" w:rsidTr="00A049C1">
        <w:trPr>
          <w:cantSplit/>
        </w:trPr>
        <w:tc>
          <w:tcPr>
            <w:tcW w:w="1560" w:type="dxa"/>
            <w:vAlign w:val="center"/>
          </w:tcPr>
          <w:p w14:paraId="5C2BF020" w14:textId="77777777" w:rsidR="00A049C1" w:rsidRPr="00566240" w:rsidRDefault="00A049C1" w:rsidP="00A049C1">
            <w:pPr>
              <w:spacing w:before="0" w:after="100" w:afterAutospacing="1" w:line="240" w:lineRule="atLeast"/>
              <w:rPr>
                <w:rFonts w:ascii="Verdana" w:hAnsi="Verdana"/>
                <w:b/>
                <w:bCs/>
                <w:position w:val="6"/>
                <w:lang w:eastAsia="zh-CN"/>
              </w:rPr>
            </w:pPr>
            <w:bookmarkStart w:id="0" w:name="dorlang" w:colFirst="1" w:colLast="1"/>
            <w:r>
              <w:rPr>
                <w:noProof/>
                <w:lang w:val="en-US"/>
              </w:rPr>
              <w:drawing>
                <wp:inline distT="0" distB="0" distL="0" distR="0" wp14:anchorId="7F93B292" wp14:editId="60367D3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095" w:type="dxa"/>
            <w:gridSpan w:val="2"/>
          </w:tcPr>
          <w:p w14:paraId="1CA7E9D9" w14:textId="77777777" w:rsidR="00A049C1" w:rsidRPr="00566240" w:rsidRDefault="00A049C1" w:rsidP="00BB455D">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B14BA4" w:rsidRPr="00982F93">
              <w:rPr>
                <w:rFonts w:ascii="Verdana" w:hAnsi="Verdana" w:cs="Arial"/>
                <w:b/>
                <w:bCs/>
                <w:sz w:val="20"/>
                <w:lang w:eastAsia="zh-CN"/>
              </w:rPr>
              <w:t>2023</w:t>
            </w:r>
            <w:r w:rsidR="00B14BA4" w:rsidRPr="00982F93">
              <w:rPr>
                <w:rFonts w:ascii="SimSun" w:hAnsi="SimSun" w:hint="eastAsia"/>
                <w:b/>
                <w:bCs/>
                <w:sz w:val="20"/>
                <w:szCs w:val="16"/>
                <w:lang w:eastAsia="zh-CN"/>
              </w:rPr>
              <w:t>年</w:t>
            </w:r>
            <w:r w:rsidR="00B14BA4" w:rsidRPr="00982F93">
              <w:rPr>
                <w:rFonts w:ascii="Verdana" w:hAnsi="Verdana" w:cs="Arial"/>
                <w:b/>
                <w:bCs/>
                <w:sz w:val="20"/>
                <w:lang w:eastAsia="zh-CN"/>
              </w:rPr>
              <w:t>11</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20</w:t>
            </w:r>
            <w:r w:rsidR="00B14BA4" w:rsidRPr="00E16548">
              <w:rPr>
                <w:rFonts w:ascii="SimSun" w:hAnsi="SimSun" w:hint="eastAsia"/>
                <w:b/>
                <w:bCs/>
                <w:sz w:val="20"/>
                <w:szCs w:val="16"/>
                <w:lang w:eastAsia="zh-CN"/>
              </w:rPr>
              <w:t>日</w:t>
            </w:r>
            <w:r w:rsidR="00B14BA4" w:rsidRPr="00877D12">
              <w:rPr>
                <w:rFonts w:ascii="Verdana" w:hAnsi="Verdana"/>
                <w:b/>
                <w:bCs/>
                <w:sz w:val="20"/>
                <w:lang w:eastAsia="zh-CN"/>
              </w:rPr>
              <w:t>-</w:t>
            </w:r>
            <w:r w:rsidR="00B14BA4" w:rsidRPr="00982F93">
              <w:rPr>
                <w:rFonts w:ascii="Verdana" w:hAnsi="Verdana" w:cs="Arial"/>
                <w:b/>
                <w:bCs/>
                <w:sz w:val="20"/>
                <w:lang w:eastAsia="zh-CN"/>
              </w:rPr>
              <w:t>12</w:t>
            </w:r>
            <w:r w:rsidR="00B14BA4" w:rsidRPr="00982F93">
              <w:rPr>
                <w:rFonts w:ascii="SimSun" w:hAnsi="SimSun" w:hint="eastAsia"/>
                <w:b/>
                <w:bCs/>
                <w:sz w:val="20"/>
                <w:szCs w:val="16"/>
                <w:lang w:eastAsia="zh-CN"/>
              </w:rPr>
              <w:t>月</w:t>
            </w:r>
            <w:r w:rsidR="00B14BA4" w:rsidRPr="00982F93">
              <w:rPr>
                <w:rFonts w:ascii="Verdana" w:hAnsi="Verdana" w:cs="Arial"/>
                <w:b/>
                <w:bCs/>
                <w:sz w:val="20"/>
                <w:lang w:eastAsia="zh-CN"/>
              </w:rPr>
              <w:t>15</w:t>
            </w:r>
            <w:r w:rsidR="00B14BA4" w:rsidRPr="00982F93">
              <w:rPr>
                <w:rFonts w:ascii="SimSun" w:hAnsi="SimSun" w:hint="eastAsia"/>
                <w:b/>
                <w:bCs/>
                <w:sz w:val="20"/>
                <w:szCs w:val="16"/>
                <w:lang w:eastAsia="zh-CN"/>
              </w:rPr>
              <w:t>日</w:t>
            </w:r>
            <w:r w:rsidR="00B14BA4" w:rsidRPr="00982F93">
              <w:rPr>
                <w:rFonts w:ascii="SimSun" w:hAnsi="SimSun"/>
                <w:b/>
                <w:bCs/>
                <w:sz w:val="20"/>
                <w:szCs w:val="16"/>
                <w:lang w:eastAsia="zh-CN"/>
              </w:rPr>
              <w:t>，</w:t>
            </w:r>
            <w:r w:rsidR="00B14BA4" w:rsidRPr="00532EA3">
              <w:rPr>
                <w:rFonts w:ascii="SimSun" w:hAnsi="SimSun" w:hint="eastAsia"/>
                <w:b/>
                <w:bCs/>
                <w:sz w:val="20"/>
                <w:szCs w:val="16"/>
                <w:lang w:eastAsia="zh-CN"/>
              </w:rPr>
              <w:t>迪拜</w:t>
            </w:r>
          </w:p>
        </w:tc>
        <w:tc>
          <w:tcPr>
            <w:tcW w:w="2376" w:type="dxa"/>
            <w:vAlign w:val="center"/>
          </w:tcPr>
          <w:p w14:paraId="70C2E4B9" w14:textId="77777777" w:rsidR="00A049C1" w:rsidRPr="00622560" w:rsidRDefault="00A049C1" w:rsidP="00A049C1">
            <w:pPr>
              <w:spacing w:before="0" w:line="240" w:lineRule="atLeast"/>
              <w:rPr>
                <w:rFonts w:ascii="Verdana" w:hAnsi="Verdana"/>
                <w:sz w:val="20"/>
              </w:rPr>
            </w:pPr>
            <w:bookmarkStart w:id="2" w:name="ditulogo"/>
            <w:bookmarkEnd w:id="2"/>
            <w:r>
              <w:rPr>
                <w:noProof/>
              </w:rPr>
              <w:drawing>
                <wp:inline distT="0" distB="0" distL="0" distR="0" wp14:anchorId="256F1362" wp14:editId="31474D00">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A049C1" w14:paraId="4E52587C" w14:textId="77777777">
        <w:trPr>
          <w:cantSplit/>
        </w:trPr>
        <w:tc>
          <w:tcPr>
            <w:tcW w:w="6911" w:type="dxa"/>
            <w:gridSpan w:val="2"/>
            <w:tcBorders>
              <w:bottom w:val="single" w:sz="12" w:space="0" w:color="auto"/>
            </w:tcBorders>
          </w:tcPr>
          <w:p w14:paraId="0A639628" w14:textId="77777777" w:rsidR="00622560" w:rsidRPr="00A049C1" w:rsidRDefault="00622560">
            <w:pPr>
              <w:spacing w:after="48" w:line="240" w:lineRule="atLeast"/>
              <w:rPr>
                <w:b/>
                <w:smallCaps/>
                <w:sz w:val="20"/>
              </w:rPr>
            </w:pPr>
            <w:bookmarkStart w:id="3" w:name="dhead"/>
          </w:p>
        </w:tc>
        <w:tc>
          <w:tcPr>
            <w:tcW w:w="3120" w:type="dxa"/>
            <w:gridSpan w:val="2"/>
            <w:tcBorders>
              <w:bottom w:val="single" w:sz="12" w:space="0" w:color="auto"/>
            </w:tcBorders>
          </w:tcPr>
          <w:p w14:paraId="29842A2A" w14:textId="77777777" w:rsidR="00622560" w:rsidRPr="00A049C1" w:rsidRDefault="00622560" w:rsidP="00622560">
            <w:pPr>
              <w:spacing w:before="0" w:line="240" w:lineRule="atLeast"/>
              <w:rPr>
                <w:rFonts w:ascii="Verdana" w:hAnsi="Verdana"/>
                <w:sz w:val="20"/>
              </w:rPr>
            </w:pPr>
          </w:p>
        </w:tc>
      </w:tr>
      <w:tr w:rsidR="00622560" w:rsidRPr="00C324A8" w14:paraId="60CEAF8C" w14:textId="77777777" w:rsidTr="00622560">
        <w:trPr>
          <w:cantSplit/>
        </w:trPr>
        <w:tc>
          <w:tcPr>
            <w:tcW w:w="6911" w:type="dxa"/>
            <w:gridSpan w:val="2"/>
            <w:tcBorders>
              <w:top w:val="single" w:sz="12" w:space="0" w:color="auto"/>
            </w:tcBorders>
          </w:tcPr>
          <w:p w14:paraId="481974F9"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3A94BD4" w14:textId="77777777" w:rsidR="00622560" w:rsidRPr="00CB4E5A" w:rsidRDefault="00622560" w:rsidP="001B6360">
            <w:pPr>
              <w:spacing w:line="240" w:lineRule="atLeast"/>
              <w:rPr>
                <w:rFonts w:ascii="Verdana" w:hAnsi="Verdana"/>
                <w:b/>
                <w:bCs/>
                <w:sz w:val="20"/>
              </w:rPr>
            </w:pPr>
          </w:p>
        </w:tc>
      </w:tr>
      <w:tr w:rsidR="00622560" w:rsidRPr="00C324A8" w14:paraId="00D20BA6" w14:textId="77777777" w:rsidTr="00622560">
        <w:trPr>
          <w:cantSplit/>
          <w:trHeight w:val="23"/>
        </w:trPr>
        <w:tc>
          <w:tcPr>
            <w:tcW w:w="6911" w:type="dxa"/>
            <w:gridSpan w:val="2"/>
          </w:tcPr>
          <w:p w14:paraId="74317C27" w14:textId="77777777" w:rsidR="00622560" w:rsidRPr="00EB614A" w:rsidRDefault="00EB614A" w:rsidP="00A466E6">
            <w:pPr>
              <w:spacing w:before="0"/>
              <w:rPr>
                <w:rFonts w:ascii="Verdana" w:hAnsi="Verdana"/>
                <w:b/>
                <w:bCs/>
                <w:sz w:val="20"/>
              </w:rPr>
            </w:pPr>
            <w:proofErr w:type="spellStart"/>
            <w:r w:rsidRPr="00EB614A">
              <w:rPr>
                <w:b/>
                <w:bCs/>
              </w:rPr>
              <w:t>全体会议</w:t>
            </w:r>
            <w:proofErr w:type="spellEnd"/>
          </w:p>
        </w:tc>
        <w:tc>
          <w:tcPr>
            <w:tcW w:w="3120" w:type="dxa"/>
            <w:gridSpan w:val="2"/>
          </w:tcPr>
          <w:p w14:paraId="2974CC65" w14:textId="5D7F861E" w:rsidR="00622560" w:rsidRPr="00622560" w:rsidRDefault="00EB614A" w:rsidP="00A466E6">
            <w:pPr>
              <w:spacing w:before="0"/>
              <w:rPr>
                <w:rFonts w:ascii="Verdana" w:hAnsi="Verdana"/>
                <w:sz w:val="20"/>
              </w:rPr>
            </w:pPr>
            <w:proofErr w:type="spellStart"/>
            <w:r w:rsidRPr="00B51994">
              <w:rPr>
                <w:rFonts w:ascii="Verdana" w:hAnsi="Verdana" w:hint="eastAsia"/>
                <w:b/>
                <w:sz w:val="20"/>
              </w:rPr>
              <w:t>文件</w:t>
            </w:r>
            <w:proofErr w:type="spellEnd"/>
            <w:r w:rsidRPr="00B51994">
              <w:rPr>
                <w:rFonts w:ascii="Verdana" w:hAnsi="Verdana"/>
                <w:b/>
                <w:sz w:val="20"/>
              </w:rPr>
              <w:t xml:space="preserve"> </w:t>
            </w:r>
            <w:r w:rsidR="000D1B48">
              <w:rPr>
                <w:rFonts w:ascii="Verdana" w:hAnsi="Verdana"/>
                <w:b/>
                <w:sz w:val="20"/>
              </w:rPr>
              <w:t>206</w:t>
            </w:r>
            <w:r w:rsidRPr="00B51994">
              <w:rPr>
                <w:rFonts w:ascii="Verdana" w:hAnsi="Verdana"/>
                <w:b/>
                <w:sz w:val="20"/>
              </w:rPr>
              <w:t>-C</w:t>
            </w:r>
          </w:p>
        </w:tc>
      </w:tr>
      <w:bookmarkEnd w:id="0"/>
      <w:bookmarkEnd w:id="3"/>
      <w:tr w:rsidR="008221A4" w:rsidRPr="00C324A8" w14:paraId="5E441EE1" w14:textId="77777777" w:rsidTr="00622560">
        <w:trPr>
          <w:cantSplit/>
          <w:trHeight w:val="23"/>
        </w:trPr>
        <w:tc>
          <w:tcPr>
            <w:tcW w:w="6911" w:type="dxa"/>
            <w:gridSpan w:val="2"/>
          </w:tcPr>
          <w:p w14:paraId="15158153" w14:textId="77777777" w:rsidR="008221A4" w:rsidRPr="00C324A8" w:rsidRDefault="008221A4" w:rsidP="00A466E6">
            <w:pPr>
              <w:spacing w:before="0"/>
              <w:rPr>
                <w:rFonts w:ascii="Verdana" w:hAnsi="Verdana"/>
                <w:b/>
                <w:smallCaps/>
                <w:sz w:val="20"/>
              </w:rPr>
            </w:pPr>
          </w:p>
        </w:tc>
        <w:tc>
          <w:tcPr>
            <w:tcW w:w="3120" w:type="dxa"/>
            <w:gridSpan w:val="2"/>
          </w:tcPr>
          <w:p w14:paraId="750F1276" w14:textId="79CAE511" w:rsidR="008221A4" w:rsidRPr="00622560" w:rsidRDefault="00EB614A" w:rsidP="00EB614A">
            <w:pPr>
              <w:spacing w:before="0"/>
              <w:rPr>
                <w:rFonts w:ascii="Verdana" w:hAnsi="Verdana"/>
                <w:sz w:val="20"/>
              </w:rPr>
            </w:pPr>
            <w:r w:rsidRPr="00B51994">
              <w:rPr>
                <w:rFonts w:ascii="Verdana" w:hAnsi="Verdana"/>
                <w:b/>
                <w:bCs/>
                <w:sz w:val="20"/>
              </w:rPr>
              <w:t>20</w:t>
            </w:r>
            <w:r w:rsidR="00BB455D">
              <w:rPr>
                <w:rFonts w:ascii="Verdana" w:hAnsi="Verdana"/>
                <w:b/>
                <w:bCs/>
                <w:sz w:val="20"/>
              </w:rPr>
              <w:t>23</w:t>
            </w:r>
            <w:r w:rsidRPr="00B51994">
              <w:rPr>
                <w:rFonts w:ascii="Verdana" w:hAnsi="Verdana" w:hint="eastAsia"/>
                <w:b/>
                <w:bCs/>
                <w:sz w:val="20"/>
              </w:rPr>
              <w:t>年</w:t>
            </w:r>
            <w:r w:rsidR="000D1B48">
              <w:rPr>
                <w:rFonts w:ascii="Verdana" w:hAnsi="Verdana"/>
                <w:b/>
                <w:bCs/>
                <w:sz w:val="20"/>
              </w:rPr>
              <w:t>11</w:t>
            </w:r>
            <w:r w:rsidRPr="00B51994">
              <w:rPr>
                <w:rFonts w:ascii="Verdana" w:hAnsi="Verdana" w:hint="eastAsia"/>
                <w:b/>
                <w:bCs/>
                <w:sz w:val="20"/>
              </w:rPr>
              <w:t>月</w:t>
            </w:r>
            <w:r w:rsidR="000D1B48">
              <w:rPr>
                <w:rFonts w:ascii="Verdana" w:hAnsi="Verdana"/>
                <w:b/>
                <w:bCs/>
                <w:sz w:val="20"/>
              </w:rPr>
              <w:t>8</w:t>
            </w:r>
            <w:r w:rsidRPr="00B51994">
              <w:rPr>
                <w:rFonts w:ascii="Verdana" w:hAnsi="Verdana" w:hint="eastAsia"/>
                <w:b/>
                <w:bCs/>
                <w:sz w:val="20"/>
              </w:rPr>
              <w:t>日</w:t>
            </w:r>
          </w:p>
        </w:tc>
      </w:tr>
      <w:tr w:rsidR="008221A4" w:rsidRPr="00C324A8" w14:paraId="52621F2E" w14:textId="77777777" w:rsidTr="00622560">
        <w:trPr>
          <w:cantSplit/>
          <w:trHeight w:val="23"/>
        </w:trPr>
        <w:tc>
          <w:tcPr>
            <w:tcW w:w="6911" w:type="dxa"/>
            <w:gridSpan w:val="2"/>
          </w:tcPr>
          <w:p w14:paraId="76619672" w14:textId="77777777" w:rsidR="008221A4" w:rsidRPr="00CB4E5A" w:rsidRDefault="008221A4" w:rsidP="00A466E6">
            <w:pPr>
              <w:spacing w:before="0"/>
              <w:rPr>
                <w:rFonts w:ascii="Verdana" w:hAnsi="Verdana"/>
                <w:b/>
                <w:bCs/>
                <w:sz w:val="20"/>
              </w:rPr>
            </w:pPr>
          </w:p>
        </w:tc>
        <w:tc>
          <w:tcPr>
            <w:tcW w:w="3120" w:type="dxa"/>
            <w:gridSpan w:val="2"/>
          </w:tcPr>
          <w:p w14:paraId="18D58528" w14:textId="77777777" w:rsidR="008221A4" w:rsidRPr="00622560" w:rsidRDefault="00EB614A" w:rsidP="00A466E6">
            <w:pPr>
              <w:spacing w:before="0"/>
              <w:rPr>
                <w:rFonts w:ascii="Verdana" w:hAnsi="Verdana"/>
                <w:sz w:val="20"/>
              </w:rPr>
            </w:pPr>
            <w:proofErr w:type="spellStart"/>
            <w:r w:rsidRPr="00B51994">
              <w:rPr>
                <w:rFonts w:ascii="Verdana" w:hAnsi="Verdana" w:hint="eastAsia"/>
                <w:b/>
                <w:bCs/>
                <w:sz w:val="20"/>
              </w:rPr>
              <w:t>原文：英文</w:t>
            </w:r>
            <w:proofErr w:type="spellEnd"/>
          </w:p>
        </w:tc>
      </w:tr>
      <w:tr w:rsidR="008221A4" w:rsidRPr="00C324A8" w14:paraId="20EAEA56" w14:textId="77777777" w:rsidTr="00FE20CB">
        <w:trPr>
          <w:cantSplit/>
          <w:trHeight w:val="23"/>
        </w:trPr>
        <w:tc>
          <w:tcPr>
            <w:tcW w:w="10031" w:type="dxa"/>
            <w:gridSpan w:val="4"/>
          </w:tcPr>
          <w:p w14:paraId="195304C6" w14:textId="77777777" w:rsidR="008221A4" w:rsidRDefault="008221A4" w:rsidP="008221A4">
            <w:pPr>
              <w:spacing w:before="0" w:line="240" w:lineRule="atLeast"/>
              <w:rPr>
                <w:rFonts w:ascii="Verdana" w:hAnsi="Verdana"/>
                <w:b/>
                <w:bCs/>
                <w:sz w:val="20"/>
              </w:rPr>
            </w:pPr>
          </w:p>
        </w:tc>
      </w:tr>
      <w:tr w:rsidR="008221A4" w14:paraId="1F0AE413" w14:textId="77777777">
        <w:trPr>
          <w:cantSplit/>
        </w:trPr>
        <w:tc>
          <w:tcPr>
            <w:tcW w:w="10031" w:type="dxa"/>
            <w:gridSpan w:val="4"/>
          </w:tcPr>
          <w:p w14:paraId="6F2CA6E0" w14:textId="3D9FB62C" w:rsidR="008221A4" w:rsidRDefault="00B35E0F" w:rsidP="00EB614A">
            <w:pPr>
              <w:pStyle w:val="Source"/>
            </w:pPr>
            <w:bookmarkStart w:id="4" w:name="dsource" w:colFirst="0" w:colLast="0"/>
            <w:r>
              <w:rPr>
                <w:rFonts w:hint="eastAsia"/>
                <w:lang w:eastAsia="zh-CN"/>
              </w:rPr>
              <w:t>秘书长的说明</w:t>
            </w:r>
          </w:p>
        </w:tc>
      </w:tr>
      <w:tr w:rsidR="008221A4" w14:paraId="485E0D63" w14:textId="77777777">
        <w:trPr>
          <w:cantSplit/>
        </w:trPr>
        <w:tc>
          <w:tcPr>
            <w:tcW w:w="10031" w:type="dxa"/>
            <w:gridSpan w:val="4"/>
          </w:tcPr>
          <w:p w14:paraId="7FDC7AC0" w14:textId="566CBA42" w:rsidR="008221A4" w:rsidRDefault="00B35E0F" w:rsidP="008221A4">
            <w:pPr>
              <w:pStyle w:val="Title1"/>
              <w:rPr>
                <w:lang w:eastAsia="zh-CN"/>
              </w:rPr>
            </w:pPr>
            <w:bookmarkStart w:id="5" w:name="dtitle1" w:colFirst="0" w:colLast="0"/>
            <w:bookmarkEnd w:id="4"/>
            <w:r>
              <w:rPr>
                <w:rFonts w:hint="eastAsia"/>
                <w:lang w:eastAsia="zh-CN"/>
              </w:rPr>
              <w:t>第</w:t>
            </w:r>
            <w:r w:rsidRPr="00B35E0F">
              <w:rPr>
                <w:lang w:eastAsia="zh-CN"/>
              </w:rPr>
              <w:t>216</w:t>
            </w:r>
            <w:r>
              <w:rPr>
                <w:rFonts w:hint="eastAsia"/>
                <w:lang w:eastAsia="zh-CN"/>
              </w:rPr>
              <w:t>号决议（</w:t>
            </w:r>
            <w:r w:rsidR="000D1B48" w:rsidRPr="00514C2A">
              <w:rPr>
                <w:lang w:eastAsia="zh-CN"/>
              </w:rPr>
              <w:t>2022</w:t>
            </w:r>
            <w:r>
              <w:rPr>
                <w:rFonts w:hint="eastAsia"/>
                <w:lang w:eastAsia="zh-CN"/>
              </w:rPr>
              <w:t>年，布加勒斯特）</w:t>
            </w:r>
          </w:p>
        </w:tc>
      </w:tr>
      <w:tr w:rsidR="008221A4" w14:paraId="05ADEC9D" w14:textId="77777777">
        <w:trPr>
          <w:cantSplit/>
        </w:trPr>
        <w:tc>
          <w:tcPr>
            <w:tcW w:w="10031" w:type="dxa"/>
            <w:gridSpan w:val="4"/>
          </w:tcPr>
          <w:p w14:paraId="5B346FB2" w14:textId="77777777" w:rsidR="008221A4" w:rsidRDefault="008221A4" w:rsidP="008221A4">
            <w:pPr>
              <w:pStyle w:val="Title2"/>
              <w:rPr>
                <w:lang w:eastAsia="zh-CN"/>
              </w:rPr>
            </w:pPr>
            <w:bookmarkStart w:id="6" w:name="dtitle2" w:colFirst="0" w:colLast="0"/>
            <w:bookmarkEnd w:id="5"/>
          </w:p>
        </w:tc>
      </w:tr>
      <w:tr w:rsidR="008221A4" w14:paraId="494B0A47" w14:textId="77777777">
        <w:trPr>
          <w:cantSplit/>
        </w:trPr>
        <w:tc>
          <w:tcPr>
            <w:tcW w:w="10031" w:type="dxa"/>
            <w:gridSpan w:val="4"/>
          </w:tcPr>
          <w:p w14:paraId="7C5AFA8E" w14:textId="77777777" w:rsidR="008221A4" w:rsidRDefault="008221A4" w:rsidP="008221A4">
            <w:pPr>
              <w:pStyle w:val="Agendaitem"/>
            </w:pPr>
            <w:bookmarkStart w:id="7" w:name="dtitle3" w:colFirst="0" w:colLast="0"/>
            <w:bookmarkEnd w:id="6"/>
          </w:p>
        </w:tc>
      </w:tr>
    </w:tbl>
    <w:bookmarkEnd w:id="7"/>
    <w:p w14:paraId="5A2F969C" w14:textId="00EFBBB5" w:rsidR="000D1B48" w:rsidRPr="00BF1BD1" w:rsidRDefault="00B35E0F" w:rsidP="00B35E0F">
      <w:pPr>
        <w:ind w:firstLineChars="200" w:firstLine="480"/>
        <w:rPr>
          <w:lang w:eastAsia="zh-CN"/>
        </w:rPr>
      </w:pPr>
      <w:r>
        <w:rPr>
          <w:rFonts w:hint="eastAsia"/>
          <w:lang w:eastAsia="zh-CN"/>
        </w:rPr>
        <w:t>根据全球代表大会</w:t>
      </w:r>
      <w:r w:rsidRPr="00B35E0F">
        <w:rPr>
          <w:rFonts w:hint="eastAsia"/>
          <w:lang w:eastAsia="zh-CN"/>
        </w:rPr>
        <w:t>第</w:t>
      </w:r>
      <w:r w:rsidRPr="00B35E0F">
        <w:rPr>
          <w:rFonts w:hint="eastAsia"/>
          <w:lang w:eastAsia="zh-CN"/>
        </w:rPr>
        <w:t>216</w:t>
      </w:r>
      <w:r w:rsidRPr="00B35E0F">
        <w:rPr>
          <w:rFonts w:hint="eastAsia"/>
          <w:lang w:eastAsia="zh-CN"/>
        </w:rPr>
        <w:t>号决议（</w:t>
      </w:r>
      <w:r w:rsidRPr="00B35E0F">
        <w:rPr>
          <w:rFonts w:hint="eastAsia"/>
          <w:lang w:eastAsia="zh-CN"/>
        </w:rPr>
        <w:t>2022</w:t>
      </w:r>
      <w:r w:rsidRPr="00B35E0F">
        <w:rPr>
          <w:rFonts w:hint="eastAsia"/>
          <w:lang w:eastAsia="zh-CN"/>
        </w:rPr>
        <w:t>年，布加勒斯特）</w:t>
      </w:r>
      <w:r w:rsidRPr="00E5398D">
        <w:rPr>
          <w:rFonts w:ascii="STKaiti" w:eastAsia="STKaiti" w:hAnsi="STKaiti" w:hint="eastAsia"/>
          <w:lang w:eastAsia="zh-CN"/>
        </w:rPr>
        <w:t>责成秘书长</w:t>
      </w:r>
      <w:r>
        <w:rPr>
          <w:rFonts w:hint="eastAsia"/>
          <w:lang w:eastAsia="zh-CN"/>
        </w:rPr>
        <w:t>1</w:t>
      </w:r>
      <w:r>
        <w:rPr>
          <w:rFonts w:hint="eastAsia"/>
          <w:lang w:eastAsia="zh-CN"/>
        </w:rPr>
        <w:t>提请</w:t>
      </w:r>
      <w:r w:rsidR="000D1B48" w:rsidRPr="00514C2A">
        <w:rPr>
          <w:lang w:eastAsia="zh-CN"/>
        </w:rPr>
        <w:t>WRC-23</w:t>
      </w:r>
      <w:r>
        <w:rPr>
          <w:rFonts w:hint="eastAsia"/>
          <w:lang w:eastAsia="zh-CN"/>
        </w:rPr>
        <w:t>注意该决议。决议已纳入</w:t>
      </w:r>
      <w:r w:rsidRPr="00B35E0F">
        <w:rPr>
          <w:rFonts w:hint="eastAsia"/>
          <w:lang w:eastAsia="zh-CN"/>
        </w:rPr>
        <w:t>国际电联出版物</w:t>
      </w:r>
      <w:hyperlink r:id="rId12" w:history="1">
        <w:r w:rsidRPr="00B35E0F">
          <w:rPr>
            <w:rStyle w:val="Hyperlink"/>
            <w:rFonts w:hint="eastAsia"/>
            <w:lang w:eastAsia="zh-CN"/>
          </w:rPr>
          <w:t>《国际电信联盟基本文件汇编》（</w:t>
        </w:r>
        <w:r w:rsidRPr="00B35E0F">
          <w:rPr>
            <w:rStyle w:val="Hyperlink"/>
            <w:rFonts w:hint="eastAsia"/>
            <w:lang w:eastAsia="zh-CN"/>
          </w:rPr>
          <w:t>2023</w:t>
        </w:r>
        <w:r w:rsidRPr="00B35E0F">
          <w:rPr>
            <w:rStyle w:val="Hyperlink"/>
            <w:rFonts w:hint="eastAsia"/>
            <w:lang w:eastAsia="zh-CN"/>
          </w:rPr>
          <w:t>年版）</w:t>
        </w:r>
      </w:hyperlink>
      <w:r>
        <w:rPr>
          <w:rFonts w:hint="eastAsia"/>
          <w:lang w:eastAsia="zh-CN"/>
        </w:rPr>
        <w:t>并</w:t>
      </w:r>
      <w:r w:rsidRPr="00B35E0F">
        <w:rPr>
          <w:rFonts w:hint="eastAsia"/>
          <w:lang w:eastAsia="zh-CN"/>
        </w:rPr>
        <w:t>为方便起见，在本文件附件中提供。</w:t>
      </w:r>
    </w:p>
    <w:p w14:paraId="6EB1B3A3" w14:textId="77777777" w:rsidR="000D1B48" w:rsidRPr="00514C2A" w:rsidRDefault="000D1B48" w:rsidP="000D1B48">
      <w:pPr>
        <w:rPr>
          <w:lang w:eastAsia="zh-CN"/>
        </w:rPr>
      </w:pPr>
    </w:p>
    <w:p w14:paraId="324573AB" w14:textId="77777777" w:rsidR="000D1B48" w:rsidRDefault="000D1B48" w:rsidP="000D1B48">
      <w:pPr>
        <w:rPr>
          <w:lang w:eastAsia="zh-CN"/>
        </w:rPr>
      </w:pPr>
    </w:p>
    <w:p w14:paraId="2D733FEA" w14:textId="77777777" w:rsidR="000D1B48" w:rsidRDefault="000D1B48" w:rsidP="000D1B48">
      <w:pPr>
        <w:rPr>
          <w:lang w:eastAsia="zh-CN"/>
        </w:rPr>
      </w:pPr>
    </w:p>
    <w:p w14:paraId="3967B0DA" w14:textId="77777777" w:rsidR="000D1B48" w:rsidRDefault="000D1B48" w:rsidP="000D1B48">
      <w:pPr>
        <w:rPr>
          <w:lang w:eastAsia="zh-CN"/>
        </w:rPr>
      </w:pPr>
    </w:p>
    <w:p w14:paraId="59F8618D" w14:textId="3D59C696" w:rsidR="000D1B48" w:rsidRPr="00BF1BD1" w:rsidRDefault="000D1B48" w:rsidP="000D1B48">
      <w:pPr>
        <w:tabs>
          <w:tab w:val="center" w:pos="7088"/>
        </w:tabs>
        <w:rPr>
          <w:lang w:eastAsia="zh-CN"/>
        </w:rPr>
      </w:pPr>
      <w:r>
        <w:rPr>
          <w:lang w:eastAsia="zh-CN"/>
        </w:rPr>
        <w:tab/>
      </w:r>
      <w:r>
        <w:rPr>
          <w:lang w:eastAsia="zh-CN"/>
        </w:rPr>
        <w:tab/>
      </w:r>
      <w:r w:rsidRPr="00BF1BD1">
        <w:rPr>
          <w:lang w:eastAsia="zh-CN"/>
        </w:rPr>
        <w:tab/>
      </w:r>
      <w:r w:rsidRPr="00BF1BD1">
        <w:rPr>
          <w:lang w:eastAsia="zh-CN"/>
        </w:rPr>
        <w:tab/>
      </w:r>
      <w:r w:rsidR="005D21F9">
        <w:rPr>
          <w:rFonts w:hint="eastAsia"/>
          <w:lang w:eastAsia="zh-CN"/>
        </w:rPr>
        <w:t>秘书长</w:t>
      </w:r>
      <w:r w:rsidRPr="00BF1BD1">
        <w:rPr>
          <w:lang w:eastAsia="zh-CN"/>
        </w:rPr>
        <w:br/>
      </w:r>
      <w:r w:rsidRPr="00BF1BD1">
        <w:rPr>
          <w:lang w:eastAsia="zh-CN"/>
        </w:rPr>
        <w:tab/>
      </w:r>
      <w:r w:rsidRPr="00BF1BD1">
        <w:rPr>
          <w:lang w:eastAsia="zh-CN"/>
        </w:rPr>
        <w:tab/>
      </w:r>
      <w:r w:rsidRPr="00BF1BD1">
        <w:rPr>
          <w:lang w:eastAsia="zh-CN"/>
        </w:rPr>
        <w:tab/>
      </w:r>
      <w:r w:rsidRPr="00BF1BD1">
        <w:rPr>
          <w:lang w:eastAsia="zh-CN"/>
        </w:rPr>
        <w:tab/>
      </w:r>
      <w:r w:rsidR="00122E62" w:rsidRPr="00122E62">
        <w:rPr>
          <w:rFonts w:ascii="Calibri" w:hAnsi="Calibri" w:cs="Calibri" w:hint="eastAsia"/>
          <w:szCs w:val="24"/>
          <w:lang w:eastAsia="zh-CN"/>
        </w:rPr>
        <w:t>多琳·伯格丹</w:t>
      </w:r>
      <w:r w:rsidR="00122E62" w:rsidRPr="00122E62">
        <w:rPr>
          <w:rFonts w:ascii="Calibri" w:hAnsi="Calibri" w:cs="Calibri"/>
          <w:szCs w:val="24"/>
          <w:lang w:eastAsia="zh-CN"/>
        </w:rPr>
        <w:t>-</w:t>
      </w:r>
      <w:r w:rsidR="00122E62" w:rsidRPr="00122E62">
        <w:rPr>
          <w:rFonts w:ascii="Calibri" w:hAnsi="Calibri" w:cs="Calibri" w:hint="eastAsia"/>
          <w:szCs w:val="24"/>
          <w:lang w:eastAsia="zh-CN"/>
        </w:rPr>
        <w:t>马丁</w:t>
      </w:r>
    </w:p>
    <w:p w14:paraId="28C34D91" w14:textId="77777777" w:rsidR="000D1B48" w:rsidRPr="00BF1BD1" w:rsidRDefault="000D1B48" w:rsidP="000D1B48">
      <w:pPr>
        <w:rPr>
          <w:lang w:eastAsia="zh-CN"/>
        </w:rPr>
      </w:pPr>
    </w:p>
    <w:p w14:paraId="67838A5E" w14:textId="77777777" w:rsidR="000D1B48" w:rsidRDefault="000D1B48" w:rsidP="00E5398D">
      <w:pPr>
        <w:rPr>
          <w:lang w:eastAsia="zh-CN"/>
        </w:rPr>
      </w:pPr>
    </w:p>
    <w:p w14:paraId="3C60180F" w14:textId="77777777" w:rsidR="000D1B48" w:rsidRDefault="000D1B48" w:rsidP="00E5398D">
      <w:pPr>
        <w:rPr>
          <w:lang w:eastAsia="zh-CN"/>
        </w:rPr>
      </w:pPr>
    </w:p>
    <w:p w14:paraId="4D87BE1B" w14:textId="77777777" w:rsidR="000D1B48" w:rsidRDefault="000D1B48" w:rsidP="00E5398D">
      <w:pPr>
        <w:rPr>
          <w:lang w:eastAsia="zh-CN"/>
        </w:rPr>
      </w:pPr>
    </w:p>
    <w:p w14:paraId="6B94F6A9" w14:textId="77777777" w:rsidR="000D1B48" w:rsidRDefault="000D1B48" w:rsidP="00E5398D">
      <w:pPr>
        <w:rPr>
          <w:lang w:eastAsia="zh-CN"/>
        </w:rPr>
      </w:pPr>
    </w:p>
    <w:p w14:paraId="4CC79DF7" w14:textId="77777777" w:rsidR="000D1B48" w:rsidRDefault="000D1B48" w:rsidP="00E5398D">
      <w:pPr>
        <w:rPr>
          <w:lang w:eastAsia="zh-CN"/>
        </w:rPr>
      </w:pPr>
    </w:p>
    <w:p w14:paraId="5ED626D3" w14:textId="12C8ED47" w:rsidR="00924472" w:rsidRDefault="005D21F9" w:rsidP="000D1B48">
      <w:pPr>
        <w:rPr>
          <w:lang w:eastAsia="zh-CN"/>
        </w:rPr>
      </w:pPr>
      <w:r w:rsidRPr="00E5398D">
        <w:rPr>
          <w:rFonts w:hint="eastAsia"/>
          <w:b/>
          <w:bCs/>
          <w:lang w:eastAsia="zh-CN"/>
        </w:rPr>
        <w:t>附件</w:t>
      </w:r>
      <w:r>
        <w:rPr>
          <w:rFonts w:hint="eastAsia"/>
          <w:lang w:eastAsia="zh-CN"/>
        </w:rPr>
        <w:t>：</w:t>
      </w:r>
      <w:r w:rsidR="000D1B48">
        <w:rPr>
          <w:lang w:eastAsia="zh-CN"/>
        </w:rPr>
        <w:tab/>
        <w:t>1</w:t>
      </w:r>
      <w:r>
        <w:rPr>
          <w:rFonts w:hint="eastAsia"/>
          <w:lang w:eastAsia="zh-CN"/>
        </w:rPr>
        <w:t>件</w:t>
      </w:r>
    </w:p>
    <w:p w14:paraId="589C4F1B" w14:textId="44C4828E" w:rsidR="00B868FC" w:rsidRDefault="00B868FC" w:rsidP="003F1513">
      <w:pPr>
        <w:pStyle w:val="AnnexNo"/>
        <w:rPr>
          <w:lang w:eastAsia="zh-CN"/>
        </w:rPr>
      </w:pPr>
      <w:r>
        <w:rPr>
          <w:lang w:eastAsia="zh-CN"/>
        </w:rPr>
        <w:br w:type="page"/>
      </w:r>
      <w:r w:rsidR="005D21F9">
        <w:rPr>
          <w:rFonts w:hint="eastAsia"/>
          <w:lang w:eastAsia="zh-CN"/>
        </w:rPr>
        <w:lastRenderedPageBreak/>
        <w:t>附件</w:t>
      </w:r>
    </w:p>
    <w:p w14:paraId="4275A24B" w14:textId="77777777" w:rsidR="003F1513" w:rsidRPr="00857E14" w:rsidRDefault="003F1513" w:rsidP="003F1513">
      <w:pPr>
        <w:pStyle w:val="ResNo"/>
        <w:outlineLvl w:val="0"/>
        <w:rPr>
          <w:lang w:eastAsia="zh-CN"/>
        </w:rPr>
      </w:pPr>
      <w:r w:rsidRPr="00857E14">
        <w:rPr>
          <w:rStyle w:val="href"/>
          <w:rFonts w:hint="eastAsia"/>
          <w:lang w:eastAsia="zh-CN"/>
        </w:rPr>
        <w:t>第</w:t>
      </w:r>
      <w:r w:rsidRPr="00857E14">
        <w:rPr>
          <w:rStyle w:val="href"/>
          <w:lang w:eastAsia="zh-CN"/>
        </w:rPr>
        <w:t>216</w:t>
      </w:r>
      <w:r w:rsidRPr="00857E14">
        <w:rPr>
          <w:rStyle w:val="href"/>
          <w:rFonts w:hint="eastAsia"/>
          <w:lang w:eastAsia="zh-CN"/>
        </w:rPr>
        <w:t>号决议</w:t>
      </w:r>
      <w:r w:rsidRPr="00857E14">
        <w:rPr>
          <w:rFonts w:hint="eastAsia"/>
          <w:lang w:eastAsia="zh-CN"/>
        </w:rPr>
        <w:t>（</w:t>
      </w:r>
      <w:r w:rsidRPr="00857E14">
        <w:rPr>
          <w:lang w:eastAsia="zh-CN"/>
        </w:rPr>
        <w:t>2022</w:t>
      </w:r>
      <w:r w:rsidRPr="00857E14">
        <w:rPr>
          <w:rFonts w:hint="eastAsia"/>
          <w:lang w:eastAsia="zh-CN"/>
        </w:rPr>
        <w:t>年，布加勒斯特）</w:t>
      </w:r>
    </w:p>
    <w:p w14:paraId="35DFEEFD" w14:textId="77777777" w:rsidR="003F1513" w:rsidRPr="00857E14" w:rsidRDefault="003F1513" w:rsidP="003F1513">
      <w:pPr>
        <w:pStyle w:val="Restitle"/>
        <w:rPr>
          <w:lang w:eastAsia="zh-CN"/>
        </w:rPr>
      </w:pPr>
      <w:r w:rsidRPr="00857E14">
        <w:rPr>
          <w:rFonts w:hint="eastAsia"/>
          <w:lang w:eastAsia="zh-CN"/>
        </w:rPr>
        <w:t>国防业务军用无线电设施使用的频率指配</w:t>
      </w:r>
    </w:p>
    <w:p w14:paraId="6AE02E48" w14:textId="77777777" w:rsidR="003F1513" w:rsidRPr="00857E14" w:rsidRDefault="003F1513" w:rsidP="00E5398D">
      <w:pPr>
        <w:pStyle w:val="Normalaftertitle0"/>
        <w:rPr>
          <w:lang w:eastAsia="zh-CN"/>
        </w:rPr>
      </w:pPr>
      <w:r w:rsidRPr="00857E14">
        <w:rPr>
          <w:rFonts w:hint="eastAsia"/>
          <w:lang w:eastAsia="zh-CN"/>
        </w:rPr>
        <w:t>国际电信联盟全权代表大会（</w:t>
      </w:r>
      <w:r w:rsidRPr="00857E14">
        <w:rPr>
          <w:rFonts w:hint="eastAsia"/>
          <w:lang w:eastAsia="zh-CN"/>
        </w:rPr>
        <w:t>2022</w:t>
      </w:r>
      <w:r w:rsidRPr="00857E14">
        <w:rPr>
          <w:rFonts w:hint="eastAsia"/>
          <w:lang w:eastAsia="zh-CN"/>
        </w:rPr>
        <w:t>年，布加勒斯特），</w:t>
      </w:r>
    </w:p>
    <w:p w14:paraId="355C8036" w14:textId="77777777" w:rsidR="003F1513" w:rsidRPr="00857E14" w:rsidRDefault="003F1513" w:rsidP="003F1513">
      <w:pPr>
        <w:pStyle w:val="Call"/>
        <w:rPr>
          <w:lang w:eastAsia="zh-CN"/>
        </w:rPr>
      </w:pPr>
      <w:r w:rsidRPr="00857E14">
        <w:rPr>
          <w:rFonts w:hint="eastAsia"/>
          <w:lang w:eastAsia="zh-CN"/>
        </w:rPr>
        <w:t>考虑到</w:t>
      </w:r>
    </w:p>
    <w:p w14:paraId="38AF5B6E" w14:textId="77777777" w:rsidR="003F1513" w:rsidRPr="00857E14" w:rsidRDefault="003F1513" w:rsidP="003F1513">
      <w:pPr>
        <w:rPr>
          <w:lang w:eastAsia="zh-CN"/>
        </w:rPr>
      </w:pPr>
      <w:r w:rsidRPr="00857E14">
        <w:rPr>
          <w:rStyle w:val="ItalicEnglish"/>
          <w:lang w:eastAsia="zh-CN"/>
        </w:rPr>
        <w:t>a)</w:t>
      </w:r>
      <w:r w:rsidRPr="00857E14">
        <w:rPr>
          <w:rFonts w:eastAsia="Times New Roman"/>
          <w:lang w:eastAsia="zh-CN"/>
        </w:rPr>
        <w:tab/>
      </w:r>
      <w:r w:rsidRPr="00857E14">
        <w:rPr>
          <w:rFonts w:hint="eastAsia"/>
          <w:lang w:eastAsia="zh-CN"/>
        </w:rPr>
        <w:t>世界无线电通信大会（</w:t>
      </w:r>
      <w:r w:rsidRPr="00857E14">
        <w:rPr>
          <w:rFonts w:hint="eastAsia"/>
          <w:lang w:eastAsia="zh-CN"/>
        </w:rPr>
        <w:t>WRC</w:t>
      </w:r>
      <w:r w:rsidRPr="00857E14">
        <w:rPr>
          <w:rFonts w:hint="eastAsia"/>
          <w:lang w:eastAsia="zh-CN"/>
        </w:rPr>
        <w:t>）（</w:t>
      </w:r>
      <w:r w:rsidRPr="00857E14">
        <w:rPr>
          <w:rFonts w:hint="eastAsia"/>
          <w:lang w:eastAsia="zh-CN"/>
        </w:rPr>
        <w:t>2019</w:t>
      </w:r>
      <w:r w:rsidRPr="00857E14">
        <w:rPr>
          <w:rFonts w:hint="eastAsia"/>
          <w:lang w:eastAsia="zh-CN"/>
        </w:rPr>
        <w:t>年，沙姆沙伊赫）根据国际电联</w:t>
      </w:r>
      <w:r w:rsidRPr="00857E14">
        <w:rPr>
          <w:lang w:eastAsia="zh-CN"/>
        </w:rPr>
        <w:br/>
      </w:r>
      <w:r w:rsidRPr="00857E14">
        <w:rPr>
          <w:rFonts w:hint="eastAsia"/>
          <w:lang w:eastAsia="zh-CN"/>
        </w:rPr>
        <w:t>《公约》第</w:t>
      </w:r>
      <w:r w:rsidRPr="00857E14">
        <w:rPr>
          <w:rFonts w:hint="eastAsia"/>
          <w:lang w:eastAsia="zh-CN"/>
        </w:rPr>
        <w:t>21</w:t>
      </w:r>
      <w:r w:rsidRPr="00857E14">
        <w:rPr>
          <w:rFonts w:hint="eastAsia"/>
          <w:lang w:eastAsia="zh-CN"/>
        </w:rPr>
        <w:t>条，请本届全权代表大会审议对《无线电规则》援引国际电联</w:t>
      </w:r>
      <w:r w:rsidRPr="00857E14">
        <w:rPr>
          <w:lang w:eastAsia="zh-CN"/>
        </w:rPr>
        <w:br/>
      </w:r>
      <w:r w:rsidRPr="00857E14">
        <w:rPr>
          <w:rFonts w:hint="eastAsia"/>
          <w:lang w:eastAsia="zh-CN"/>
        </w:rPr>
        <w:t>《组织法》第</w:t>
      </w:r>
      <w:r w:rsidRPr="00857E14">
        <w:rPr>
          <w:rFonts w:hint="eastAsia"/>
          <w:lang w:eastAsia="zh-CN"/>
        </w:rPr>
        <w:t>48</w:t>
      </w:r>
      <w:r w:rsidRPr="00857E14">
        <w:rPr>
          <w:rFonts w:hint="eastAsia"/>
          <w:lang w:eastAsia="zh-CN"/>
        </w:rPr>
        <w:t>条的问题，</w:t>
      </w:r>
      <w:proofErr w:type="gramStart"/>
      <w:r w:rsidRPr="00857E14">
        <w:rPr>
          <w:rFonts w:hint="eastAsia"/>
          <w:lang w:eastAsia="zh-CN"/>
        </w:rPr>
        <w:t>并在必要时采取适当行动；</w:t>
      </w:r>
      <w:proofErr w:type="gramEnd"/>
    </w:p>
    <w:p w14:paraId="3A534D33" w14:textId="77777777" w:rsidR="003F1513" w:rsidRPr="00857E14" w:rsidRDefault="003F1513" w:rsidP="003F1513">
      <w:pPr>
        <w:rPr>
          <w:lang w:eastAsia="zh-CN"/>
        </w:rPr>
      </w:pPr>
      <w:r w:rsidRPr="00857E14">
        <w:rPr>
          <w:rStyle w:val="ItalicEnglish"/>
          <w:lang w:eastAsia="zh-CN"/>
        </w:rPr>
        <w:t>b)</w:t>
      </w:r>
      <w:r w:rsidRPr="00857E14">
        <w:rPr>
          <w:lang w:eastAsia="zh-CN"/>
        </w:rPr>
        <w:tab/>
      </w:r>
      <w:r w:rsidRPr="00857E14">
        <w:rPr>
          <w:rFonts w:asciiTheme="minorEastAsia" w:hAnsiTheme="minorEastAsia" w:hint="eastAsia"/>
          <w:lang w:eastAsia="zh-CN"/>
        </w:rPr>
        <w:t>《</w:t>
      </w:r>
      <w:r w:rsidRPr="00857E14">
        <w:rPr>
          <w:rFonts w:hint="eastAsia"/>
          <w:lang w:eastAsia="zh-CN"/>
        </w:rPr>
        <w:t>无线电规则》中目前没有关于援引第</w:t>
      </w:r>
      <w:r w:rsidRPr="00857E14">
        <w:rPr>
          <w:rFonts w:hint="eastAsia"/>
          <w:lang w:eastAsia="zh-CN"/>
        </w:rPr>
        <w:t>48</w:t>
      </w:r>
      <w:r w:rsidRPr="00857E14">
        <w:rPr>
          <w:rFonts w:hint="eastAsia"/>
          <w:lang w:eastAsia="zh-CN"/>
        </w:rPr>
        <w:t>条用于处理、登记和维护《国际频率登记总表》（</w:t>
      </w:r>
      <w:r w:rsidRPr="00857E14">
        <w:rPr>
          <w:rFonts w:hint="eastAsia"/>
          <w:lang w:eastAsia="zh-CN"/>
        </w:rPr>
        <w:t>MIFR</w:t>
      </w:r>
      <w:r w:rsidRPr="00857E14">
        <w:rPr>
          <w:rFonts w:hint="eastAsia"/>
          <w:lang w:eastAsia="zh-CN"/>
        </w:rPr>
        <w:t>）中作为国防业务设施一部分的电台频率指配的具体规定</w:t>
      </w:r>
      <w:r w:rsidRPr="00857E14">
        <w:rPr>
          <w:rFonts w:hint="eastAsia"/>
          <w:lang w:eastAsia="zh-CN"/>
        </w:rPr>
        <w:t>/</w:t>
      </w:r>
      <w:proofErr w:type="gramStart"/>
      <w:r w:rsidRPr="00857E14">
        <w:rPr>
          <w:rFonts w:hint="eastAsia"/>
          <w:lang w:eastAsia="zh-CN"/>
        </w:rPr>
        <w:t>程序；</w:t>
      </w:r>
      <w:proofErr w:type="gramEnd"/>
    </w:p>
    <w:p w14:paraId="28C566E2" w14:textId="77777777" w:rsidR="003F1513" w:rsidRPr="00857E14" w:rsidRDefault="003F1513" w:rsidP="003F1513">
      <w:pPr>
        <w:rPr>
          <w:lang w:eastAsia="zh-CN"/>
        </w:rPr>
      </w:pPr>
      <w:r w:rsidRPr="00857E14">
        <w:rPr>
          <w:rStyle w:val="ItalicEnglish"/>
          <w:lang w:eastAsia="zh-CN"/>
        </w:rPr>
        <w:t>c)</w:t>
      </w:r>
      <w:r w:rsidRPr="00857E14">
        <w:rPr>
          <w:i/>
          <w:iCs/>
          <w:lang w:eastAsia="zh-CN"/>
        </w:rPr>
        <w:tab/>
      </w:r>
      <w:proofErr w:type="gramStart"/>
      <w:r w:rsidRPr="00857E14">
        <w:rPr>
          <w:rFonts w:hint="eastAsia"/>
          <w:lang w:eastAsia="zh-CN"/>
        </w:rPr>
        <w:t>默认成员国在为军用无线电设施援引第</w:t>
      </w:r>
      <w:r w:rsidRPr="00857E14">
        <w:rPr>
          <w:rFonts w:hint="eastAsia"/>
          <w:lang w:eastAsia="zh-CN"/>
        </w:rPr>
        <w:t>48</w:t>
      </w:r>
      <w:r w:rsidRPr="00857E14">
        <w:rPr>
          <w:rFonts w:hint="eastAsia"/>
          <w:lang w:eastAsia="zh-CN"/>
        </w:rPr>
        <w:t>条时系诚信行事；</w:t>
      </w:r>
      <w:proofErr w:type="gramEnd"/>
    </w:p>
    <w:p w14:paraId="3808BF46" w14:textId="77777777" w:rsidR="003F1513" w:rsidRPr="00857E14" w:rsidRDefault="003F1513" w:rsidP="003F1513">
      <w:pPr>
        <w:rPr>
          <w:lang w:eastAsia="zh-CN"/>
        </w:rPr>
      </w:pPr>
      <w:r w:rsidRPr="00857E14">
        <w:rPr>
          <w:rStyle w:val="ItalicEnglish"/>
          <w:lang w:eastAsia="zh-CN"/>
        </w:rPr>
        <w:t>d)</w:t>
      </w:r>
      <w:r w:rsidRPr="00857E14">
        <w:rPr>
          <w:lang w:eastAsia="zh-CN"/>
        </w:rPr>
        <w:tab/>
      </w:r>
      <w:r w:rsidRPr="00857E14">
        <w:rPr>
          <w:rFonts w:hint="eastAsia"/>
          <w:lang w:eastAsia="zh-CN"/>
        </w:rPr>
        <w:t>WRC</w:t>
      </w:r>
      <w:r w:rsidRPr="00857E14">
        <w:rPr>
          <w:lang w:eastAsia="zh-CN"/>
        </w:rPr>
        <w:t>-</w:t>
      </w:r>
      <w:r w:rsidRPr="00857E14">
        <w:rPr>
          <w:rFonts w:hint="eastAsia"/>
          <w:lang w:eastAsia="zh-CN"/>
        </w:rPr>
        <w:t>15</w:t>
      </w:r>
      <w:r w:rsidRPr="00857E14">
        <w:rPr>
          <w:rFonts w:hint="eastAsia"/>
          <w:lang w:eastAsia="zh-CN"/>
        </w:rPr>
        <w:t>指出，第</w:t>
      </w:r>
      <w:r w:rsidRPr="00857E14">
        <w:rPr>
          <w:rFonts w:hint="eastAsia"/>
          <w:lang w:eastAsia="zh-CN"/>
        </w:rPr>
        <w:t>48</w:t>
      </w:r>
      <w:proofErr w:type="gramStart"/>
      <w:r w:rsidRPr="00857E14">
        <w:rPr>
          <w:rFonts w:hint="eastAsia"/>
          <w:lang w:eastAsia="zh-CN"/>
        </w:rPr>
        <w:t>条提及“</w:t>
      </w:r>
      <w:proofErr w:type="gramEnd"/>
      <w:r w:rsidRPr="00857E14">
        <w:rPr>
          <w:rFonts w:hint="eastAsia"/>
          <w:lang w:eastAsia="zh-CN"/>
        </w:rPr>
        <w:t>军用无线电设施”，而不是一般用于政府目的的台站，</w:t>
      </w:r>
    </w:p>
    <w:p w14:paraId="429EABBC" w14:textId="77777777" w:rsidR="003F1513" w:rsidRPr="00857E14" w:rsidRDefault="003F1513" w:rsidP="003F1513">
      <w:pPr>
        <w:pStyle w:val="Call"/>
        <w:rPr>
          <w:lang w:eastAsia="zh-CN"/>
        </w:rPr>
      </w:pPr>
      <w:r w:rsidRPr="00857E14">
        <w:rPr>
          <w:rFonts w:hint="eastAsia"/>
          <w:lang w:eastAsia="zh-CN"/>
        </w:rPr>
        <w:t>认识到</w:t>
      </w:r>
    </w:p>
    <w:p w14:paraId="5C2F13D3" w14:textId="77777777" w:rsidR="003F1513" w:rsidRPr="00857E14" w:rsidRDefault="003F1513" w:rsidP="003F1513">
      <w:pPr>
        <w:rPr>
          <w:highlight w:val="cyan"/>
          <w:lang w:eastAsia="zh-CN"/>
        </w:rPr>
      </w:pPr>
      <w:r w:rsidRPr="00857E14">
        <w:rPr>
          <w:rStyle w:val="ItalicEnglish"/>
          <w:lang w:eastAsia="zh-CN"/>
        </w:rPr>
        <w:t>a)</w:t>
      </w:r>
      <w:r w:rsidRPr="00857E14">
        <w:rPr>
          <w:rFonts w:eastAsia="Times New Roman"/>
          <w:lang w:eastAsia="zh-CN"/>
        </w:rPr>
        <w:tab/>
      </w:r>
      <w:r w:rsidRPr="00857E14">
        <w:rPr>
          <w:rFonts w:hint="eastAsia"/>
          <w:lang w:eastAsia="zh-CN"/>
        </w:rPr>
        <w:t>《组织法》的条款得到包括《无线电规则》在内的各《行政规则》</w:t>
      </w:r>
      <w:proofErr w:type="gramStart"/>
      <w:r w:rsidRPr="00857E14">
        <w:rPr>
          <w:rFonts w:hint="eastAsia"/>
          <w:lang w:eastAsia="zh-CN"/>
        </w:rPr>
        <w:t>的进一步补充；</w:t>
      </w:r>
      <w:proofErr w:type="gramEnd"/>
    </w:p>
    <w:p w14:paraId="15187F44" w14:textId="77777777" w:rsidR="003F1513" w:rsidRPr="00933D7F" w:rsidRDefault="003F1513" w:rsidP="003F1513">
      <w:pPr>
        <w:rPr>
          <w:lang w:eastAsia="zh-CN"/>
        </w:rPr>
      </w:pPr>
      <w:r w:rsidRPr="00857E14">
        <w:rPr>
          <w:rStyle w:val="ItalicEnglish"/>
          <w:lang w:eastAsia="zh-CN"/>
        </w:rPr>
        <w:t>b)</w:t>
      </w:r>
      <w:r w:rsidRPr="00857E14">
        <w:rPr>
          <w:lang w:eastAsia="zh-CN"/>
        </w:rPr>
        <w:tab/>
      </w:r>
      <w:r w:rsidRPr="00857E14">
        <w:rPr>
          <w:rFonts w:hint="eastAsia"/>
          <w:lang w:eastAsia="zh-CN"/>
        </w:rPr>
        <w:t>根据《组织法》第</w:t>
      </w:r>
      <w:r w:rsidRPr="00857E14">
        <w:rPr>
          <w:rFonts w:hint="eastAsia"/>
          <w:lang w:eastAsia="zh-CN"/>
        </w:rPr>
        <w:t>48</w:t>
      </w:r>
      <w:r w:rsidRPr="00857E14">
        <w:rPr>
          <w:rFonts w:hint="eastAsia"/>
          <w:lang w:eastAsia="zh-CN"/>
        </w:rPr>
        <w:t>条第</w:t>
      </w:r>
      <w:r w:rsidRPr="00857E14">
        <w:rPr>
          <w:lang w:eastAsia="zh-CN"/>
        </w:rPr>
        <w:t>202</w:t>
      </w:r>
      <w:r w:rsidRPr="00857E14">
        <w:rPr>
          <w:rFonts w:hint="eastAsia"/>
          <w:lang w:eastAsia="zh-CN"/>
        </w:rPr>
        <w:t>款，</w:t>
      </w:r>
      <w:proofErr w:type="gramStart"/>
      <w:r w:rsidRPr="00857E14">
        <w:rPr>
          <w:rFonts w:hint="eastAsia"/>
          <w:lang w:eastAsia="zh-CN"/>
        </w:rPr>
        <w:t>各成员国对于其军用无线电设施保留其完全的自由权；</w:t>
      </w:r>
      <w:proofErr w:type="gramEnd"/>
    </w:p>
    <w:p w14:paraId="3E18EE72" w14:textId="77777777" w:rsidR="003F1513" w:rsidRPr="00857E14" w:rsidRDefault="003F1513" w:rsidP="003F1513">
      <w:pPr>
        <w:rPr>
          <w:lang w:eastAsia="zh-CN"/>
        </w:rPr>
      </w:pPr>
      <w:r w:rsidRPr="00857E14">
        <w:rPr>
          <w:rStyle w:val="ItalicEnglish"/>
          <w:lang w:eastAsia="zh-CN"/>
        </w:rPr>
        <w:t>c)</w:t>
      </w:r>
      <w:r w:rsidRPr="00857E14">
        <w:rPr>
          <w:lang w:eastAsia="zh-CN"/>
        </w:rPr>
        <w:tab/>
      </w:r>
      <w:r w:rsidRPr="00857E14">
        <w:rPr>
          <w:rFonts w:hint="eastAsia"/>
          <w:lang w:eastAsia="zh-CN"/>
        </w:rPr>
        <w:t>根据《组织法》第</w:t>
      </w:r>
      <w:r w:rsidRPr="00857E14">
        <w:rPr>
          <w:rFonts w:hint="eastAsia"/>
          <w:lang w:eastAsia="zh-CN"/>
        </w:rPr>
        <w:t>48</w:t>
      </w:r>
      <w:r w:rsidRPr="00857E14">
        <w:rPr>
          <w:rFonts w:hint="eastAsia"/>
          <w:lang w:eastAsia="zh-CN"/>
        </w:rPr>
        <w:t>条第</w:t>
      </w:r>
      <w:r w:rsidRPr="00857E14">
        <w:rPr>
          <w:rFonts w:hint="eastAsia"/>
          <w:lang w:eastAsia="zh-CN"/>
        </w:rPr>
        <w:t>2</w:t>
      </w:r>
      <w:r w:rsidRPr="00857E14">
        <w:rPr>
          <w:lang w:eastAsia="zh-CN"/>
        </w:rPr>
        <w:t>03</w:t>
      </w:r>
      <w:r w:rsidRPr="00857E14">
        <w:rPr>
          <w:rFonts w:hint="eastAsia"/>
          <w:lang w:eastAsia="zh-CN"/>
        </w:rPr>
        <w:t>款，</w:t>
      </w:r>
      <w:proofErr w:type="gramStart"/>
      <w:r w:rsidRPr="00857E14">
        <w:rPr>
          <w:rFonts w:hint="eastAsia"/>
          <w:lang w:eastAsia="zh-CN"/>
        </w:rPr>
        <w:t>这些设施必须尽可能遵守采取防止有害干扰的措施的法定条款；</w:t>
      </w:r>
      <w:proofErr w:type="gramEnd"/>
    </w:p>
    <w:p w14:paraId="5D805F08" w14:textId="77777777" w:rsidR="003F1513" w:rsidRPr="00857E14" w:rsidRDefault="003F1513" w:rsidP="003F1513">
      <w:pPr>
        <w:rPr>
          <w:lang w:eastAsia="zh-CN"/>
        </w:rPr>
      </w:pPr>
      <w:r w:rsidRPr="00857E14">
        <w:rPr>
          <w:rStyle w:val="ItalicEnglish"/>
          <w:lang w:eastAsia="zh-CN"/>
        </w:rPr>
        <w:t>d)</w:t>
      </w:r>
      <w:r w:rsidRPr="00857E14">
        <w:rPr>
          <w:lang w:eastAsia="zh-CN"/>
        </w:rPr>
        <w:tab/>
      </w:r>
      <w:r w:rsidRPr="00857E14">
        <w:rPr>
          <w:rFonts w:hint="eastAsia"/>
          <w:lang w:eastAsia="zh-CN"/>
        </w:rPr>
        <w:t>任何成员国在适用《无线电规则》时，</w:t>
      </w:r>
      <w:proofErr w:type="gramStart"/>
      <w:r w:rsidRPr="00857E14">
        <w:rPr>
          <w:rFonts w:hint="eastAsia"/>
          <w:lang w:eastAsia="zh-CN"/>
        </w:rPr>
        <w:t>对军用无线电设施援引第</w:t>
      </w:r>
      <w:r w:rsidRPr="00857E14">
        <w:rPr>
          <w:rFonts w:hint="eastAsia"/>
          <w:lang w:eastAsia="zh-CN"/>
        </w:rPr>
        <w:t>48</w:t>
      </w:r>
      <w:r w:rsidRPr="00857E14">
        <w:rPr>
          <w:rFonts w:hint="eastAsia"/>
          <w:lang w:eastAsia="zh-CN"/>
        </w:rPr>
        <w:t>条不受任何限制；</w:t>
      </w:r>
      <w:proofErr w:type="gramEnd"/>
    </w:p>
    <w:p w14:paraId="20CAAB05" w14:textId="77777777" w:rsidR="003F1513" w:rsidRPr="00857E14" w:rsidRDefault="003F1513" w:rsidP="003F1513">
      <w:pPr>
        <w:rPr>
          <w:lang w:eastAsia="zh-CN"/>
        </w:rPr>
      </w:pPr>
      <w:r w:rsidRPr="00857E14">
        <w:rPr>
          <w:rStyle w:val="ItalicEnglish"/>
          <w:lang w:eastAsia="zh-CN"/>
        </w:rPr>
        <w:t>e)</w:t>
      </w:r>
      <w:r w:rsidRPr="00857E14">
        <w:rPr>
          <w:lang w:eastAsia="zh-CN"/>
        </w:rPr>
        <w:tab/>
      </w:r>
      <w:r w:rsidRPr="00857E14">
        <w:rPr>
          <w:rFonts w:hint="eastAsia"/>
          <w:lang w:eastAsia="zh-CN"/>
        </w:rPr>
        <w:t>任何频率指配获得的国际承认和保护的权利，来自于这些频率指配在</w:t>
      </w:r>
      <w:r w:rsidRPr="00857E14">
        <w:rPr>
          <w:rFonts w:hint="eastAsia"/>
          <w:lang w:eastAsia="zh-CN"/>
        </w:rPr>
        <w:t>MIFR</w:t>
      </w:r>
      <w:r w:rsidRPr="00857E14">
        <w:rPr>
          <w:rFonts w:hint="eastAsia"/>
          <w:lang w:eastAsia="zh-CN"/>
        </w:rPr>
        <w:t>中的登记，并受《无线电规则》条款的制约，</w:t>
      </w:r>
    </w:p>
    <w:p w14:paraId="1A0FB4FD" w14:textId="77777777" w:rsidR="003F1513" w:rsidRPr="00857E14" w:rsidRDefault="003F1513" w:rsidP="003F1513">
      <w:pPr>
        <w:pStyle w:val="Call"/>
        <w:rPr>
          <w:lang w:eastAsia="zh-CN"/>
        </w:rPr>
      </w:pPr>
      <w:r w:rsidRPr="00857E14">
        <w:rPr>
          <w:rFonts w:hint="eastAsia"/>
          <w:lang w:eastAsia="zh-CN"/>
        </w:rPr>
        <w:t>进一步认识到</w:t>
      </w:r>
    </w:p>
    <w:p w14:paraId="679EFD0A" w14:textId="77777777" w:rsidR="003F1513" w:rsidRPr="00857E14" w:rsidRDefault="003F1513" w:rsidP="003F1513">
      <w:pPr>
        <w:ind w:firstLineChars="200" w:firstLine="480"/>
        <w:rPr>
          <w:lang w:eastAsia="zh-CN"/>
        </w:rPr>
      </w:pPr>
      <w:r w:rsidRPr="00857E14">
        <w:rPr>
          <w:rFonts w:hint="eastAsia"/>
          <w:lang w:eastAsia="zh-CN"/>
        </w:rPr>
        <w:t>有必要对因频率指配援引第</w:t>
      </w:r>
      <w:r w:rsidRPr="00857E14">
        <w:rPr>
          <w:rFonts w:hint="eastAsia"/>
          <w:lang w:eastAsia="zh-CN"/>
        </w:rPr>
        <w:t>48</w:t>
      </w:r>
      <w:r w:rsidRPr="00857E14">
        <w:rPr>
          <w:rFonts w:hint="eastAsia"/>
          <w:lang w:eastAsia="zh-CN"/>
        </w:rPr>
        <w:t>条而提供的信息保持敏感性和保密性，</w:t>
      </w:r>
    </w:p>
    <w:p w14:paraId="595E4C23" w14:textId="77777777" w:rsidR="003F1513" w:rsidRPr="00857E14" w:rsidRDefault="003F1513" w:rsidP="003F1513">
      <w:pPr>
        <w:pStyle w:val="Call"/>
        <w:rPr>
          <w:lang w:eastAsia="zh-CN"/>
        </w:rPr>
      </w:pPr>
      <w:r w:rsidRPr="00857E14">
        <w:rPr>
          <w:rFonts w:hint="eastAsia"/>
          <w:lang w:eastAsia="zh-CN"/>
        </w:rPr>
        <w:t>做出决议</w:t>
      </w:r>
    </w:p>
    <w:p w14:paraId="119BBCF3" w14:textId="77777777" w:rsidR="003F1513" w:rsidRPr="00857E14" w:rsidRDefault="003F1513" w:rsidP="003F1513">
      <w:pPr>
        <w:rPr>
          <w:lang w:eastAsia="zh-CN"/>
        </w:rPr>
      </w:pPr>
      <w:r w:rsidRPr="00857E14">
        <w:rPr>
          <w:rFonts w:eastAsia="Times New Roman"/>
          <w:lang w:eastAsia="zh-CN"/>
        </w:rPr>
        <w:t>1</w:t>
      </w:r>
      <w:r w:rsidRPr="00857E14">
        <w:rPr>
          <w:rFonts w:eastAsia="Times New Roman"/>
          <w:lang w:eastAsia="zh-CN"/>
        </w:rPr>
        <w:tab/>
      </w:r>
      <w:proofErr w:type="gramStart"/>
      <w:r w:rsidRPr="00857E14">
        <w:rPr>
          <w:rFonts w:hint="eastAsia"/>
          <w:lang w:eastAsia="zh-CN"/>
        </w:rPr>
        <w:t>成员国对第</w:t>
      </w:r>
      <w:r w:rsidRPr="00857E14">
        <w:rPr>
          <w:rFonts w:hint="eastAsia"/>
          <w:lang w:eastAsia="zh-CN"/>
        </w:rPr>
        <w:t>48</w:t>
      </w:r>
      <w:r w:rsidRPr="00857E14">
        <w:rPr>
          <w:rFonts w:hint="eastAsia"/>
          <w:lang w:eastAsia="zh-CN"/>
        </w:rPr>
        <w:t>条的任何援引须作为援引申请的一部分做出明确说明；</w:t>
      </w:r>
      <w:proofErr w:type="gramEnd"/>
    </w:p>
    <w:p w14:paraId="1EAC6EC7" w14:textId="77777777" w:rsidR="003F1513" w:rsidRPr="00857E14" w:rsidRDefault="003F1513" w:rsidP="003F1513">
      <w:pPr>
        <w:rPr>
          <w:rFonts w:eastAsia="Times New Roman"/>
          <w:lang w:eastAsia="zh-CN"/>
        </w:rPr>
      </w:pPr>
      <w:r w:rsidRPr="00857E14">
        <w:rPr>
          <w:rFonts w:eastAsia="Times New Roman"/>
          <w:lang w:eastAsia="zh-CN"/>
        </w:rPr>
        <w:t>2</w:t>
      </w:r>
      <w:r w:rsidRPr="00857E14">
        <w:rPr>
          <w:rFonts w:eastAsia="Times New Roman"/>
          <w:lang w:eastAsia="zh-CN"/>
        </w:rPr>
        <w:tab/>
      </w:r>
      <w:r w:rsidRPr="00857E14">
        <w:rPr>
          <w:rFonts w:hint="eastAsia"/>
          <w:lang w:eastAsia="zh-CN"/>
        </w:rPr>
        <w:t>在适用《无线电规则》的过程中，针对空间或地面业务台站频率指配援引第</w:t>
      </w:r>
      <w:r w:rsidRPr="00857E14">
        <w:rPr>
          <w:rFonts w:hint="eastAsia"/>
          <w:lang w:eastAsia="zh-CN"/>
        </w:rPr>
        <w:t>48</w:t>
      </w:r>
      <w:r w:rsidRPr="00857E14">
        <w:rPr>
          <w:rFonts w:hint="eastAsia"/>
          <w:lang w:eastAsia="zh-CN"/>
        </w:rPr>
        <w:t>条时，须适用以下规定：</w:t>
      </w:r>
    </w:p>
    <w:p w14:paraId="58227A1E" w14:textId="77777777" w:rsidR="003F1513" w:rsidRPr="00857E14" w:rsidRDefault="003F1513" w:rsidP="003F1513">
      <w:pPr>
        <w:pStyle w:val="enumlev1"/>
        <w:rPr>
          <w:lang w:eastAsia="zh-CN"/>
        </w:rPr>
      </w:pPr>
      <w:proofErr w:type="spellStart"/>
      <w:r w:rsidRPr="00857E14">
        <w:rPr>
          <w:lang w:val="en-CA" w:eastAsia="zh-CN"/>
        </w:rPr>
        <w:t>i</w:t>
      </w:r>
      <w:proofErr w:type="spellEnd"/>
      <w:r w:rsidRPr="00857E14">
        <w:rPr>
          <w:lang w:val="en-CA" w:eastAsia="zh-CN"/>
        </w:rPr>
        <w:t>)</w:t>
      </w:r>
      <w:r w:rsidRPr="00857E14">
        <w:rPr>
          <w:lang w:val="en-CA" w:eastAsia="zh-CN"/>
        </w:rPr>
        <w:tab/>
      </w:r>
      <w:proofErr w:type="gramStart"/>
      <w:r w:rsidRPr="00857E14">
        <w:rPr>
          <w:rFonts w:hint="eastAsia"/>
          <w:lang w:val="en-CA" w:eastAsia="zh-CN"/>
        </w:rPr>
        <w:t>成员国承担将此类频率指配用于军用无线电设施的义务；</w:t>
      </w:r>
      <w:proofErr w:type="gramEnd"/>
    </w:p>
    <w:p w14:paraId="3DB3C915" w14:textId="77777777" w:rsidR="003F1513" w:rsidRPr="00857E14" w:rsidRDefault="003F1513" w:rsidP="003F1513">
      <w:pPr>
        <w:pStyle w:val="enumlev1"/>
        <w:rPr>
          <w:lang w:eastAsia="zh-CN"/>
        </w:rPr>
      </w:pPr>
      <w:r w:rsidRPr="00857E14">
        <w:rPr>
          <w:lang w:eastAsia="zh-CN"/>
        </w:rPr>
        <w:t>ii)</w:t>
      </w:r>
      <w:r w:rsidRPr="00857E14">
        <w:rPr>
          <w:lang w:eastAsia="zh-CN"/>
        </w:rPr>
        <w:tab/>
      </w:r>
      <w:r w:rsidRPr="00857E14">
        <w:rPr>
          <w:rFonts w:hint="eastAsia"/>
          <w:lang w:eastAsia="zh-CN"/>
        </w:rPr>
        <w:t>如果某个援引第</w:t>
      </w:r>
      <w:r w:rsidRPr="00857E14">
        <w:rPr>
          <w:rFonts w:hint="eastAsia"/>
          <w:lang w:eastAsia="zh-CN"/>
        </w:rPr>
        <w:t>48</w:t>
      </w:r>
      <w:r w:rsidRPr="00857E14">
        <w:rPr>
          <w:rFonts w:hint="eastAsia"/>
          <w:lang w:eastAsia="zh-CN"/>
        </w:rPr>
        <w:t>条的频率指配用于非军用无线电设施，则《无线电规则》</w:t>
      </w:r>
      <w:proofErr w:type="gramStart"/>
      <w:r w:rsidRPr="00857E14">
        <w:rPr>
          <w:rFonts w:hint="eastAsia"/>
          <w:lang w:eastAsia="zh-CN"/>
        </w:rPr>
        <w:t>的所有相关规定须适用于该频率指配；</w:t>
      </w:r>
      <w:proofErr w:type="gramEnd"/>
    </w:p>
    <w:p w14:paraId="353611F5" w14:textId="77777777" w:rsidR="003F1513" w:rsidRPr="00857E14" w:rsidRDefault="003F1513" w:rsidP="003F1513">
      <w:pPr>
        <w:pStyle w:val="enumlev1"/>
        <w:rPr>
          <w:lang w:val="en-CA" w:eastAsia="zh-CN"/>
        </w:rPr>
      </w:pPr>
      <w:r w:rsidRPr="00857E14">
        <w:rPr>
          <w:lang w:val="en-CA" w:eastAsia="zh-CN"/>
        </w:rPr>
        <w:lastRenderedPageBreak/>
        <w:t>iii)</w:t>
      </w:r>
      <w:r w:rsidRPr="00857E14">
        <w:rPr>
          <w:lang w:val="en-CA" w:eastAsia="zh-CN"/>
        </w:rPr>
        <w:tab/>
      </w:r>
      <w:r w:rsidRPr="00857E14">
        <w:rPr>
          <w:rFonts w:hint="eastAsia"/>
          <w:lang w:val="en-CA" w:eastAsia="zh-CN"/>
        </w:rPr>
        <w:t>如果此类频率指配不再用于军用无线电设施，</w:t>
      </w:r>
      <w:proofErr w:type="gramStart"/>
      <w:r w:rsidRPr="00857E14">
        <w:rPr>
          <w:rFonts w:hint="eastAsia"/>
          <w:lang w:val="en-CA" w:eastAsia="zh-CN"/>
        </w:rPr>
        <w:t>成员国有义务撤销对第</w:t>
      </w:r>
      <w:r w:rsidRPr="00857E14">
        <w:rPr>
          <w:rFonts w:hint="eastAsia"/>
          <w:lang w:val="en-CA" w:eastAsia="zh-CN"/>
        </w:rPr>
        <w:t>48</w:t>
      </w:r>
      <w:r w:rsidRPr="00857E14">
        <w:rPr>
          <w:rFonts w:hint="eastAsia"/>
          <w:lang w:val="en-CA" w:eastAsia="zh-CN"/>
        </w:rPr>
        <w:t>条的援引；</w:t>
      </w:r>
      <w:proofErr w:type="gramEnd"/>
    </w:p>
    <w:p w14:paraId="35951B6A" w14:textId="77777777" w:rsidR="003F1513" w:rsidRPr="00857E14" w:rsidRDefault="003F1513" w:rsidP="003F1513">
      <w:pPr>
        <w:rPr>
          <w:lang w:eastAsia="zh-CN"/>
        </w:rPr>
      </w:pPr>
      <w:r w:rsidRPr="00857E14">
        <w:rPr>
          <w:lang w:eastAsia="zh-CN"/>
        </w:rPr>
        <w:t>3</w:t>
      </w:r>
      <w:r w:rsidRPr="00857E14">
        <w:rPr>
          <w:lang w:eastAsia="zh-CN"/>
        </w:rPr>
        <w:tab/>
      </w:r>
      <w:r w:rsidRPr="00857E14">
        <w:rPr>
          <w:rFonts w:hint="eastAsia"/>
          <w:lang w:eastAsia="zh-CN"/>
        </w:rPr>
        <w:t>如果在</w:t>
      </w:r>
      <w:r w:rsidRPr="00857E14">
        <w:rPr>
          <w:rFonts w:hint="eastAsia"/>
          <w:lang w:eastAsia="zh-CN"/>
        </w:rPr>
        <w:t>2022</w:t>
      </w:r>
      <w:r w:rsidRPr="00857E14">
        <w:rPr>
          <w:rFonts w:hint="eastAsia"/>
          <w:lang w:eastAsia="zh-CN"/>
        </w:rPr>
        <w:t>年</w:t>
      </w:r>
      <w:r w:rsidRPr="00857E14">
        <w:rPr>
          <w:rFonts w:hint="eastAsia"/>
          <w:lang w:eastAsia="zh-CN"/>
        </w:rPr>
        <w:t>10</w:t>
      </w:r>
      <w:r w:rsidRPr="00857E14">
        <w:rPr>
          <w:rFonts w:hint="eastAsia"/>
          <w:lang w:eastAsia="zh-CN"/>
        </w:rPr>
        <w:t>月</w:t>
      </w:r>
      <w:r w:rsidRPr="00857E14">
        <w:rPr>
          <w:rFonts w:hint="eastAsia"/>
          <w:lang w:eastAsia="zh-CN"/>
        </w:rPr>
        <w:t>15</w:t>
      </w:r>
      <w:r w:rsidRPr="00857E14">
        <w:rPr>
          <w:rFonts w:hint="eastAsia"/>
          <w:lang w:eastAsia="zh-CN"/>
        </w:rPr>
        <w:t>日之后援引第</w:t>
      </w:r>
      <w:r w:rsidRPr="00857E14">
        <w:rPr>
          <w:rFonts w:hint="eastAsia"/>
          <w:lang w:eastAsia="zh-CN"/>
        </w:rPr>
        <w:t>48</w:t>
      </w:r>
      <w:r w:rsidRPr="00857E14">
        <w:rPr>
          <w:rFonts w:hint="eastAsia"/>
          <w:lang w:eastAsia="zh-CN"/>
        </w:rPr>
        <w:t>条并随后撤销，或在</w:t>
      </w:r>
      <w:r w:rsidRPr="00857E14">
        <w:rPr>
          <w:rFonts w:hint="eastAsia"/>
          <w:lang w:eastAsia="zh-CN"/>
        </w:rPr>
        <w:t>2023</w:t>
      </w:r>
      <w:r w:rsidRPr="00857E14">
        <w:rPr>
          <w:rFonts w:hint="eastAsia"/>
          <w:lang w:eastAsia="zh-CN"/>
        </w:rPr>
        <w:t>年</w:t>
      </w:r>
      <w:r w:rsidRPr="00857E14">
        <w:rPr>
          <w:rFonts w:hint="eastAsia"/>
          <w:lang w:eastAsia="zh-CN"/>
        </w:rPr>
        <w:t>11</w:t>
      </w:r>
      <w:r w:rsidRPr="00857E14">
        <w:rPr>
          <w:rFonts w:hint="eastAsia"/>
          <w:lang w:eastAsia="zh-CN"/>
        </w:rPr>
        <w:t>月</w:t>
      </w:r>
      <w:r w:rsidRPr="00857E14">
        <w:rPr>
          <w:rFonts w:hint="eastAsia"/>
          <w:lang w:eastAsia="zh-CN"/>
        </w:rPr>
        <w:t>20</w:t>
      </w:r>
      <w:r w:rsidRPr="00857E14">
        <w:rPr>
          <w:rFonts w:hint="eastAsia"/>
          <w:lang w:eastAsia="zh-CN"/>
        </w:rPr>
        <w:t>日之后做出的任何有关第</w:t>
      </w:r>
      <w:r w:rsidRPr="00857E14">
        <w:rPr>
          <w:rFonts w:hint="eastAsia"/>
          <w:lang w:eastAsia="zh-CN"/>
        </w:rPr>
        <w:t>48</w:t>
      </w:r>
      <w:r w:rsidRPr="00857E14">
        <w:rPr>
          <w:rFonts w:hint="eastAsia"/>
          <w:lang w:eastAsia="zh-CN"/>
        </w:rPr>
        <w:t>条的援引撤销，相关频率指配须遵守《无线电规则》的所有相关规定且成员国须向无线电通信局（</w:t>
      </w:r>
      <w:r w:rsidRPr="00857E14">
        <w:rPr>
          <w:rFonts w:hint="eastAsia"/>
          <w:lang w:eastAsia="zh-CN"/>
        </w:rPr>
        <w:t>BR</w:t>
      </w:r>
      <w:r w:rsidRPr="00857E14">
        <w:rPr>
          <w:rFonts w:hint="eastAsia"/>
          <w:lang w:eastAsia="zh-CN"/>
        </w:rPr>
        <w:t>）提供所有相关信息，</w:t>
      </w:r>
      <w:proofErr w:type="gramStart"/>
      <w:r w:rsidRPr="00857E14">
        <w:rPr>
          <w:rFonts w:hint="eastAsia"/>
          <w:lang w:eastAsia="zh-CN"/>
        </w:rPr>
        <w:t>包括与空间业务有关的频率指配在启用或重新启用方面的信息；</w:t>
      </w:r>
      <w:proofErr w:type="gramEnd"/>
    </w:p>
    <w:p w14:paraId="34497685" w14:textId="77777777" w:rsidR="003F1513" w:rsidRPr="00857E14" w:rsidRDefault="003F1513" w:rsidP="003F1513">
      <w:pPr>
        <w:rPr>
          <w:lang w:val="en-CA" w:eastAsia="zh-CN"/>
        </w:rPr>
      </w:pPr>
      <w:r w:rsidRPr="00857E14">
        <w:rPr>
          <w:lang w:eastAsia="zh-CN"/>
        </w:rPr>
        <w:t>4</w:t>
      </w:r>
      <w:r w:rsidRPr="00857E14">
        <w:rPr>
          <w:lang w:eastAsia="zh-CN"/>
        </w:rPr>
        <w:tab/>
      </w:r>
      <w:r w:rsidRPr="00857E14">
        <w:rPr>
          <w:rFonts w:hint="eastAsia"/>
          <w:lang w:eastAsia="zh-CN"/>
        </w:rPr>
        <w:t>敦促那些在</w:t>
      </w:r>
      <w:r w:rsidRPr="00857E14">
        <w:rPr>
          <w:rFonts w:hint="eastAsia"/>
          <w:lang w:eastAsia="zh-CN"/>
        </w:rPr>
        <w:t>2022</w:t>
      </w:r>
      <w:r w:rsidRPr="00857E14">
        <w:rPr>
          <w:rFonts w:hint="eastAsia"/>
          <w:lang w:eastAsia="zh-CN"/>
        </w:rPr>
        <w:t>年</w:t>
      </w:r>
      <w:r w:rsidRPr="00857E14">
        <w:rPr>
          <w:rFonts w:hint="eastAsia"/>
          <w:lang w:eastAsia="zh-CN"/>
        </w:rPr>
        <w:t>10</w:t>
      </w:r>
      <w:r w:rsidRPr="00857E14">
        <w:rPr>
          <w:rFonts w:hint="eastAsia"/>
          <w:lang w:eastAsia="zh-CN"/>
        </w:rPr>
        <w:t>月</w:t>
      </w:r>
      <w:r w:rsidRPr="00857E14">
        <w:rPr>
          <w:rFonts w:hint="eastAsia"/>
          <w:lang w:eastAsia="zh-CN"/>
        </w:rPr>
        <w:t>15</w:t>
      </w:r>
      <w:r w:rsidRPr="00857E14">
        <w:rPr>
          <w:rFonts w:hint="eastAsia"/>
          <w:lang w:eastAsia="zh-CN"/>
        </w:rPr>
        <w:t>日之前援引第</w:t>
      </w:r>
      <w:r w:rsidRPr="00857E14">
        <w:rPr>
          <w:rFonts w:hint="eastAsia"/>
          <w:lang w:eastAsia="zh-CN"/>
        </w:rPr>
        <w:t>48</w:t>
      </w:r>
      <w:r w:rsidRPr="00857E14">
        <w:rPr>
          <w:rFonts w:hint="eastAsia"/>
          <w:lang w:eastAsia="zh-CN"/>
        </w:rPr>
        <w:t>条的成员国，根据本决议审查过去的援引；如果相关频率指配的使用性质发生了变化，并且成员国决定撤销过去的援引，可在</w:t>
      </w:r>
      <w:r w:rsidRPr="00857E14">
        <w:rPr>
          <w:rFonts w:hint="eastAsia"/>
          <w:lang w:eastAsia="zh-CN"/>
        </w:rPr>
        <w:t>2023</w:t>
      </w:r>
      <w:r w:rsidRPr="00857E14">
        <w:rPr>
          <w:rFonts w:hint="eastAsia"/>
          <w:lang w:eastAsia="zh-CN"/>
        </w:rPr>
        <w:t>年</w:t>
      </w:r>
      <w:r w:rsidRPr="00857E14">
        <w:rPr>
          <w:rFonts w:hint="eastAsia"/>
          <w:lang w:eastAsia="zh-CN"/>
        </w:rPr>
        <w:t>11</w:t>
      </w:r>
      <w:r w:rsidRPr="00857E14">
        <w:rPr>
          <w:rFonts w:hint="eastAsia"/>
          <w:lang w:eastAsia="zh-CN"/>
        </w:rPr>
        <w:t>月</w:t>
      </w:r>
      <w:r w:rsidRPr="00857E14">
        <w:rPr>
          <w:rFonts w:hint="eastAsia"/>
          <w:lang w:eastAsia="zh-CN"/>
        </w:rPr>
        <w:t>20</w:t>
      </w:r>
      <w:r w:rsidRPr="00857E14">
        <w:rPr>
          <w:rFonts w:hint="eastAsia"/>
          <w:lang w:eastAsia="zh-CN"/>
        </w:rPr>
        <w:t>日之前如此行事，</w:t>
      </w:r>
      <w:proofErr w:type="gramStart"/>
      <w:r w:rsidRPr="00857E14">
        <w:rPr>
          <w:rFonts w:hint="eastAsia"/>
          <w:lang w:eastAsia="zh-CN"/>
        </w:rPr>
        <w:t>不必提供任何额外的信息；</w:t>
      </w:r>
      <w:proofErr w:type="gramEnd"/>
    </w:p>
    <w:p w14:paraId="01548AF6" w14:textId="77777777" w:rsidR="003F1513" w:rsidRPr="00857E14" w:rsidRDefault="003F1513" w:rsidP="003F1513">
      <w:pPr>
        <w:rPr>
          <w:lang w:val="en-CA" w:eastAsia="zh-CN"/>
        </w:rPr>
      </w:pPr>
      <w:r w:rsidRPr="00857E14">
        <w:rPr>
          <w:lang w:val="en-CA" w:eastAsia="zh-CN"/>
        </w:rPr>
        <w:t>5</w:t>
      </w:r>
      <w:r w:rsidRPr="00857E14">
        <w:rPr>
          <w:lang w:val="en-CA" w:eastAsia="zh-CN"/>
        </w:rPr>
        <w:tab/>
      </w:r>
      <w:proofErr w:type="gramStart"/>
      <w:r w:rsidRPr="00857E14">
        <w:rPr>
          <w:rFonts w:hint="eastAsia"/>
          <w:lang w:val="en-CA" w:eastAsia="zh-CN"/>
        </w:rPr>
        <w:t>BR</w:t>
      </w:r>
      <w:r w:rsidRPr="00857E14">
        <w:rPr>
          <w:rFonts w:hint="eastAsia"/>
          <w:lang w:val="en-CA" w:eastAsia="zh-CN"/>
        </w:rPr>
        <w:t>可就针对第</w:t>
      </w:r>
      <w:r w:rsidRPr="00857E14">
        <w:rPr>
          <w:rFonts w:hint="eastAsia"/>
          <w:lang w:val="en-CA" w:eastAsia="zh-CN"/>
        </w:rPr>
        <w:t>48</w:t>
      </w:r>
      <w:r w:rsidRPr="00857E14">
        <w:rPr>
          <w:rFonts w:hint="eastAsia"/>
          <w:lang w:val="en-CA" w:eastAsia="zh-CN"/>
        </w:rPr>
        <w:t>条规定的有关上述</w:t>
      </w:r>
      <w:r w:rsidRPr="00794DF6">
        <w:rPr>
          <w:rStyle w:val="Italic"/>
          <w:rFonts w:eastAsia="STKaiti" w:hint="eastAsia"/>
          <w:iCs/>
          <w:lang w:eastAsia="zh-CN"/>
        </w:rPr>
        <w:t>做出决议</w:t>
      </w:r>
      <w:r w:rsidRPr="00857E14">
        <w:rPr>
          <w:rFonts w:asciiTheme="minorHAnsi" w:eastAsia="STKaiti" w:hAnsiTheme="minorHAnsi"/>
          <w:lang w:eastAsia="zh-CN"/>
        </w:rPr>
        <w:t>2</w:t>
      </w:r>
      <w:r w:rsidRPr="00857E14">
        <w:rPr>
          <w:rFonts w:hint="eastAsia"/>
          <w:lang w:val="en-CA" w:eastAsia="zh-CN"/>
        </w:rPr>
        <w:t>义务的频率指配的可能</w:t>
      </w:r>
      <w:r w:rsidRPr="00857E14">
        <w:rPr>
          <w:rFonts w:hint="eastAsia"/>
          <w:lang w:val="en-US" w:eastAsia="zh-CN"/>
        </w:rPr>
        <w:t>违规使用</w:t>
      </w:r>
      <w:r w:rsidRPr="00857E14">
        <w:rPr>
          <w:rFonts w:hint="eastAsia"/>
          <w:lang w:val="en-CA" w:eastAsia="zh-CN"/>
        </w:rPr>
        <w:t>要求成员国</w:t>
      </w:r>
      <w:r w:rsidRPr="00857E14">
        <w:rPr>
          <w:rFonts w:hint="eastAsia"/>
          <w:lang w:val="en-US" w:eastAsia="zh-CN"/>
        </w:rPr>
        <w:t>做出</w:t>
      </w:r>
      <w:r w:rsidRPr="00857E14">
        <w:rPr>
          <w:rFonts w:hint="eastAsia"/>
          <w:lang w:val="en-CA" w:eastAsia="zh-CN"/>
        </w:rPr>
        <w:t>澄清；</w:t>
      </w:r>
      <w:proofErr w:type="gramEnd"/>
    </w:p>
    <w:p w14:paraId="2363AD27" w14:textId="77777777" w:rsidR="003F1513" w:rsidRPr="00857E14" w:rsidRDefault="003F1513" w:rsidP="003F1513">
      <w:pPr>
        <w:rPr>
          <w:lang w:val="en-CA" w:eastAsia="zh-CN"/>
        </w:rPr>
      </w:pPr>
      <w:r w:rsidRPr="00857E14">
        <w:rPr>
          <w:lang w:val="en-CA" w:eastAsia="zh-CN"/>
        </w:rPr>
        <w:t>6</w:t>
      </w:r>
      <w:r w:rsidRPr="00857E14">
        <w:rPr>
          <w:lang w:val="en-CA" w:eastAsia="zh-CN"/>
        </w:rPr>
        <w:tab/>
      </w:r>
      <w:proofErr w:type="gramStart"/>
      <w:r w:rsidRPr="00857E14">
        <w:rPr>
          <w:rFonts w:hint="eastAsia"/>
          <w:lang w:val="en-CA" w:eastAsia="zh-CN"/>
        </w:rPr>
        <w:t>BR</w:t>
      </w:r>
      <w:r w:rsidRPr="00857E14">
        <w:rPr>
          <w:rFonts w:hint="eastAsia"/>
          <w:lang w:val="en-CA" w:eastAsia="zh-CN"/>
        </w:rPr>
        <w:t>须向成员国提供</w:t>
      </w:r>
      <w:r w:rsidRPr="00E5398D">
        <w:rPr>
          <w:rStyle w:val="Italic"/>
          <w:rFonts w:eastAsia="STKaiti" w:hint="eastAsia"/>
          <w:i w:val="0"/>
          <w:lang w:eastAsia="zh-CN"/>
        </w:rPr>
        <w:t>做出决议</w:t>
      </w:r>
      <w:r w:rsidRPr="00857E14">
        <w:rPr>
          <w:rFonts w:asciiTheme="minorHAnsi" w:eastAsia="STKaiti" w:hAnsiTheme="minorHAnsi"/>
          <w:lang w:eastAsia="zh-CN"/>
        </w:rPr>
        <w:t>5</w:t>
      </w:r>
      <w:r w:rsidRPr="00857E14">
        <w:rPr>
          <w:rFonts w:hint="eastAsia"/>
          <w:lang w:val="en-CA" w:eastAsia="zh-CN"/>
        </w:rPr>
        <w:t>要求的澄清的必要理由；</w:t>
      </w:r>
      <w:proofErr w:type="gramEnd"/>
    </w:p>
    <w:p w14:paraId="41F663F9" w14:textId="77777777" w:rsidR="003F1513" w:rsidRPr="00857E14" w:rsidRDefault="003F1513" w:rsidP="003F1513">
      <w:pPr>
        <w:rPr>
          <w:lang w:val="en-CA" w:eastAsia="zh-CN"/>
        </w:rPr>
      </w:pPr>
      <w:r w:rsidRPr="00857E14">
        <w:rPr>
          <w:lang w:val="en-CA" w:eastAsia="zh-CN"/>
        </w:rPr>
        <w:t>7</w:t>
      </w:r>
      <w:r w:rsidRPr="00857E14">
        <w:rPr>
          <w:lang w:val="en-CA" w:eastAsia="zh-CN"/>
        </w:rPr>
        <w:tab/>
      </w:r>
      <w:r w:rsidRPr="00857E14">
        <w:rPr>
          <w:rFonts w:hint="eastAsia"/>
          <w:lang w:val="en-CA" w:eastAsia="zh-CN"/>
        </w:rPr>
        <w:t>根据所提供的澄清，如果成员国不同意</w:t>
      </w:r>
      <w:r w:rsidRPr="00857E14">
        <w:rPr>
          <w:rFonts w:hint="eastAsia"/>
          <w:lang w:val="en-CA" w:eastAsia="zh-CN"/>
        </w:rPr>
        <w:t>BR</w:t>
      </w:r>
      <w:r w:rsidRPr="00857E14">
        <w:rPr>
          <w:rFonts w:hint="eastAsia"/>
          <w:lang w:val="en-CA" w:eastAsia="zh-CN"/>
        </w:rPr>
        <w:t>的评估，则须将该事项连同成员国提出异议的依据一并提交给无线电规则委员会（</w:t>
      </w:r>
      <w:r w:rsidRPr="00857E14">
        <w:rPr>
          <w:rFonts w:hint="eastAsia"/>
          <w:lang w:val="en-CA" w:eastAsia="zh-CN"/>
        </w:rPr>
        <w:t>RRB</w:t>
      </w:r>
      <w:r w:rsidRPr="00857E14">
        <w:rPr>
          <w:rFonts w:hint="eastAsia"/>
          <w:lang w:val="en-CA" w:eastAsia="zh-CN"/>
        </w:rPr>
        <w:t>）</w:t>
      </w:r>
      <w:proofErr w:type="gramStart"/>
      <w:r w:rsidRPr="00857E14">
        <w:rPr>
          <w:rFonts w:hint="eastAsia"/>
          <w:lang w:val="en-CA" w:eastAsia="zh-CN"/>
        </w:rPr>
        <w:t>审议；</w:t>
      </w:r>
      <w:proofErr w:type="gramEnd"/>
    </w:p>
    <w:p w14:paraId="24660C48" w14:textId="77777777" w:rsidR="003F1513" w:rsidRPr="00857E14" w:rsidRDefault="003F1513" w:rsidP="003F1513">
      <w:pPr>
        <w:rPr>
          <w:lang w:val="en-CA" w:eastAsia="zh-CN"/>
        </w:rPr>
      </w:pPr>
      <w:r w:rsidRPr="00857E14">
        <w:rPr>
          <w:lang w:val="en-CA" w:eastAsia="zh-CN"/>
        </w:rPr>
        <w:t>8</w:t>
      </w:r>
      <w:r w:rsidRPr="00857E14">
        <w:rPr>
          <w:lang w:val="en-CA" w:eastAsia="zh-CN"/>
        </w:rPr>
        <w:tab/>
      </w:r>
      <w:r w:rsidRPr="00857E14">
        <w:rPr>
          <w:rFonts w:hint="eastAsia"/>
          <w:lang w:val="en-CA" w:eastAsia="zh-CN"/>
        </w:rPr>
        <w:t>在收到上述</w:t>
      </w:r>
      <w:r w:rsidRPr="003F1513">
        <w:rPr>
          <w:rStyle w:val="Italic"/>
          <w:rFonts w:eastAsia="STKaiti" w:hint="eastAsia"/>
          <w:i w:val="0"/>
          <w:lang w:eastAsia="zh-CN"/>
        </w:rPr>
        <w:t>做出决议</w:t>
      </w:r>
      <w:r w:rsidRPr="00857E14">
        <w:rPr>
          <w:rFonts w:asciiTheme="minorHAnsi" w:eastAsia="STKaiti" w:hAnsiTheme="minorHAnsi"/>
          <w:lang w:eastAsia="zh-CN"/>
        </w:rPr>
        <w:t>7</w:t>
      </w:r>
      <w:r w:rsidRPr="00857E14">
        <w:rPr>
          <w:rFonts w:hint="eastAsia"/>
          <w:lang w:val="en-CA" w:eastAsia="zh-CN"/>
        </w:rPr>
        <w:t>中所要求的信息后，</w:t>
      </w:r>
      <w:proofErr w:type="gramStart"/>
      <w:r w:rsidRPr="00857E14">
        <w:rPr>
          <w:rFonts w:hint="eastAsia"/>
          <w:lang w:val="en-CA" w:eastAsia="zh-CN"/>
        </w:rPr>
        <w:t>RRB</w:t>
      </w:r>
      <w:r w:rsidRPr="00857E14">
        <w:rPr>
          <w:rFonts w:hint="eastAsia"/>
          <w:lang w:val="en-CA" w:eastAsia="zh-CN"/>
        </w:rPr>
        <w:t>可决定所有相关规则条款均适用于该频率指配；</w:t>
      </w:r>
      <w:proofErr w:type="gramEnd"/>
    </w:p>
    <w:p w14:paraId="79F1E697" w14:textId="77777777" w:rsidR="003F1513" w:rsidRPr="00857E14" w:rsidRDefault="003F1513" w:rsidP="003F1513">
      <w:pPr>
        <w:rPr>
          <w:lang w:val="en-CA" w:eastAsia="zh-CN"/>
        </w:rPr>
      </w:pPr>
      <w:r w:rsidRPr="00857E14">
        <w:rPr>
          <w:lang w:val="en-CA" w:eastAsia="zh-CN"/>
        </w:rPr>
        <w:t>9</w:t>
      </w:r>
      <w:r w:rsidRPr="00857E14">
        <w:rPr>
          <w:lang w:val="en-CA" w:eastAsia="zh-CN"/>
        </w:rPr>
        <w:tab/>
      </w:r>
      <w:r w:rsidRPr="00857E14">
        <w:rPr>
          <w:rFonts w:hint="eastAsia"/>
          <w:lang w:val="en-CA" w:eastAsia="zh-CN"/>
        </w:rPr>
        <w:t>如果成员国不同意</w:t>
      </w:r>
      <w:r w:rsidRPr="00857E14">
        <w:rPr>
          <w:rFonts w:hint="eastAsia"/>
          <w:lang w:val="en-CA" w:eastAsia="zh-CN"/>
        </w:rPr>
        <w:t>RRB</w:t>
      </w:r>
      <w:r w:rsidRPr="00857E14">
        <w:rPr>
          <w:rFonts w:hint="eastAsia"/>
          <w:lang w:val="en-CA" w:eastAsia="zh-CN"/>
        </w:rPr>
        <w:t>的决定，可以向下届</w:t>
      </w:r>
      <w:r w:rsidRPr="00857E14">
        <w:rPr>
          <w:rFonts w:hint="eastAsia"/>
          <w:lang w:val="en-CA" w:eastAsia="zh-CN"/>
        </w:rPr>
        <w:t>WRC</w:t>
      </w:r>
      <w:r w:rsidRPr="00857E14">
        <w:rPr>
          <w:rFonts w:hint="eastAsia"/>
          <w:lang w:val="en-CA" w:eastAsia="zh-CN"/>
        </w:rPr>
        <w:t>提出上诉；在</w:t>
      </w:r>
      <w:r w:rsidRPr="00857E14">
        <w:rPr>
          <w:rFonts w:hint="eastAsia"/>
          <w:lang w:val="en-CA" w:eastAsia="zh-CN"/>
        </w:rPr>
        <w:t>WRC</w:t>
      </w:r>
      <w:r w:rsidRPr="00857E14">
        <w:rPr>
          <w:rFonts w:hint="eastAsia"/>
          <w:lang w:val="en-CA" w:eastAsia="zh-CN"/>
        </w:rPr>
        <w:t>就此事做出决定之前，</w:t>
      </w:r>
      <w:proofErr w:type="gramStart"/>
      <w:r w:rsidRPr="00857E14">
        <w:rPr>
          <w:rFonts w:hint="eastAsia"/>
          <w:lang w:val="en-CA" w:eastAsia="zh-CN"/>
        </w:rPr>
        <w:t>RRB</w:t>
      </w:r>
      <w:r w:rsidRPr="00857E14">
        <w:rPr>
          <w:rFonts w:hint="eastAsia"/>
          <w:lang w:val="en-CA" w:eastAsia="zh-CN"/>
        </w:rPr>
        <w:t>的决定须暂不执行；</w:t>
      </w:r>
      <w:proofErr w:type="gramEnd"/>
    </w:p>
    <w:p w14:paraId="50283726" w14:textId="77777777" w:rsidR="003F1513" w:rsidRPr="00857E14" w:rsidRDefault="003F1513" w:rsidP="003F1513">
      <w:pPr>
        <w:rPr>
          <w:lang w:val="en-CA" w:eastAsia="zh-CN"/>
        </w:rPr>
      </w:pPr>
      <w:r w:rsidRPr="00857E14">
        <w:rPr>
          <w:lang w:val="en-CA" w:eastAsia="zh-CN"/>
        </w:rPr>
        <w:t>10</w:t>
      </w:r>
      <w:r w:rsidRPr="00857E14">
        <w:rPr>
          <w:lang w:val="en-CA" w:eastAsia="zh-CN"/>
        </w:rPr>
        <w:tab/>
      </w:r>
      <w:r w:rsidRPr="00857E14">
        <w:rPr>
          <w:rFonts w:hint="eastAsia"/>
          <w:lang w:val="en-CA" w:eastAsia="zh-CN"/>
        </w:rPr>
        <w:t>在根据</w:t>
      </w:r>
      <w:r w:rsidRPr="00E5398D">
        <w:rPr>
          <w:rStyle w:val="Italic"/>
          <w:rFonts w:eastAsia="STKaiti" w:hint="eastAsia"/>
          <w:i w:val="0"/>
          <w:lang w:eastAsia="zh-CN"/>
        </w:rPr>
        <w:t>做出决议</w:t>
      </w:r>
      <w:r w:rsidRPr="00857E14">
        <w:rPr>
          <w:rFonts w:asciiTheme="minorHAnsi" w:eastAsia="STKaiti" w:hAnsiTheme="minorHAnsi"/>
          <w:lang w:eastAsia="zh-CN"/>
        </w:rPr>
        <w:t>7</w:t>
      </w:r>
      <w:r w:rsidRPr="00857E14">
        <w:rPr>
          <w:rFonts w:hint="eastAsia"/>
          <w:lang w:val="en-CA" w:eastAsia="zh-CN"/>
        </w:rPr>
        <w:t>提供澄清时，成员国没有义务向</w:t>
      </w:r>
      <w:r w:rsidRPr="00857E14">
        <w:rPr>
          <w:rFonts w:hint="eastAsia"/>
          <w:lang w:val="en-CA" w:eastAsia="zh-CN"/>
        </w:rPr>
        <w:t>RRB</w:t>
      </w:r>
      <w:r w:rsidRPr="00857E14">
        <w:rPr>
          <w:rFonts w:hint="eastAsia"/>
          <w:lang w:val="en-CA" w:eastAsia="zh-CN"/>
        </w:rPr>
        <w:t>或</w:t>
      </w:r>
      <w:r w:rsidRPr="00857E14">
        <w:rPr>
          <w:rFonts w:hint="eastAsia"/>
          <w:lang w:val="en-CA" w:eastAsia="zh-CN"/>
        </w:rPr>
        <w:t>BR</w:t>
      </w:r>
      <w:r w:rsidRPr="00857E14">
        <w:rPr>
          <w:rFonts w:hint="eastAsia"/>
          <w:lang w:val="en-CA" w:eastAsia="zh-CN"/>
        </w:rPr>
        <w:t>提供有关可能对其国防业务设施造成损害的军用无线电设施频率指配的信息，</w:t>
      </w:r>
    </w:p>
    <w:p w14:paraId="5D081EB6" w14:textId="77777777" w:rsidR="003F1513" w:rsidRPr="00857E14" w:rsidRDefault="003F1513" w:rsidP="003F1513">
      <w:pPr>
        <w:pStyle w:val="Call"/>
        <w:rPr>
          <w:lang w:val="en-CA" w:eastAsia="zh-CN"/>
        </w:rPr>
      </w:pPr>
      <w:r w:rsidRPr="00857E14">
        <w:rPr>
          <w:rFonts w:hint="eastAsia"/>
          <w:lang w:val="en-CA" w:eastAsia="zh-CN"/>
        </w:rPr>
        <w:t>请成员国</w:t>
      </w:r>
    </w:p>
    <w:p w14:paraId="1B8F1EAF" w14:textId="77777777" w:rsidR="003F1513" w:rsidRPr="00857E14" w:rsidRDefault="003F1513" w:rsidP="003F1513">
      <w:pPr>
        <w:ind w:firstLineChars="200" w:firstLine="480"/>
        <w:rPr>
          <w:lang w:eastAsia="zh-CN"/>
        </w:rPr>
      </w:pPr>
      <w:r w:rsidRPr="00857E14">
        <w:rPr>
          <w:rFonts w:hint="eastAsia"/>
          <w:lang w:eastAsia="zh-CN"/>
        </w:rPr>
        <w:t>考虑在第</w:t>
      </w:r>
      <w:r w:rsidRPr="00857E14">
        <w:rPr>
          <w:rFonts w:hint="eastAsia"/>
          <w:lang w:eastAsia="zh-CN"/>
        </w:rPr>
        <w:t>48</w:t>
      </w:r>
      <w:r w:rsidRPr="00857E14">
        <w:rPr>
          <w:rFonts w:hint="eastAsia"/>
          <w:lang w:eastAsia="zh-CN"/>
        </w:rPr>
        <w:t>条被援引时，为军用和非军用无线电设施使用不同的频率指配，</w:t>
      </w:r>
    </w:p>
    <w:p w14:paraId="5C98EEFF" w14:textId="77777777" w:rsidR="003F1513" w:rsidRPr="00857E14" w:rsidRDefault="003F1513" w:rsidP="003F1513">
      <w:pPr>
        <w:pStyle w:val="Call"/>
        <w:rPr>
          <w:lang w:eastAsia="zh-CN"/>
        </w:rPr>
      </w:pPr>
      <w:r w:rsidRPr="00857E14">
        <w:rPr>
          <w:rFonts w:hint="eastAsia"/>
          <w:lang w:eastAsia="zh-CN"/>
        </w:rPr>
        <w:t>责成无线电规则委员会</w:t>
      </w:r>
    </w:p>
    <w:p w14:paraId="72159B27" w14:textId="77777777" w:rsidR="003F1513" w:rsidRPr="00857E14" w:rsidRDefault="003F1513" w:rsidP="003F1513">
      <w:pPr>
        <w:ind w:firstLineChars="200" w:firstLine="480"/>
        <w:rPr>
          <w:lang w:eastAsia="zh-CN"/>
        </w:rPr>
      </w:pPr>
      <w:r w:rsidRPr="00857E14">
        <w:rPr>
          <w:rFonts w:hint="eastAsia"/>
          <w:lang w:eastAsia="zh-CN"/>
        </w:rPr>
        <w:t>考虑本决议，以便在适当时对援引了第</w:t>
      </w:r>
      <w:r w:rsidRPr="00857E14">
        <w:rPr>
          <w:rFonts w:hint="eastAsia"/>
          <w:lang w:eastAsia="zh-CN"/>
        </w:rPr>
        <w:t>48</w:t>
      </w:r>
      <w:r w:rsidRPr="00857E14">
        <w:rPr>
          <w:rFonts w:hint="eastAsia"/>
          <w:lang w:eastAsia="zh-CN"/>
        </w:rPr>
        <w:t>条的频率指</w:t>
      </w:r>
      <w:proofErr w:type="gramStart"/>
      <w:r w:rsidRPr="00857E14">
        <w:rPr>
          <w:rFonts w:hint="eastAsia"/>
          <w:lang w:eastAsia="zh-CN"/>
        </w:rPr>
        <w:t>配采取</w:t>
      </w:r>
      <w:proofErr w:type="gramEnd"/>
      <w:r w:rsidRPr="00857E14">
        <w:rPr>
          <w:rFonts w:hint="eastAsia"/>
          <w:lang w:eastAsia="zh-CN"/>
        </w:rPr>
        <w:t>必要的行动，同时考虑到上述</w:t>
      </w:r>
      <w:r w:rsidRPr="00E5398D">
        <w:rPr>
          <w:rStyle w:val="Italic"/>
          <w:rFonts w:eastAsia="STKaiti" w:hint="eastAsia"/>
          <w:i w:val="0"/>
          <w:lang w:eastAsia="zh-CN"/>
        </w:rPr>
        <w:t>进一步认识到</w:t>
      </w:r>
      <w:r w:rsidRPr="00857E14">
        <w:rPr>
          <w:rFonts w:hint="eastAsia"/>
          <w:lang w:eastAsia="zh-CN"/>
        </w:rPr>
        <w:t>，</w:t>
      </w:r>
    </w:p>
    <w:p w14:paraId="41EE244C" w14:textId="77777777" w:rsidR="003F1513" w:rsidRPr="00857E14" w:rsidRDefault="003F1513" w:rsidP="003F1513">
      <w:pPr>
        <w:pStyle w:val="Call"/>
        <w:rPr>
          <w:lang w:eastAsia="zh-CN"/>
        </w:rPr>
      </w:pPr>
      <w:r w:rsidRPr="00857E14">
        <w:rPr>
          <w:rFonts w:hint="eastAsia"/>
          <w:lang w:eastAsia="zh-CN"/>
        </w:rPr>
        <w:t>责成秘书长</w:t>
      </w:r>
    </w:p>
    <w:p w14:paraId="67F35EA2" w14:textId="77777777" w:rsidR="003F1513" w:rsidRPr="00857E14" w:rsidRDefault="003F1513" w:rsidP="003F1513">
      <w:pPr>
        <w:rPr>
          <w:lang w:eastAsia="zh-CN"/>
        </w:rPr>
      </w:pPr>
      <w:r w:rsidRPr="00857E14">
        <w:rPr>
          <w:lang w:eastAsia="zh-CN"/>
        </w:rPr>
        <w:t>1</w:t>
      </w:r>
      <w:r w:rsidRPr="00857E14">
        <w:rPr>
          <w:lang w:eastAsia="zh-CN"/>
        </w:rPr>
        <w:tab/>
      </w:r>
      <w:r w:rsidRPr="00857E14">
        <w:rPr>
          <w:rFonts w:hint="eastAsia"/>
          <w:lang w:eastAsia="zh-CN"/>
        </w:rPr>
        <w:t>提请</w:t>
      </w:r>
      <w:r w:rsidRPr="00857E14">
        <w:rPr>
          <w:rFonts w:hint="eastAsia"/>
          <w:lang w:eastAsia="zh-CN"/>
        </w:rPr>
        <w:t>WRC-</w:t>
      </w:r>
      <w:proofErr w:type="gramStart"/>
      <w:r w:rsidRPr="00857E14">
        <w:rPr>
          <w:lang w:eastAsia="zh-CN"/>
        </w:rPr>
        <w:t>23</w:t>
      </w:r>
      <w:r w:rsidRPr="00857E14">
        <w:rPr>
          <w:rFonts w:hint="eastAsia"/>
          <w:lang w:eastAsia="zh-CN"/>
        </w:rPr>
        <w:t>注意本决议；</w:t>
      </w:r>
      <w:proofErr w:type="gramEnd"/>
    </w:p>
    <w:p w14:paraId="7E8263AF" w14:textId="77777777" w:rsidR="003F1513" w:rsidRPr="00857E14" w:rsidRDefault="003F1513" w:rsidP="003F1513">
      <w:pPr>
        <w:rPr>
          <w:lang w:eastAsia="zh-CN"/>
        </w:rPr>
      </w:pPr>
      <w:r w:rsidRPr="00857E14">
        <w:rPr>
          <w:lang w:eastAsia="zh-CN"/>
        </w:rPr>
        <w:t>2</w:t>
      </w:r>
      <w:r w:rsidRPr="00857E14">
        <w:rPr>
          <w:lang w:eastAsia="zh-CN"/>
        </w:rPr>
        <w:tab/>
      </w:r>
      <w:r w:rsidRPr="00857E14">
        <w:rPr>
          <w:rFonts w:hint="eastAsia"/>
          <w:lang w:eastAsia="zh-CN"/>
        </w:rPr>
        <w:t>向下届全权代表大会报告本决议的实施情况。</w:t>
      </w:r>
    </w:p>
    <w:p w14:paraId="6B3733EC" w14:textId="77777777" w:rsidR="003F1513" w:rsidRDefault="003F1513" w:rsidP="003F1513">
      <w:pPr>
        <w:rPr>
          <w:lang w:eastAsia="zh-CN"/>
        </w:rPr>
      </w:pPr>
    </w:p>
    <w:p w14:paraId="62ADB0BD" w14:textId="2236037A" w:rsidR="003F1513" w:rsidRDefault="003F1513" w:rsidP="003F1513">
      <w:pPr>
        <w:jc w:val="center"/>
      </w:pPr>
      <w:r>
        <w:t>______________</w:t>
      </w:r>
    </w:p>
    <w:sectPr w:rsidR="003F1513">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89F8" w14:textId="77777777" w:rsidR="000D1B48" w:rsidRDefault="000D1B48">
      <w:r>
        <w:separator/>
      </w:r>
    </w:p>
  </w:endnote>
  <w:endnote w:type="continuationSeparator" w:id="0">
    <w:p w14:paraId="7C14DD85" w14:textId="77777777" w:rsidR="000D1B48" w:rsidRDefault="000D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44A0" w14:textId="267448B3" w:rsidR="00B851D4" w:rsidRPr="00DA0469" w:rsidRDefault="00B35E0F" w:rsidP="003F1513">
    <w:pPr>
      <w:pStyle w:val="Footer"/>
      <w:rPr>
        <w:lang w:val="en-US"/>
      </w:rPr>
    </w:pPr>
    <w:fldSimple w:instr=" FILENAME \p  \* MERGEFORMAT ">
      <w:r w:rsidR="00E5398D">
        <w:t>P:\CHI\ITU-R\CONF-R\CMR23\200\206C.docx</w:t>
      </w:r>
    </w:fldSimple>
    <w:r w:rsidR="003F1513">
      <w:t xml:space="preserve"> (531079)</w:t>
    </w:r>
    <w:r w:rsidR="00B851D4" w:rsidRPr="00DA0469">
      <w:rPr>
        <w:lang w:val="en-US"/>
      </w:rPr>
      <w:tab/>
    </w:r>
    <w:r w:rsidR="00B851D4">
      <w:fldChar w:fldCharType="begin"/>
    </w:r>
    <w:r w:rsidR="00B851D4">
      <w:instrText xml:space="preserve"> savedate \@ dd.MM.yy </w:instrText>
    </w:r>
    <w:r w:rsidR="00B851D4">
      <w:fldChar w:fldCharType="separate"/>
    </w:r>
    <w:r w:rsidR="00E5398D">
      <w:t>13.11.23</w:t>
    </w:r>
    <w:r w:rsidR="00B851D4">
      <w:fldChar w:fldCharType="end"/>
    </w:r>
    <w:r w:rsidR="00B851D4" w:rsidRPr="00DA0469">
      <w:rPr>
        <w:lang w:val="en-US"/>
      </w:rPr>
      <w:tab/>
    </w:r>
    <w:r w:rsidR="00B851D4">
      <w:fldChar w:fldCharType="begin"/>
    </w:r>
    <w:r w:rsidR="00B851D4">
      <w:instrText xml:space="preserve"> printdate \@ dd.MM.yy </w:instrText>
    </w:r>
    <w:r w:rsidR="00B851D4">
      <w:fldChar w:fldCharType="separate"/>
    </w:r>
    <w:r w:rsidR="000D1B48">
      <w:t>03.07.06</w:t>
    </w:r>
    <w:r w:rsidR="00B851D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C36F" w14:textId="64D12C11" w:rsidR="00B851D4" w:rsidRPr="00DA0469" w:rsidRDefault="00E5398D" w:rsidP="00924472">
    <w:pPr>
      <w:pStyle w:val="Footer"/>
      <w:rPr>
        <w:lang w:val="en-US"/>
      </w:rPr>
    </w:pPr>
    <w:r>
      <w:fldChar w:fldCharType="begin"/>
    </w:r>
    <w:r>
      <w:instrText xml:space="preserve"> FILENAME \p  \* MERGEFORMAT </w:instrText>
    </w:r>
    <w:r>
      <w:fldChar w:fldCharType="separate"/>
    </w:r>
    <w:r>
      <w:t>P:\CHI\ITU-R\CONF-R\CMR23\200\206C.docx</w:t>
    </w:r>
    <w:r>
      <w:fldChar w:fldCharType="end"/>
    </w:r>
    <w:r w:rsidR="003F1513">
      <w:t xml:space="preserve"> (531079)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9C51" w14:textId="77777777" w:rsidR="000D1B48" w:rsidRDefault="000D1B48">
      <w:r>
        <w:t>____________________</w:t>
      </w:r>
    </w:p>
  </w:footnote>
  <w:footnote w:type="continuationSeparator" w:id="0">
    <w:p w14:paraId="3956A46B" w14:textId="77777777" w:rsidR="000D1B48" w:rsidRDefault="000D1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0BE2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4472">
      <w:rPr>
        <w:rStyle w:val="PageNumber"/>
        <w:noProof/>
      </w:rPr>
      <w:t>2</w:t>
    </w:r>
    <w:r>
      <w:rPr>
        <w:rStyle w:val="PageNumber"/>
      </w:rPr>
      <w:fldChar w:fldCharType="end"/>
    </w:r>
  </w:p>
  <w:p w14:paraId="0A7C47CC" w14:textId="77EC1AA6" w:rsidR="00B851D4" w:rsidRDefault="00AD22C3" w:rsidP="00924472">
    <w:pPr>
      <w:pStyle w:val="Header"/>
      <w:rPr>
        <w:lang w:val="en-US"/>
      </w:rPr>
    </w:pPr>
    <w:r>
      <w:rPr>
        <w:rStyle w:val="PageNumber"/>
      </w:rPr>
      <w:t>WRC</w:t>
    </w:r>
    <w:r w:rsidR="00BB455D">
      <w:rPr>
        <w:rStyle w:val="PageNumber"/>
      </w:rPr>
      <w:t>23</w:t>
    </w:r>
    <w:r w:rsidR="00924472">
      <w:rPr>
        <w:rStyle w:val="PageNumber"/>
      </w:rPr>
      <w:t>/</w:t>
    </w:r>
    <w:r w:rsidR="003F1513">
      <w:rPr>
        <w:rStyle w:val="PageNumber"/>
      </w:rPr>
      <w:t>206</w:t>
    </w:r>
    <w:r w:rsidR="00924472">
      <w:rPr>
        <w:rStyle w:val="PageNumber"/>
      </w:rPr>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48"/>
    <w:rsid w:val="000264C2"/>
    <w:rsid w:val="000273B7"/>
    <w:rsid w:val="00037C90"/>
    <w:rsid w:val="000C0212"/>
    <w:rsid w:val="000C09BA"/>
    <w:rsid w:val="000C1F1E"/>
    <w:rsid w:val="000C6AA7"/>
    <w:rsid w:val="000D1B48"/>
    <w:rsid w:val="000E26F6"/>
    <w:rsid w:val="00106535"/>
    <w:rsid w:val="00122E62"/>
    <w:rsid w:val="00123C07"/>
    <w:rsid w:val="00131871"/>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C6B45"/>
    <w:rsid w:val="003E48E2"/>
    <w:rsid w:val="003E5931"/>
    <w:rsid w:val="003F1513"/>
    <w:rsid w:val="0041282E"/>
    <w:rsid w:val="00437869"/>
    <w:rsid w:val="00465A34"/>
    <w:rsid w:val="004B4C76"/>
    <w:rsid w:val="004C4554"/>
    <w:rsid w:val="004D2DEC"/>
    <w:rsid w:val="004F2BE6"/>
    <w:rsid w:val="00527E8A"/>
    <w:rsid w:val="00542E85"/>
    <w:rsid w:val="00562479"/>
    <w:rsid w:val="00576849"/>
    <w:rsid w:val="005A0ACB"/>
    <w:rsid w:val="005D21F9"/>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526D0"/>
    <w:rsid w:val="00865DFB"/>
    <w:rsid w:val="00896A79"/>
    <w:rsid w:val="008A7416"/>
    <w:rsid w:val="008B6852"/>
    <w:rsid w:val="008C26FF"/>
    <w:rsid w:val="008D1D14"/>
    <w:rsid w:val="008E1785"/>
    <w:rsid w:val="008E7127"/>
    <w:rsid w:val="008E7C8E"/>
    <w:rsid w:val="00912959"/>
    <w:rsid w:val="00924472"/>
    <w:rsid w:val="009657F9"/>
    <w:rsid w:val="0099525B"/>
    <w:rsid w:val="009C72B7"/>
    <w:rsid w:val="00A0052C"/>
    <w:rsid w:val="00A049C1"/>
    <w:rsid w:val="00A31B14"/>
    <w:rsid w:val="00A323DC"/>
    <w:rsid w:val="00A466E6"/>
    <w:rsid w:val="00A815BE"/>
    <w:rsid w:val="00A93295"/>
    <w:rsid w:val="00AA5DA1"/>
    <w:rsid w:val="00AC2C94"/>
    <w:rsid w:val="00AD22C3"/>
    <w:rsid w:val="00AE369F"/>
    <w:rsid w:val="00B026CB"/>
    <w:rsid w:val="00B14BA4"/>
    <w:rsid w:val="00B35E0F"/>
    <w:rsid w:val="00B50377"/>
    <w:rsid w:val="00B711CC"/>
    <w:rsid w:val="00B851D4"/>
    <w:rsid w:val="00B868FC"/>
    <w:rsid w:val="00B95072"/>
    <w:rsid w:val="00BB26CD"/>
    <w:rsid w:val="00BB455D"/>
    <w:rsid w:val="00BE38A3"/>
    <w:rsid w:val="00C07239"/>
    <w:rsid w:val="00C364B1"/>
    <w:rsid w:val="00C47D87"/>
    <w:rsid w:val="00C627F9"/>
    <w:rsid w:val="00C6584D"/>
    <w:rsid w:val="00C929E0"/>
    <w:rsid w:val="00CB4E5A"/>
    <w:rsid w:val="00CC73D7"/>
    <w:rsid w:val="00CF0AD7"/>
    <w:rsid w:val="00CF0BE1"/>
    <w:rsid w:val="00CF7C2B"/>
    <w:rsid w:val="00D52A14"/>
    <w:rsid w:val="00D6206A"/>
    <w:rsid w:val="00D74599"/>
    <w:rsid w:val="00DA0469"/>
    <w:rsid w:val="00DD13B7"/>
    <w:rsid w:val="00DF3B0C"/>
    <w:rsid w:val="00E14984"/>
    <w:rsid w:val="00E22A25"/>
    <w:rsid w:val="00E5398D"/>
    <w:rsid w:val="00E560F1"/>
    <w:rsid w:val="00E92319"/>
    <w:rsid w:val="00EB614A"/>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BC3B7"/>
  <w15:docId w15:val="{E1CCD83F-1738-446D-93D2-E1D5CAA6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131871"/>
    <w:pPr>
      <w:tabs>
        <w:tab w:val="clear" w:pos="1134"/>
        <w:tab w:val="clear" w:pos="1871"/>
        <w:tab w:val="clear" w:pos="2268"/>
        <w:tab w:val="left" w:pos="431"/>
        <w:tab w:val="left" w:pos="3119"/>
      </w:tabs>
      <w:spacing w:before="40" w:after="40"/>
      <w:ind w:left="170" w:hanging="17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FootnoteTextChar">
    <w:name w:val="Footnote Text Char"/>
    <w:basedOn w:val="DefaultParagraphFont"/>
    <w:link w:val="FootnoteText"/>
    <w:rsid w:val="000D1B48"/>
    <w:rPr>
      <w:rFonts w:ascii="Times New Roman" w:hAnsi="Times New Roman"/>
      <w:sz w:val="22"/>
      <w:lang w:val="en-GB" w:eastAsia="en-US"/>
    </w:rPr>
  </w:style>
  <w:style w:type="character" w:styleId="Hyperlink">
    <w:name w:val="Hyperlink"/>
    <w:basedOn w:val="DefaultParagraphFont"/>
    <w:unhideWhenUsed/>
    <w:rsid w:val="000D1B48"/>
    <w:rPr>
      <w:color w:val="0000FF" w:themeColor="hyperlink"/>
      <w:u w:val="single"/>
    </w:rPr>
  </w:style>
  <w:style w:type="character" w:customStyle="1" w:styleId="enumlev1Char">
    <w:name w:val="enumlev1 Char"/>
    <w:basedOn w:val="DefaultParagraphFont"/>
    <w:link w:val="enumlev1"/>
    <w:locked/>
    <w:rsid w:val="003F1513"/>
    <w:rPr>
      <w:rFonts w:ascii="Times New Roman" w:hAnsi="Times New Roman"/>
      <w:sz w:val="24"/>
      <w:lang w:val="en-GB" w:eastAsia="en-US"/>
    </w:rPr>
  </w:style>
  <w:style w:type="character" w:customStyle="1" w:styleId="CallChar">
    <w:name w:val="Call Char"/>
    <w:basedOn w:val="DefaultParagraphFont"/>
    <w:link w:val="Call"/>
    <w:locked/>
    <w:rsid w:val="003F1513"/>
    <w:rPr>
      <w:rFonts w:ascii="STKaiti" w:eastAsia="STKaiti" w:hAnsi="STKaiti"/>
      <w:sz w:val="24"/>
      <w:lang w:val="en-GB" w:eastAsia="en-US"/>
    </w:rPr>
  </w:style>
  <w:style w:type="character" w:customStyle="1" w:styleId="RestitleChar">
    <w:name w:val="Res_title Char"/>
    <w:basedOn w:val="DefaultParagraphFont"/>
    <w:link w:val="Restitle"/>
    <w:locked/>
    <w:rsid w:val="003F1513"/>
    <w:rPr>
      <w:rFonts w:ascii="Times New Roman Bold" w:hAnsi="Times New Roman Bold"/>
      <w:b/>
      <w:sz w:val="28"/>
      <w:lang w:val="en-GB" w:eastAsia="en-US"/>
    </w:rPr>
  </w:style>
  <w:style w:type="character" w:customStyle="1" w:styleId="ResNoChar">
    <w:name w:val="Res_No Char"/>
    <w:basedOn w:val="DefaultParagraphFont"/>
    <w:link w:val="ResNo"/>
    <w:rsid w:val="003F1513"/>
    <w:rPr>
      <w:rFonts w:ascii="Times New Roman" w:hAnsi="Times New Roman"/>
      <w:caps/>
      <w:sz w:val="28"/>
      <w:lang w:val="en-GB" w:eastAsia="en-US"/>
    </w:rPr>
  </w:style>
  <w:style w:type="character" w:customStyle="1" w:styleId="href">
    <w:name w:val="href"/>
    <w:basedOn w:val="DefaultParagraphFont"/>
    <w:qFormat/>
    <w:rsid w:val="003F1513"/>
    <w:rPr>
      <w:rFonts w:ascii="Calibri" w:hAnsi="Calibri"/>
      <w:color w:val="auto"/>
    </w:rPr>
  </w:style>
  <w:style w:type="character" w:customStyle="1" w:styleId="Italic">
    <w:name w:val="Italic"/>
    <w:rsid w:val="003F1513"/>
    <w:rPr>
      <w:rFonts w:ascii="STKaiti" w:hAnsi="STKaiti"/>
      <w:i/>
      <w:lang w:eastAsia="en-US"/>
    </w:rPr>
  </w:style>
  <w:style w:type="character" w:customStyle="1" w:styleId="ItalicEnglish">
    <w:name w:val="Italic_English"/>
    <w:rsid w:val="003F1513"/>
    <w:rPr>
      <w:i/>
      <w:lang w:eastAsia="en-US"/>
    </w:rPr>
  </w:style>
  <w:style w:type="character" w:styleId="UnresolvedMention">
    <w:name w:val="Unresolved Mention"/>
    <w:basedOn w:val="DefaultParagraphFont"/>
    <w:uiPriority w:val="99"/>
    <w:semiHidden/>
    <w:unhideWhenUsed/>
    <w:rsid w:val="00B35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pub/S-CONF-P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BR\PC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AB2D3-2A25-4344-85CA-A42C2BDAF2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PC_WRC23.dotx</Template>
  <TotalTime>7</TotalTime>
  <Pages>3</Pages>
  <Words>1521</Words>
  <Characters>333</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- 2019</dc:subject>
  <dc:creator>Kong, Hongli</dc:creator>
  <dc:description/>
  <cp:lastModifiedBy>Kong, Hongli</cp:lastModifiedBy>
  <cp:revision>3</cp:revision>
  <cp:lastPrinted>2006-07-03T06:56:00Z</cp:lastPrinted>
  <dcterms:created xsi:type="dcterms:W3CDTF">2023-11-13T15:01:00Z</dcterms:created>
  <dcterms:modified xsi:type="dcterms:W3CDTF">2023-11-13T15:08:00Z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