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C1305F" w:rsidRPr="00F90EC9" w14:paraId="7410B87C" w14:textId="77777777" w:rsidTr="00C1305F">
        <w:trPr>
          <w:cantSplit/>
        </w:trPr>
        <w:tc>
          <w:tcPr>
            <w:tcW w:w="1418" w:type="dxa"/>
            <w:vAlign w:val="center"/>
          </w:tcPr>
          <w:p w14:paraId="3216D0AA" w14:textId="77777777" w:rsidR="00C1305F" w:rsidRPr="00F90EC9" w:rsidRDefault="00C1305F" w:rsidP="00C1305F">
            <w:pPr>
              <w:spacing w:before="0" w:line="240" w:lineRule="atLeast"/>
              <w:rPr>
                <w:rFonts w:ascii="Verdana" w:hAnsi="Verdana"/>
                <w:b/>
                <w:bCs/>
                <w:sz w:val="20"/>
              </w:rPr>
            </w:pPr>
            <w:r w:rsidRPr="00F90EC9">
              <w:rPr>
                <w:noProof/>
              </w:rPr>
              <w:drawing>
                <wp:inline distT="0" distB="0" distL="0" distR="0" wp14:anchorId="63151695" wp14:editId="3B102FCA">
                  <wp:extent cx="713105" cy="786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13105" cy="786765"/>
                          </a:xfrm>
                          <a:prstGeom prst="rect">
                            <a:avLst/>
                          </a:prstGeom>
                          <a:noFill/>
                        </pic:spPr>
                      </pic:pic>
                    </a:graphicData>
                  </a:graphic>
                </wp:inline>
              </w:drawing>
            </w:r>
          </w:p>
        </w:tc>
        <w:tc>
          <w:tcPr>
            <w:tcW w:w="6804" w:type="dxa"/>
            <w:gridSpan w:val="2"/>
          </w:tcPr>
          <w:p w14:paraId="304FE552" w14:textId="7B8D6CC0" w:rsidR="00C1305F" w:rsidRPr="00F90EC9" w:rsidRDefault="00C1305F" w:rsidP="00F10064">
            <w:pPr>
              <w:spacing w:before="400" w:after="48" w:line="240" w:lineRule="atLeast"/>
              <w:rPr>
                <w:rFonts w:ascii="Verdana" w:hAnsi="Verdana"/>
                <w:b/>
                <w:bCs/>
                <w:sz w:val="20"/>
              </w:rPr>
            </w:pPr>
            <w:r w:rsidRPr="00F90EC9">
              <w:rPr>
                <w:rFonts w:ascii="Verdana" w:hAnsi="Verdana"/>
                <w:b/>
                <w:bCs/>
                <w:sz w:val="20"/>
              </w:rPr>
              <w:t>Conférence mondiale des radiocommunications (CMR-23)</w:t>
            </w:r>
            <w:r w:rsidRPr="00F90EC9">
              <w:rPr>
                <w:rFonts w:ascii="Verdana" w:hAnsi="Verdana"/>
                <w:b/>
                <w:bCs/>
                <w:sz w:val="20"/>
              </w:rPr>
              <w:br/>
            </w:r>
            <w:r w:rsidRPr="00F90EC9">
              <w:rPr>
                <w:rFonts w:ascii="Verdana" w:hAnsi="Verdana"/>
                <w:b/>
                <w:bCs/>
                <w:sz w:val="18"/>
                <w:szCs w:val="18"/>
              </w:rPr>
              <w:t xml:space="preserve">Dubaï, 20 novembre </w:t>
            </w:r>
            <w:r w:rsidR="00F90EC9" w:rsidRPr="00F90EC9">
              <w:rPr>
                <w:rFonts w:ascii="Verdana" w:hAnsi="Verdana"/>
                <w:b/>
                <w:bCs/>
                <w:sz w:val="18"/>
                <w:szCs w:val="18"/>
              </w:rPr>
              <w:t>–</w:t>
            </w:r>
            <w:r w:rsidRPr="00F90EC9">
              <w:rPr>
                <w:rFonts w:ascii="Verdana" w:hAnsi="Verdana"/>
                <w:b/>
                <w:bCs/>
                <w:sz w:val="18"/>
                <w:szCs w:val="18"/>
              </w:rPr>
              <w:t xml:space="preserve"> 15 décembre 2023</w:t>
            </w:r>
          </w:p>
        </w:tc>
        <w:tc>
          <w:tcPr>
            <w:tcW w:w="1809" w:type="dxa"/>
            <w:vAlign w:val="center"/>
          </w:tcPr>
          <w:p w14:paraId="041D5349" w14:textId="77777777" w:rsidR="00C1305F" w:rsidRPr="00F90EC9" w:rsidRDefault="00C1305F" w:rsidP="00C1305F">
            <w:pPr>
              <w:spacing w:before="0" w:line="240" w:lineRule="atLeast"/>
            </w:pPr>
            <w:bookmarkStart w:id="0" w:name="ditulogo"/>
            <w:bookmarkEnd w:id="0"/>
            <w:r w:rsidRPr="00F90EC9">
              <w:rPr>
                <w:noProof/>
              </w:rPr>
              <w:drawing>
                <wp:inline distT="0" distB="0" distL="0" distR="0" wp14:anchorId="7706342B" wp14:editId="440C4304">
                  <wp:extent cx="1015340" cy="1015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29632" cy="1029632"/>
                          </a:xfrm>
                          <a:prstGeom prst="rect">
                            <a:avLst/>
                          </a:prstGeom>
                          <a:noFill/>
                          <a:ln>
                            <a:noFill/>
                          </a:ln>
                        </pic:spPr>
                      </pic:pic>
                    </a:graphicData>
                  </a:graphic>
                </wp:inline>
              </w:drawing>
            </w:r>
          </w:p>
        </w:tc>
      </w:tr>
      <w:tr w:rsidR="00BB1D82" w:rsidRPr="00F90EC9" w14:paraId="4EA6E85E" w14:textId="77777777" w:rsidTr="0050008E">
        <w:trPr>
          <w:cantSplit/>
        </w:trPr>
        <w:tc>
          <w:tcPr>
            <w:tcW w:w="6911" w:type="dxa"/>
            <w:gridSpan w:val="2"/>
            <w:tcBorders>
              <w:bottom w:val="single" w:sz="12" w:space="0" w:color="auto"/>
            </w:tcBorders>
          </w:tcPr>
          <w:p w14:paraId="40826A41" w14:textId="77777777" w:rsidR="00BB1D82" w:rsidRPr="00F90EC9" w:rsidRDefault="00BB1D82" w:rsidP="00BB1D82">
            <w:pPr>
              <w:spacing w:before="0" w:after="48" w:line="240" w:lineRule="atLeast"/>
              <w:rPr>
                <w:b/>
                <w:smallCaps/>
                <w:szCs w:val="24"/>
              </w:rPr>
            </w:pPr>
            <w:bookmarkStart w:id="1" w:name="dhead"/>
          </w:p>
        </w:tc>
        <w:tc>
          <w:tcPr>
            <w:tcW w:w="3120" w:type="dxa"/>
            <w:gridSpan w:val="2"/>
            <w:tcBorders>
              <w:bottom w:val="single" w:sz="12" w:space="0" w:color="auto"/>
            </w:tcBorders>
          </w:tcPr>
          <w:p w14:paraId="6633072B" w14:textId="77777777" w:rsidR="00BB1D82" w:rsidRPr="00F90EC9" w:rsidRDefault="00BB1D82" w:rsidP="00BB1D82">
            <w:pPr>
              <w:spacing w:before="0" w:line="240" w:lineRule="atLeast"/>
              <w:rPr>
                <w:rFonts w:ascii="Verdana" w:hAnsi="Verdana"/>
                <w:szCs w:val="24"/>
              </w:rPr>
            </w:pPr>
          </w:p>
        </w:tc>
      </w:tr>
      <w:tr w:rsidR="00BB1D82" w:rsidRPr="00F90EC9" w14:paraId="167C7C5E" w14:textId="77777777" w:rsidTr="00BB1D82">
        <w:trPr>
          <w:cantSplit/>
        </w:trPr>
        <w:tc>
          <w:tcPr>
            <w:tcW w:w="6911" w:type="dxa"/>
            <w:gridSpan w:val="2"/>
            <w:tcBorders>
              <w:top w:val="single" w:sz="12" w:space="0" w:color="auto"/>
            </w:tcBorders>
          </w:tcPr>
          <w:p w14:paraId="742D3FA1" w14:textId="77777777" w:rsidR="00BB1D82" w:rsidRPr="00F90EC9" w:rsidRDefault="00BB1D82" w:rsidP="00BB1D82">
            <w:pPr>
              <w:spacing w:before="0" w:after="48" w:line="240" w:lineRule="atLeast"/>
              <w:rPr>
                <w:rFonts w:ascii="Verdana" w:hAnsi="Verdana"/>
                <w:b/>
                <w:smallCaps/>
                <w:sz w:val="20"/>
              </w:rPr>
            </w:pPr>
          </w:p>
        </w:tc>
        <w:tc>
          <w:tcPr>
            <w:tcW w:w="3120" w:type="dxa"/>
            <w:gridSpan w:val="2"/>
            <w:tcBorders>
              <w:top w:val="single" w:sz="12" w:space="0" w:color="auto"/>
            </w:tcBorders>
          </w:tcPr>
          <w:p w14:paraId="06EEE965" w14:textId="77777777" w:rsidR="00BB1D82" w:rsidRPr="00F90EC9" w:rsidRDefault="00BB1D82" w:rsidP="00BB1D82">
            <w:pPr>
              <w:spacing w:before="0" w:line="240" w:lineRule="atLeast"/>
              <w:rPr>
                <w:rFonts w:ascii="Verdana" w:hAnsi="Verdana"/>
                <w:sz w:val="20"/>
              </w:rPr>
            </w:pPr>
          </w:p>
        </w:tc>
      </w:tr>
      <w:tr w:rsidR="00BB1D82" w:rsidRPr="00F90EC9" w14:paraId="440B3EAF" w14:textId="77777777" w:rsidTr="00BB1D82">
        <w:trPr>
          <w:cantSplit/>
        </w:trPr>
        <w:tc>
          <w:tcPr>
            <w:tcW w:w="6911" w:type="dxa"/>
            <w:gridSpan w:val="2"/>
          </w:tcPr>
          <w:p w14:paraId="40BBF039" w14:textId="77777777" w:rsidR="00BB1D82" w:rsidRPr="00F90EC9" w:rsidRDefault="006D4724" w:rsidP="00BA5BD0">
            <w:pPr>
              <w:spacing w:before="0"/>
              <w:rPr>
                <w:rFonts w:ascii="Verdana" w:hAnsi="Verdana"/>
                <w:b/>
                <w:sz w:val="20"/>
              </w:rPr>
            </w:pPr>
            <w:r w:rsidRPr="00F90EC9">
              <w:rPr>
                <w:rFonts w:ascii="Verdana" w:hAnsi="Verdana"/>
                <w:b/>
                <w:sz w:val="20"/>
              </w:rPr>
              <w:t>SÉANCE PLÉNIÈRE</w:t>
            </w:r>
          </w:p>
        </w:tc>
        <w:tc>
          <w:tcPr>
            <w:tcW w:w="3120" w:type="dxa"/>
            <w:gridSpan w:val="2"/>
          </w:tcPr>
          <w:p w14:paraId="04FB9EE4" w14:textId="77777777" w:rsidR="00BB1D82" w:rsidRPr="00F90EC9" w:rsidRDefault="006D4724" w:rsidP="00BA5BD0">
            <w:pPr>
              <w:spacing w:before="0"/>
              <w:rPr>
                <w:rFonts w:ascii="Verdana" w:hAnsi="Verdana"/>
                <w:sz w:val="20"/>
              </w:rPr>
            </w:pPr>
            <w:r w:rsidRPr="00F90EC9">
              <w:rPr>
                <w:rFonts w:ascii="Verdana" w:hAnsi="Verdana"/>
                <w:b/>
                <w:sz w:val="20"/>
              </w:rPr>
              <w:t>Document 194</w:t>
            </w:r>
            <w:r w:rsidR="00BB1D82" w:rsidRPr="00F90EC9">
              <w:rPr>
                <w:rFonts w:ascii="Verdana" w:hAnsi="Verdana"/>
                <w:b/>
                <w:sz w:val="20"/>
              </w:rPr>
              <w:t>-</w:t>
            </w:r>
            <w:r w:rsidRPr="00F90EC9">
              <w:rPr>
                <w:rFonts w:ascii="Verdana" w:hAnsi="Verdana"/>
                <w:b/>
                <w:sz w:val="20"/>
              </w:rPr>
              <w:t>F</w:t>
            </w:r>
          </w:p>
        </w:tc>
      </w:tr>
      <w:bookmarkEnd w:id="1"/>
      <w:tr w:rsidR="00690C7B" w:rsidRPr="00F90EC9" w14:paraId="74B10210" w14:textId="77777777" w:rsidTr="00BB1D82">
        <w:trPr>
          <w:cantSplit/>
        </w:trPr>
        <w:tc>
          <w:tcPr>
            <w:tcW w:w="6911" w:type="dxa"/>
            <w:gridSpan w:val="2"/>
          </w:tcPr>
          <w:p w14:paraId="7E709FB4" w14:textId="77777777" w:rsidR="00690C7B" w:rsidRPr="00F90EC9" w:rsidRDefault="00690C7B" w:rsidP="00BA5BD0">
            <w:pPr>
              <w:spacing w:before="0"/>
              <w:rPr>
                <w:rFonts w:ascii="Verdana" w:hAnsi="Verdana"/>
                <w:b/>
                <w:sz w:val="20"/>
              </w:rPr>
            </w:pPr>
          </w:p>
        </w:tc>
        <w:tc>
          <w:tcPr>
            <w:tcW w:w="3120" w:type="dxa"/>
            <w:gridSpan w:val="2"/>
          </w:tcPr>
          <w:p w14:paraId="41ABBE51" w14:textId="77777777" w:rsidR="00690C7B" w:rsidRPr="00F90EC9" w:rsidRDefault="00690C7B" w:rsidP="00BA5BD0">
            <w:pPr>
              <w:spacing w:before="0"/>
              <w:rPr>
                <w:rFonts w:ascii="Verdana" w:hAnsi="Verdana"/>
                <w:b/>
                <w:sz w:val="20"/>
              </w:rPr>
            </w:pPr>
            <w:r w:rsidRPr="00F90EC9">
              <w:rPr>
                <w:rFonts w:ascii="Verdana" w:hAnsi="Verdana"/>
                <w:b/>
                <w:sz w:val="20"/>
              </w:rPr>
              <w:t>30 octobre 2023</w:t>
            </w:r>
          </w:p>
        </w:tc>
      </w:tr>
      <w:tr w:rsidR="00690C7B" w:rsidRPr="00F90EC9" w14:paraId="147C286E" w14:textId="77777777" w:rsidTr="00BB1D82">
        <w:trPr>
          <w:cantSplit/>
        </w:trPr>
        <w:tc>
          <w:tcPr>
            <w:tcW w:w="6911" w:type="dxa"/>
            <w:gridSpan w:val="2"/>
          </w:tcPr>
          <w:p w14:paraId="45A91B72" w14:textId="77777777" w:rsidR="00690C7B" w:rsidRPr="00F90EC9" w:rsidRDefault="00690C7B" w:rsidP="00BA5BD0">
            <w:pPr>
              <w:spacing w:before="0" w:after="48"/>
              <w:rPr>
                <w:rFonts w:ascii="Verdana" w:hAnsi="Verdana"/>
                <w:b/>
                <w:smallCaps/>
                <w:sz w:val="20"/>
              </w:rPr>
            </w:pPr>
          </w:p>
        </w:tc>
        <w:tc>
          <w:tcPr>
            <w:tcW w:w="3120" w:type="dxa"/>
            <w:gridSpan w:val="2"/>
          </w:tcPr>
          <w:p w14:paraId="038EB32B" w14:textId="77777777" w:rsidR="00690C7B" w:rsidRPr="00F90EC9" w:rsidRDefault="00690C7B" w:rsidP="00BA5BD0">
            <w:pPr>
              <w:spacing w:before="0"/>
              <w:rPr>
                <w:rFonts w:ascii="Verdana" w:hAnsi="Verdana"/>
                <w:b/>
                <w:sz w:val="20"/>
              </w:rPr>
            </w:pPr>
            <w:r w:rsidRPr="00F90EC9">
              <w:rPr>
                <w:rFonts w:ascii="Verdana" w:hAnsi="Verdana"/>
                <w:b/>
                <w:sz w:val="20"/>
              </w:rPr>
              <w:t>Original: anglais</w:t>
            </w:r>
          </w:p>
        </w:tc>
      </w:tr>
      <w:tr w:rsidR="00690C7B" w:rsidRPr="00F90EC9" w14:paraId="600E5CDC" w14:textId="77777777" w:rsidTr="00C11970">
        <w:trPr>
          <w:cantSplit/>
        </w:trPr>
        <w:tc>
          <w:tcPr>
            <w:tcW w:w="10031" w:type="dxa"/>
            <w:gridSpan w:val="4"/>
          </w:tcPr>
          <w:p w14:paraId="7A27B316" w14:textId="77777777" w:rsidR="00690C7B" w:rsidRPr="00F90EC9" w:rsidRDefault="00690C7B" w:rsidP="00BA5BD0">
            <w:pPr>
              <w:spacing w:before="0"/>
              <w:rPr>
                <w:rFonts w:ascii="Verdana" w:hAnsi="Verdana"/>
                <w:b/>
                <w:sz w:val="20"/>
              </w:rPr>
            </w:pPr>
          </w:p>
        </w:tc>
      </w:tr>
      <w:tr w:rsidR="00690C7B" w:rsidRPr="00F90EC9" w14:paraId="72492506" w14:textId="77777777" w:rsidTr="0050008E">
        <w:trPr>
          <w:cantSplit/>
        </w:trPr>
        <w:tc>
          <w:tcPr>
            <w:tcW w:w="10031" w:type="dxa"/>
            <w:gridSpan w:val="4"/>
          </w:tcPr>
          <w:p w14:paraId="220D4628" w14:textId="2ACDDE99" w:rsidR="00690C7B" w:rsidRPr="00F90EC9" w:rsidRDefault="00D13420" w:rsidP="00690C7B">
            <w:pPr>
              <w:pStyle w:val="Source"/>
            </w:pPr>
            <w:bookmarkStart w:id="2" w:name="dsource" w:colFirst="0" w:colLast="0"/>
            <w:r w:rsidRPr="00F90EC9">
              <w:t>Note de la Secrétaire générale</w:t>
            </w:r>
          </w:p>
        </w:tc>
      </w:tr>
      <w:tr w:rsidR="00690C7B" w:rsidRPr="00F90EC9" w14:paraId="55CBDF31" w14:textId="77777777" w:rsidTr="0050008E">
        <w:trPr>
          <w:cantSplit/>
        </w:trPr>
        <w:tc>
          <w:tcPr>
            <w:tcW w:w="10031" w:type="dxa"/>
            <w:gridSpan w:val="4"/>
          </w:tcPr>
          <w:p w14:paraId="7B1E55BB" w14:textId="16A9308B" w:rsidR="00690C7B" w:rsidRPr="00F90EC9" w:rsidRDefault="00D13420" w:rsidP="00690C7B">
            <w:pPr>
              <w:pStyle w:val="Title1"/>
            </w:pPr>
            <w:bookmarkStart w:id="3" w:name="dtitle1" w:colFirst="0" w:colLast="0"/>
            <w:bookmarkEnd w:id="2"/>
            <w:r w:rsidRPr="00F90EC9">
              <w:t>POSITION DE L</w:t>
            </w:r>
            <w:r w:rsidR="001736A7" w:rsidRPr="00F90EC9">
              <w:t>'</w:t>
            </w:r>
            <w:r w:rsidRPr="00F90EC9">
              <w:t>ORGANISATION INTERNATIONALE DE TÉLÉCOMMUNICATIONS PAR SATELLITE INTERSPOUTNIK</w:t>
            </w:r>
            <w:r w:rsidR="001D16D4" w:rsidRPr="00F90EC9">
              <w:br/>
            </w:r>
            <w:r w:rsidRPr="00F90EC9">
              <w:t>CONCERNANT LES POINTS DE L</w:t>
            </w:r>
            <w:r w:rsidR="001736A7" w:rsidRPr="00F90EC9">
              <w:t>'</w:t>
            </w:r>
            <w:r w:rsidRPr="00F90EC9">
              <w:t>ORDRE DU JOUR DE LA</w:t>
            </w:r>
            <w:r w:rsidR="001D16D4" w:rsidRPr="00F90EC9">
              <w:br/>
            </w:r>
            <w:r w:rsidRPr="00F90EC9">
              <w:t>CONFÉRENCE MOND</w:t>
            </w:r>
            <w:r w:rsidR="000F6065">
              <w:t>I</w:t>
            </w:r>
            <w:r w:rsidRPr="00F90EC9">
              <w:t>ALE</w:t>
            </w:r>
            <w:r w:rsidR="001D16D4" w:rsidRPr="00F90EC9">
              <w:t xml:space="preserve"> </w:t>
            </w:r>
            <w:r w:rsidRPr="00F90EC9">
              <w:t>DES RADIOCOMMUNICATIONS</w:t>
            </w:r>
            <w:r w:rsidR="001D16D4" w:rsidRPr="00F90EC9">
              <w:br/>
            </w:r>
            <w:r w:rsidRPr="00F90EC9">
              <w:t>DE 2023 DE L</w:t>
            </w:r>
            <w:r w:rsidR="001736A7" w:rsidRPr="00F90EC9">
              <w:t>'</w:t>
            </w:r>
            <w:r w:rsidRPr="00F90EC9">
              <w:t>UNION</w:t>
            </w:r>
            <w:r w:rsidR="001D16D4" w:rsidRPr="00F90EC9">
              <w:t xml:space="preserve"> </w:t>
            </w:r>
            <w:r w:rsidRPr="00F90EC9">
              <w:t>INTERNATIONALE</w:t>
            </w:r>
            <w:r w:rsidR="001D16D4" w:rsidRPr="00F90EC9">
              <w:br/>
            </w:r>
            <w:r w:rsidRPr="00F90EC9">
              <w:t>DES TÉLÉCOMMUNICATIONS</w:t>
            </w:r>
          </w:p>
        </w:tc>
      </w:tr>
      <w:tr w:rsidR="00690C7B" w:rsidRPr="00F90EC9" w14:paraId="3589E5D1" w14:textId="77777777" w:rsidTr="0050008E">
        <w:trPr>
          <w:cantSplit/>
        </w:trPr>
        <w:tc>
          <w:tcPr>
            <w:tcW w:w="10031" w:type="dxa"/>
            <w:gridSpan w:val="4"/>
          </w:tcPr>
          <w:p w14:paraId="093E492C" w14:textId="77777777" w:rsidR="00690C7B" w:rsidRPr="00F90EC9" w:rsidRDefault="00690C7B" w:rsidP="00690C7B">
            <w:pPr>
              <w:pStyle w:val="Title2"/>
            </w:pPr>
            <w:bookmarkStart w:id="4" w:name="dtitle2" w:colFirst="0" w:colLast="0"/>
            <w:bookmarkEnd w:id="3"/>
          </w:p>
        </w:tc>
      </w:tr>
      <w:tr w:rsidR="00690C7B" w:rsidRPr="00F90EC9" w14:paraId="385E3A5D" w14:textId="77777777" w:rsidTr="0050008E">
        <w:trPr>
          <w:cantSplit/>
        </w:trPr>
        <w:tc>
          <w:tcPr>
            <w:tcW w:w="10031" w:type="dxa"/>
            <w:gridSpan w:val="4"/>
          </w:tcPr>
          <w:p w14:paraId="06424BAF" w14:textId="7B91F37D" w:rsidR="00690C7B" w:rsidRPr="00F90EC9" w:rsidRDefault="00690C7B" w:rsidP="00690C7B">
            <w:pPr>
              <w:pStyle w:val="Agendaitem"/>
              <w:rPr>
                <w:lang w:val="fr-FR"/>
              </w:rPr>
            </w:pPr>
            <w:bookmarkStart w:id="5" w:name="dtitle3" w:colFirst="0" w:colLast="0"/>
            <w:bookmarkEnd w:id="4"/>
          </w:p>
        </w:tc>
      </w:tr>
    </w:tbl>
    <w:bookmarkEnd w:id="5"/>
    <w:p w14:paraId="5533CECB" w14:textId="64B57CBC" w:rsidR="00D13420" w:rsidRPr="00F90EC9" w:rsidRDefault="00D13420" w:rsidP="00D13420">
      <w:pPr>
        <w:pStyle w:val="Normalaftertitle"/>
      </w:pPr>
      <w:r w:rsidRPr="00F90EC9">
        <w:t>À la demande de l</w:t>
      </w:r>
      <w:r w:rsidR="001736A7" w:rsidRPr="00F90EC9">
        <w:t>'</w:t>
      </w:r>
      <w:r w:rsidRPr="00F90EC9">
        <w:t>Organisation internationales de télécommunications par satellite Interspoutnik, j</w:t>
      </w:r>
      <w:r w:rsidR="001736A7" w:rsidRPr="00F90EC9">
        <w:t>'</w:t>
      </w:r>
      <w:r w:rsidRPr="00F90EC9">
        <w:t>ai l</w:t>
      </w:r>
      <w:r w:rsidR="001736A7" w:rsidRPr="00F90EC9">
        <w:t>'</w:t>
      </w:r>
      <w:r w:rsidRPr="00F90EC9">
        <w:t>honneur de porter à l</w:t>
      </w:r>
      <w:r w:rsidR="001736A7" w:rsidRPr="00F90EC9">
        <w:t>'</w:t>
      </w:r>
      <w:r w:rsidRPr="00F90EC9">
        <w:t>attention de la Conférence le document d</w:t>
      </w:r>
      <w:r w:rsidR="001736A7" w:rsidRPr="00F90EC9">
        <w:t>'</w:t>
      </w:r>
      <w:r w:rsidRPr="00F90EC9">
        <w:t>information joint en annexe.</w:t>
      </w:r>
    </w:p>
    <w:p w14:paraId="11F1C7B2" w14:textId="7AEABEC6" w:rsidR="003A583E" w:rsidRPr="00F90EC9" w:rsidRDefault="00D13420" w:rsidP="00D13420">
      <w:pPr>
        <w:tabs>
          <w:tab w:val="clear" w:pos="1134"/>
          <w:tab w:val="clear" w:pos="1871"/>
          <w:tab w:val="clear" w:pos="2268"/>
          <w:tab w:val="center" w:pos="7088"/>
        </w:tabs>
        <w:spacing w:before="840"/>
        <w:jc w:val="center"/>
      </w:pPr>
      <w:r w:rsidRPr="00F90EC9">
        <w:tab/>
        <w:t>Doreen Bogdan-Martin</w:t>
      </w:r>
      <w:r w:rsidRPr="00F90EC9">
        <w:br/>
      </w:r>
      <w:r w:rsidRPr="00F90EC9">
        <w:tab/>
        <w:t>Secrétaire générale</w:t>
      </w:r>
    </w:p>
    <w:p w14:paraId="4505D3C4" w14:textId="59A0D6D4" w:rsidR="001D16D4" w:rsidRPr="00F90EC9" w:rsidRDefault="0015203F" w:rsidP="001D16D4">
      <w:pPr>
        <w:pStyle w:val="Annextitle"/>
      </w:pPr>
      <w:r w:rsidRPr="00F90EC9">
        <w:br w:type="page"/>
      </w:r>
      <w:r w:rsidR="001D16D4" w:rsidRPr="00F90EC9">
        <w:lastRenderedPageBreak/>
        <w:t>POSITION DE L</w:t>
      </w:r>
      <w:r w:rsidR="001736A7" w:rsidRPr="00F90EC9">
        <w:t>'</w:t>
      </w:r>
      <w:r w:rsidR="001D16D4" w:rsidRPr="00F90EC9">
        <w:t xml:space="preserve">ORGANISATION INTERNATIONALE DE </w:t>
      </w:r>
      <w:r w:rsidR="001D16D4" w:rsidRPr="000F6065">
        <w:rPr>
          <w:b w:val="0"/>
          <w:bCs/>
        </w:rPr>
        <w:t>T</w:t>
      </w:r>
      <w:r w:rsidR="000F6065">
        <w:t>É</w:t>
      </w:r>
      <w:r w:rsidR="001D16D4" w:rsidRPr="000F6065">
        <w:rPr>
          <w:b w:val="0"/>
          <w:bCs/>
        </w:rPr>
        <w:t>L</w:t>
      </w:r>
      <w:r w:rsidR="000F6065" w:rsidRPr="000F6065">
        <w:rPr>
          <w:b w:val="0"/>
          <w:bCs/>
        </w:rPr>
        <w:t>É</w:t>
      </w:r>
      <w:r w:rsidR="001D16D4" w:rsidRPr="000F6065">
        <w:rPr>
          <w:b w:val="0"/>
          <w:bCs/>
        </w:rPr>
        <w:t>COMMUNICATIONS</w:t>
      </w:r>
      <w:r w:rsidR="001D16D4" w:rsidRPr="00F90EC9">
        <w:t xml:space="preserve"> PAR SATELLITE INTERSPOUTNIK</w:t>
      </w:r>
      <w:r w:rsidR="001D16D4" w:rsidRPr="00F90EC9">
        <w:br/>
        <w:t>CONCERNANT LES POINTS DE L</w:t>
      </w:r>
      <w:r w:rsidR="001736A7" w:rsidRPr="00F90EC9">
        <w:t>'</w:t>
      </w:r>
      <w:r w:rsidR="001D16D4" w:rsidRPr="00F90EC9">
        <w:t>ORDRE DU JOUR DE LA</w:t>
      </w:r>
      <w:r w:rsidR="001D16D4" w:rsidRPr="00F90EC9">
        <w:br/>
        <w:t>CONF</w:t>
      </w:r>
      <w:r w:rsidR="000F6065">
        <w:t>É</w:t>
      </w:r>
      <w:r w:rsidR="001D16D4" w:rsidRPr="00F90EC9">
        <w:t>RENCE MONDIALE DES RADIOCOMMUNICATIONS</w:t>
      </w:r>
      <w:r w:rsidR="001D16D4" w:rsidRPr="00F90EC9">
        <w:br/>
        <w:t>DE 2023 DE L</w:t>
      </w:r>
      <w:r w:rsidR="001736A7" w:rsidRPr="00F90EC9">
        <w:t>'</w:t>
      </w:r>
      <w:r w:rsidR="001D16D4" w:rsidRPr="00F90EC9">
        <w:t>UNION INTERNATIONALE</w:t>
      </w:r>
      <w:r w:rsidR="001D16D4" w:rsidRPr="00F90EC9">
        <w:br/>
        <w:t>DES T</w:t>
      </w:r>
      <w:r w:rsidR="000F6065">
        <w:t>É</w:t>
      </w:r>
      <w:r w:rsidR="001D16D4" w:rsidRPr="00F90EC9">
        <w:t>L</w:t>
      </w:r>
      <w:r w:rsidR="000F6065">
        <w:t>É</w:t>
      </w:r>
      <w:r w:rsidR="001D16D4" w:rsidRPr="00F90EC9">
        <w:t>COMMUNICATIONS</w:t>
      </w:r>
    </w:p>
    <w:p w14:paraId="0B99E511" w14:textId="7039A477" w:rsidR="001D16D4" w:rsidRPr="00F90EC9" w:rsidRDefault="001D16D4" w:rsidP="001D16D4">
      <w:pPr>
        <w:pStyle w:val="Normalaftertitle"/>
      </w:pPr>
      <w:r w:rsidRPr="00F90EC9">
        <w:t>Dans le présent document, l</w:t>
      </w:r>
      <w:r w:rsidR="001736A7" w:rsidRPr="00F90EC9">
        <w:t>'</w:t>
      </w:r>
      <w:r w:rsidRPr="00F90EC9">
        <w:t>Organisation internationale de télécommunications par satellite (IOCS) Interspoutnik indique sa position concernant les points de l</w:t>
      </w:r>
      <w:r w:rsidR="001736A7" w:rsidRPr="00F90EC9">
        <w:t>'</w:t>
      </w:r>
      <w:r w:rsidRPr="00F90EC9">
        <w:t>ordre du jour de la Conférence mondiale des radiocommunications de 2023 (CMR-23) de l</w:t>
      </w:r>
      <w:r w:rsidR="001736A7" w:rsidRPr="00F90EC9">
        <w:t>'</w:t>
      </w:r>
      <w:r w:rsidRPr="00F90EC9">
        <w:t>Union internationale des télécommunications (UIT) se rapportant aux télécommunications par satellite et à d</w:t>
      </w:r>
      <w:r w:rsidR="001736A7" w:rsidRPr="00F90EC9">
        <w:t>'</w:t>
      </w:r>
      <w:r w:rsidRPr="00F90EC9">
        <w:t>autres activités de l</w:t>
      </w:r>
      <w:r w:rsidR="001736A7" w:rsidRPr="00F90EC9">
        <w:t>'</w:t>
      </w:r>
      <w:r w:rsidRPr="00F90EC9">
        <w:t>Organisation (position d</w:t>
      </w:r>
      <w:r w:rsidR="001736A7" w:rsidRPr="00F90EC9">
        <w:t>'</w:t>
      </w:r>
      <w:r w:rsidRPr="00F90EC9">
        <w:t>Interspoutnik).</w:t>
      </w:r>
    </w:p>
    <w:p w14:paraId="29F56F01" w14:textId="77777777" w:rsidR="001D16D4" w:rsidRPr="00F90EC9" w:rsidRDefault="001D16D4" w:rsidP="001D16D4">
      <w:pPr>
        <w:pStyle w:val="Heading1"/>
      </w:pPr>
      <w:r w:rsidRPr="00F90EC9">
        <w:t>1</w:t>
      </w:r>
      <w:r w:rsidRPr="00F90EC9">
        <w:tab/>
        <w:t>Considérations générales relatives à Interspoutnik</w:t>
      </w:r>
    </w:p>
    <w:p w14:paraId="47B04B2F" w14:textId="69AD2DF1" w:rsidR="001D16D4" w:rsidRPr="00F90EC9" w:rsidRDefault="001D16D4" w:rsidP="001D16D4">
      <w:r w:rsidRPr="00F90EC9">
        <w:t>L</w:t>
      </w:r>
      <w:r w:rsidR="001736A7" w:rsidRPr="00F90EC9">
        <w:t>'</w:t>
      </w:r>
      <w:r w:rsidRPr="00F90EC9">
        <w:t>Organisation internationale des télécommunications par satellite Interspoutnik, fondée le 15 novembre 1971 en vertu de l</w:t>
      </w:r>
      <w:r w:rsidR="001736A7" w:rsidRPr="00F90EC9">
        <w:t>'</w:t>
      </w:r>
      <w:r w:rsidRPr="00F90EC9">
        <w:t>Accord sur la création d</w:t>
      </w:r>
      <w:r w:rsidR="001736A7" w:rsidRPr="00F90EC9">
        <w:t>'</w:t>
      </w:r>
      <w:r w:rsidRPr="00F90EC9">
        <w:t>un système international et de l</w:t>
      </w:r>
      <w:r w:rsidR="001736A7" w:rsidRPr="00F90EC9">
        <w:t>'</w:t>
      </w:r>
      <w:r w:rsidRPr="00F90EC9">
        <w:t>Organisation des télécommunications spatiales «Interspoutnik», est une organisation internationale et intergouvernementale ayant pour mission de contribuer au renforcement et au développement des relations économiques, scientifiques, techniques, culturelles et autres par les communications et la radiodiffusion sonore et télévisuelle par satellite, et d</w:t>
      </w:r>
      <w:r w:rsidR="001736A7" w:rsidRPr="00F90EC9">
        <w:t>'</w:t>
      </w:r>
      <w:r w:rsidRPr="00F90EC9">
        <w:t>assurer la coopération et la coordination d</w:t>
      </w:r>
      <w:r w:rsidR="001736A7" w:rsidRPr="00F90EC9">
        <w:t>'</w:t>
      </w:r>
      <w:r w:rsidRPr="00F90EC9">
        <w:t>initiatives pour la conception, l</w:t>
      </w:r>
      <w:r w:rsidR="001736A7" w:rsidRPr="00F90EC9">
        <w:t>'</w:t>
      </w:r>
      <w:r w:rsidRPr="00F90EC9">
        <w:t>établissement, l</w:t>
      </w:r>
      <w:r w:rsidR="001736A7" w:rsidRPr="00F90EC9">
        <w:t>'</w:t>
      </w:r>
      <w:r w:rsidRPr="00F90EC9">
        <w:t>exploitation et le développement du système international de télécommunications par satellite d</w:t>
      </w:r>
      <w:r w:rsidR="001736A7" w:rsidRPr="00F90EC9">
        <w:t>'</w:t>
      </w:r>
      <w:r w:rsidRPr="00F90EC9">
        <w:t>Interspoutnik.</w:t>
      </w:r>
    </w:p>
    <w:p w14:paraId="51413166" w14:textId="2B55A93D" w:rsidR="001D16D4" w:rsidRPr="00F90EC9" w:rsidRDefault="001D16D4" w:rsidP="001D16D4">
      <w:pPr>
        <w:pStyle w:val="Heading1"/>
      </w:pPr>
      <w:r w:rsidRPr="00F90EC9">
        <w:t>2</w:t>
      </w:r>
      <w:r w:rsidRPr="00F90EC9">
        <w:tab/>
        <w:t>Position d</w:t>
      </w:r>
      <w:r w:rsidR="001736A7" w:rsidRPr="00F90EC9">
        <w:t>'</w:t>
      </w:r>
      <w:r w:rsidRPr="00F90EC9">
        <w:t>Interspoutnik pour la CMR-23</w:t>
      </w:r>
    </w:p>
    <w:p w14:paraId="0386BD34" w14:textId="133A0BEE" w:rsidR="0015203F" w:rsidRPr="00F90EC9" w:rsidRDefault="001D16D4" w:rsidP="001D16D4">
      <w:r w:rsidRPr="00F90EC9">
        <w:t>La position d</w:t>
      </w:r>
      <w:r w:rsidR="001736A7" w:rsidRPr="00F90EC9">
        <w:t>'</w:t>
      </w:r>
      <w:r w:rsidRPr="00F90EC9">
        <w:t>Interspoutnik a été approuvée par le Comité d</w:t>
      </w:r>
      <w:r w:rsidR="001736A7" w:rsidRPr="00F90EC9">
        <w:t>'</w:t>
      </w:r>
      <w:r w:rsidRPr="00F90EC9">
        <w:t>exploitation d</w:t>
      </w:r>
      <w:r w:rsidR="001736A7" w:rsidRPr="00F90EC9">
        <w:t>'</w:t>
      </w:r>
      <w:r w:rsidRPr="00F90EC9">
        <w:t>Interspoutnik, conformément aux règles et aux procédures d</w:t>
      </w:r>
      <w:r w:rsidR="001736A7" w:rsidRPr="00F90EC9">
        <w:t>'</w:t>
      </w:r>
      <w:r w:rsidRPr="00F90EC9">
        <w:t xml:space="preserve">Interspoutnik. </w:t>
      </w:r>
      <w:r w:rsidRPr="00F90EC9">
        <w:rPr>
          <w:b/>
          <w:bCs/>
        </w:rPr>
        <w:t>Cette position ne traduit pas cependant une position unanime des signataires d</w:t>
      </w:r>
      <w:r w:rsidR="001736A7" w:rsidRPr="00F90EC9">
        <w:rPr>
          <w:b/>
          <w:bCs/>
        </w:rPr>
        <w:t>'</w:t>
      </w:r>
      <w:r w:rsidRPr="00F90EC9">
        <w:rPr>
          <w:b/>
          <w:bCs/>
        </w:rPr>
        <w:t>IOCS Interspoutnik concernant les points de l</w:t>
      </w:r>
      <w:r w:rsidR="001736A7" w:rsidRPr="00F90EC9">
        <w:rPr>
          <w:b/>
          <w:bCs/>
        </w:rPr>
        <w:t>'</w:t>
      </w:r>
      <w:r w:rsidRPr="00F90EC9">
        <w:rPr>
          <w:b/>
          <w:bCs/>
        </w:rPr>
        <w:t>ordre du jour de la CMR-23.</w:t>
      </w:r>
    </w:p>
    <w:p w14:paraId="31158692" w14:textId="21D85F37" w:rsidR="001D16D4" w:rsidRPr="00F90EC9" w:rsidRDefault="001D16D4">
      <w:pPr>
        <w:tabs>
          <w:tab w:val="clear" w:pos="1134"/>
          <w:tab w:val="clear" w:pos="1871"/>
          <w:tab w:val="clear" w:pos="2268"/>
        </w:tabs>
        <w:overflowPunct/>
        <w:autoSpaceDE/>
        <w:autoSpaceDN/>
        <w:adjustRightInd/>
        <w:spacing w:before="0"/>
        <w:textAlignment w:val="auto"/>
      </w:pPr>
      <w:r w:rsidRPr="00F90EC9">
        <w:br w:type="page"/>
      </w:r>
    </w:p>
    <w:p w14:paraId="04C98219" w14:textId="6775DEE7" w:rsidR="001D16D4" w:rsidRPr="00F90EC9" w:rsidRDefault="001D16D4" w:rsidP="001736A7">
      <w:pPr>
        <w:spacing w:before="0" w:after="120"/>
      </w:pPr>
      <w:r w:rsidRPr="00F90EC9">
        <w:lastRenderedPageBreak/>
        <w:t>On trouvera dans le tableau ci-dessous un résumé de la position d</w:t>
      </w:r>
      <w:r w:rsidR="001736A7" w:rsidRPr="00F90EC9">
        <w:t>'</w:t>
      </w:r>
      <w:r w:rsidRPr="00F90EC9">
        <w:t>Interspoutnik concernant les points de l</w:t>
      </w:r>
      <w:r w:rsidR="001736A7" w:rsidRPr="00F90EC9">
        <w:t>'</w:t>
      </w:r>
      <w:r w:rsidRPr="00F90EC9">
        <w:t>ordre du jour sélectionnés:</w:t>
      </w:r>
    </w:p>
    <w:tbl>
      <w:tblPr>
        <w:tblStyle w:val="TableGrid"/>
        <w:tblW w:w="0" w:type="auto"/>
        <w:tblLook w:val="04A0" w:firstRow="1" w:lastRow="0" w:firstColumn="1" w:lastColumn="0" w:noHBand="0" w:noVBand="1"/>
      </w:tblPr>
      <w:tblGrid>
        <w:gridCol w:w="4106"/>
        <w:gridCol w:w="5523"/>
      </w:tblGrid>
      <w:tr w:rsidR="001D16D4" w:rsidRPr="00F90EC9" w14:paraId="5DA5944E" w14:textId="77777777" w:rsidTr="001736A7">
        <w:trPr>
          <w:tblHeader/>
        </w:trPr>
        <w:tc>
          <w:tcPr>
            <w:tcW w:w="4106" w:type="dxa"/>
          </w:tcPr>
          <w:p w14:paraId="2298B3CC" w14:textId="6D7CFF5D" w:rsidR="001D16D4" w:rsidRPr="00F90EC9" w:rsidRDefault="001D16D4" w:rsidP="001D16D4">
            <w:pPr>
              <w:pStyle w:val="Tablehead"/>
            </w:pPr>
            <w:r w:rsidRPr="00F90EC9">
              <w:t>Point de l</w:t>
            </w:r>
            <w:r w:rsidR="001736A7" w:rsidRPr="00F90EC9">
              <w:t>'</w:t>
            </w:r>
            <w:r w:rsidRPr="00F90EC9">
              <w:t>ordre du jour</w:t>
            </w:r>
          </w:p>
        </w:tc>
        <w:tc>
          <w:tcPr>
            <w:tcW w:w="5523" w:type="dxa"/>
          </w:tcPr>
          <w:p w14:paraId="57366AA1" w14:textId="73A3483E" w:rsidR="001D16D4" w:rsidRPr="00F90EC9" w:rsidRDefault="001D16D4" w:rsidP="001D16D4">
            <w:pPr>
              <w:pStyle w:val="Tablehead"/>
            </w:pPr>
            <w:r w:rsidRPr="00F90EC9">
              <w:t>Position d</w:t>
            </w:r>
            <w:r w:rsidR="001736A7" w:rsidRPr="00F90EC9">
              <w:t>'</w:t>
            </w:r>
            <w:r w:rsidRPr="00F90EC9">
              <w:t>Interspoutnik</w:t>
            </w:r>
          </w:p>
        </w:tc>
      </w:tr>
      <w:tr w:rsidR="001D16D4" w:rsidRPr="00F90EC9" w14:paraId="7C2A8A1F" w14:textId="77777777" w:rsidTr="001736A7">
        <w:tc>
          <w:tcPr>
            <w:tcW w:w="4106" w:type="dxa"/>
          </w:tcPr>
          <w:p w14:paraId="569A7D31" w14:textId="77777777" w:rsidR="001D16D4" w:rsidRPr="00F90EC9" w:rsidRDefault="001D16D4" w:rsidP="001D16D4">
            <w:pPr>
              <w:pStyle w:val="Tabletext"/>
              <w:rPr>
                <w:b/>
                <w:bCs/>
                <w:i/>
                <w:iCs/>
              </w:rPr>
            </w:pPr>
            <w:r w:rsidRPr="00F90EC9">
              <w:rPr>
                <w:b/>
                <w:bCs/>
                <w:i/>
                <w:iCs/>
              </w:rPr>
              <w:t>Point 1.2</w:t>
            </w:r>
          </w:p>
          <w:p w14:paraId="34374ACE" w14:textId="0D916D2E" w:rsidR="001D16D4" w:rsidRPr="00F90EC9" w:rsidRDefault="00F90EC9" w:rsidP="001D16D4">
            <w:pPr>
              <w:pStyle w:val="Tabletext"/>
            </w:pPr>
            <w:r w:rsidRPr="00F90EC9">
              <w:t>Q</w:t>
            </w:r>
            <w:r w:rsidR="001D16D4" w:rsidRPr="00F90EC9">
              <w:t>uestions relatives aux Télécommunications mobiles internationales (IMT), y compris les attributions additionnelles possibles au service mobile à titre primaire dans certaines bandes de fréquences, conformément à la Résolution</w:t>
            </w:r>
            <w:r w:rsidR="001736A7" w:rsidRPr="00F90EC9">
              <w:t> </w:t>
            </w:r>
            <w:r w:rsidR="001D16D4" w:rsidRPr="00F90EC9">
              <w:rPr>
                <w:b/>
                <w:bCs/>
              </w:rPr>
              <w:t>245 (CMR-19)</w:t>
            </w:r>
            <w:r w:rsidR="001D16D4" w:rsidRPr="00F90EC9">
              <w:t>.</w:t>
            </w:r>
          </w:p>
        </w:tc>
        <w:tc>
          <w:tcPr>
            <w:tcW w:w="5523" w:type="dxa"/>
          </w:tcPr>
          <w:p w14:paraId="681F9025" w14:textId="4C01B854" w:rsidR="001D16D4" w:rsidRPr="00F90EC9" w:rsidRDefault="001D16D4" w:rsidP="001736A7">
            <w:pPr>
              <w:pStyle w:val="Tabletext"/>
              <w:rPr>
                <w:i/>
                <w:iCs/>
                <w:u w:val="single"/>
              </w:rPr>
            </w:pPr>
            <w:r w:rsidRPr="00F90EC9">
              <w:rPr>
                <w:i/>
                <w:iCs/>
                <w:u w:val="single"/>
              </w:rPr>
              <w:t>Bande 3 – 3 600-3 800 MHz (Région 2):</w:t>
            </w:r>
          </w:p>
          <w:p w14:paraId="1DE9C9E3" w14:textId="1309AB95" w:rsidR="001D16D4" w:rsidRPr="00F90EC9" w:rsidRDefault="001D16D4" w:rsidP="001736A7">
            <w:pPr>
              <w:pStyle w:val="Tabletext"/>
            </w:pPr>
            <w:r w:rsidRPr="00F90EC9">
              <w:rPr>
                <w:b/>
                <w:bCs/>
              </w:rPr>
              <w:t>Favorable à la Méthode 3A</w:t>
            </w:r>
            <w:r w:rsidRPr="00F90EC9">
              <w:t>, qui préconise l</w:t>
            </w:r>
            <w:r w:rsidR="001736A7" w:rsidRPr="00F90EC9">
              <w:t>'</w:t>
            </w:r>
            <w:r w:rsidRPr="00F90EC9">
              <w:t>exclusion de la Résolution </w:t>
            </w:r>
            <w:r w:rsidRPr="00F90EC9">
              <w:rPr>
                <w:b/>
                <w:bCs/>
              </w:rPr>
              <w:t>245 (CMR-19)</w:t>
            </w:r>
            <w:r w:rsidRPr="00F90EC9">
              <w:t xml:space="preserve"> sans qu</w:t>
            </w:r>
            <w:r w:rsidR="001736A7" w:rsidRPr="00F90EC9">
              <w:t>'</w:t>
            </w:r>
            <w:r w:rsidRPr="00F90EC9">
              <w:t>il soit nécessaire d</w:t>
            </w:r>
            <w:r w:rsidR="001736A7" w:rsidRPr="00F90EC9">
              <w:t>'</w:t>
            </w:r>
            <w:r w:rsidRPr="00F90EC9">
              <w:t>apporter d</w:t>
            </w:r>
            <w:r w:rsidR="001736A7" w:rsidRPr="00F90EC9">
              <w:t>'</w:t>
            </w:r>
            <w:r w:rsidRPr="00F90EC9">
              <w:t>autres modifications au Règlement des radiocommunications.</w:t>
            </w:r>
          </w:p>
          <w:p w14:paraId="2CF2D944" w14:textId="6AF9DED8" w:rsidR="001D16D4" w:rsidRPr="00F90EC9" w:rsidRDefault="001D16D4" w:rsidP="001736A7">
            <w:pPr>
              <w:pStyle w:val="Tabletext"/>
              <w:rPr>
                <w:i/>
                <w:iCs/>
                <w:u w:val="single"/>
              </w:rPr>
            </w:pPr>
            <w:r w:rsidRPr="00F90EC9">
              <w:rPr>
                <w:i/>
                <w:iCs/>
                <w:u w:val="single"/>
              </w:rPr>
              <w:t xml:space="preserve">Bande 4 </w:t>
            </w:r>
            <w:r w:rsidR="000F6065" w:rsidRPr="00F90EC9">
              <w:rPr>
                <w:i/>
                <w:iCs/>
                <w:u w:val="single"/>
              </w:rPr>
              <w:t>–</w:t>
            </w:r>
            <w:r w:rsidRPr="00F90EC9">
              <w:rPr>
                <w:i/>
                <w:iCs/>
                <w:u w:val="single"/>
              </w:rPr>
              <w:t xml:space="preserve"> 6 425-7 025 MHz (Région 1):</w:t>
            </w:r>
          </w:p>
          <w:p w14:paraId="483D8BD7" w14:textId="33D1C4A5" w:rsidR="001D16D4" w:rsidRPr="00F90EC9" w:rsidRDefault="001D16D4" w:rsidP="001736A7">
            <w:pPr>
              <w:pStyle w:val="Tabletext"/>
            </w:pPr>
            <w:r w:rsidRPr="00F90EC9">
              <w:rPr>
                <w:b/>
                <w:bCs/>
              </w:rPr>
              <w:t>Favorable à la Méthode 4D</w:t>
            </w:r>
            <w:r w:rsidRPr="00F90EC9">
              <w:t>, qui consiste à définir la bande de fréquences 6 425-7 025 MHz dans la Région 1 pour les IMT en créant un nouveau renvoi du RR assorti de certaines conditions qui figurent dans le projet de nouvelle Résolution de la CMR et s</w:t>
            </w:r>
            <w:r w:rsidR="001736A7" w:rsidRPr="00F90EC9">
              <w:t>'</w:t>
            </w:r>
            <w:r w:rsidRPr="00F90EC9">
              <w:t>appliquent uniquement à la bande de fréquences 6</w:t>
            </w:r>
            <w:r w:rsidR="00F90EC9" w:rsidRPr="00F90EC9">
              <w:t> </w:t>
            </w:r>
            <w:r w:rsidRPr="00F90EC9">
              <w:t>425</w:t>
            </w:r>
            <w:r w:rsidR="00F90EC9" w:rsidRPr="00F90EC9">
              <w:noBreakHyphen/>
            </w:r>
            <w:r w:rsidRPr="00F90EC9">
              <w:t>7</w:t>
            </w:r>
            <w:r w:rsidR="00F90EC9" w:rsidRPr="00F90EC9">
              <w:t> </w:t>
            </w:r>
            <w:r w:rsidRPr="00F90EC9">
              <w:t>025</w:t>
            </w:r>
            <w:r w:rsidR="00F90EC9" w:rsidRPr="00F90EC9">
              <w:t> </w:t>
            </w:r>
            <w:r w:rsidRPr="00F90EC9">
              <w:t>MHz.</w:t>
            </w:r>
          </w:p>
        </w:tc>
      </w:tr>
      <w:tr w:rsidR="001D16D4" w:rsidRPr="00F90EC9" w14:paraId="27977DBF" w14:textId="77777777" w:rsidTr="001736A7">
        <w:tc>
          <w:tcPr>
            <w:tcW w:w="4106" w:type="dxa"/>
          </w:tcPr>
          <w:p w14:paraId="76F166BA" w14:textId="77777777" w:rsidR="001D16D4" w:rsidRPr="00F90EC9" w:rsidRDefault="001D16D4" w:rsidP="001D16D4">
            <w:pPr>
              <w:pStyle w:val="Tabletext"/>
              <w:rPr>
                <w:b/>
                <w:bCs/>
                <w:i/>
                <w:iCs/>
              </w:rPr>
            </w:pPr>
            <w:r w:rsidRPr="00F90EC9">
              <w:rPr>
                <w:b/>
                <w:bCs/>
                <w:i/>
                <w:iCs/>
              </w:rPr>
              <w:t>Point 1.16</w:t>
            </w:r>
          </w:p>
          <w:p w14:paraId="0701D15C" w14:textId="2D9EFF88" w:rsidR="001D16D4" w:rsidRPr="00F90EC9" w:rsidRDefault="00F90EC9" w:rsidP="001D16D4">
            <w:pPr>
              <w:pStyle w:val="Tabletext"/>
            </w:pPr>
            <w:r w:rsidRPr="00F90EC9">
              <w:t>U</w:t>
            </w:r>
            <w:r w:rsidR="001D16D4" w:rsidRPr="00F90EC9">
              <w:t>tilisation des bandes de fréquences 17,7</w:t>
            </w:r>
            <w:r w:rsidRPr="00F90EC9">
              <w:noBreakHyphen/>
            </w:r>
            <w:r w:rsidR="001D16D4" w:rsidRPr="00F90EC9">
              <w:t>18,6</w:t>
            </w:r>
            <w:r w:rsidRPr="00F90EC9">
              <w:t> </w:t>
            </w:r>
            <w:r w:rsidR="001D16D4" w:rsidRPr="00F90EC9">
              <w:t>GHz, 18,8-19,3 GHz et 19,7</w:t>
            </w:r>
            <w:r w:rsidR="001736A7" w:rsidRPr="00F90EC9">
              <w:noBreakHyphen/>
            </w:r>
            <w:r w:rsidR="001D16D4" w:rsidRPr="00F90EC9">
              <w:t>20,2</w:t>
            </w:r>
            <w:r w:rsidRPr="00F90EC9">
              <w:t> </w:t>
            </w:r>
            <w:r w:rsidR="001D16D4" w:rsidRPr="00F90EC9">
              <w:t>GHz (espace vers Terre) et 27,5</w:t>
            </w:r>
            <w:r w:rsidRPr="00F90EC9">
              <w:noBreakHyphen/>
            </w:r>
            <w:r w:rsidR="001D16D4" w:rsidRPr="00F90EC9">
              <w:t>29,1</w:t>
            </w:r>
            <w:r w:rsidRPr="00F90EC9">
              <w:t> </w:t>
            </w:r>
            <w:r w:rsidR="001D16D4" w:rsidRPr="00F90EC9">
              <w:t>GHz et 29,5-30 GHz (Terre vers espace) par les stations terriennes en mouvement communiquant avec des stations spatiales non géostationnaires (non OSG) du service fixe par satellite.</w:t>
            </w:r>
          </w:p>
        </w:tc>
        <w:tc>
          <w:tcPr>
            <w:tcW w:w="5523" w:type="dxa"/>
          </w:tcPr>
          <w:p w14:paraId="6BC960E7" w14:textId="4AB39B2B" w:rsidR="001D16D4" w:rsidRPr="00F90EC9" w:rsidRDefault="001D16D4" w:rsidP="001D16D4">
            <w:pPr>
              <w:pStyle w:val="Tabletext"/>
            </w:pPr>
            <w:r w:rsidRPr="00F90EC9">
              <w:rPr>
                <w:b/>
                <w:bCs/>
              </w:rPr>
              <w:t>Favorable à la Méthode B</w:t>
            </w:r>
            <w:r w:rsidRPr="00F90EC9">
              <w:t>, qui consiste à ajouter dans l</w:t>
            </w:r>
            <w:r w:rsidR="001736A7" w:rsidRPr="00F90EC9">
              <w:t>'</w:t>
            </w:r>
            <w:r w:rsidRPr="00F90EC9">
              <w:t xml:space="preserve">Article </w:t>
            </w:r>
            <w:r w:rsidRPr="00F90EC9">
              <w:rPr>
                <w:b/>
                <w:bCs/>
              </w:rPr>
              <w:t>5</w:t>
            </w:r>
            <w:r w:rsidRPr="00F90EC9">
              <w:t xml:space="preserve"> du RR un nouveau renvoi qui fasse mention d</w:t>
            </w:r>
            <w:r w:rsidR="001736A7" w:rsidRPr="00F90EC9">
              <w:t>'</w:t>
            </w:r>
            <w:r w:rsidRPr="00F90EC9">
              <w:t>une nouvelle Résolution de la CMR définissant les conditions techniques, réglementaires et opérationnelles des stations ESIM non OSG maritimes et aéronautiques, tout en garantissant la protection des services disposant d</w:t>
            </w:r>
            <w:r w:rsidR="001736A7" w:rsidRPr="00F90EC9">
              <w:t>'</w:t>
            </w:r>
            <w:r w:rsidRPr="00F90EC9">
              <w:t xml:space="preserve">attributions, et supprimer en conséquence la Résolution </w:t>
            </w:r>
            <w:r w:rsidRPr="00F90EC9">
              <w:rPr>
                <w:b/>
                <w:bCs/>
              </w:rPr>
              <w:t>173 (CMR-19)</w:t>
            </w:r>
            <w:r w:rsidRPr="00F90EC9">
              <w:t>.</w:t>
            </w:r>
          </w:p>
        </w:tc>
      </w:tr>
      <w:tr w:rsidR="001D16D4" w:rsidRPr="00F90EC9" w14:paraId="2A472D20" w14:textId="77777777" w:rsidTr="001736A7">
        <w:tc>
          <w:tcPr>
            <w:tcW w:w="4106" w:type="dxa"/>
          </w:tcPr>
          <w:p w14:paraId="50F13BC3" w14:textId="77777777" w:rsidR="001D16D4" w:rsidRPr="00F90EC9" w:rsidRDefault="001D16D4" w:rsidP="001D16D4">
            <w:pPr>
              <w:pStyle w:val="Tabletext"/>
              <w:rPr>
                <w:b/>
                <w:bCs/>
                <w:i/>
                <w:iCs/>
              </w:rPr>
            </w:pPr>
            <w:r w:rsidRPr="00F90EC9">
              <w:rPr>
                <w:b/>
                <w:bCs/>
                <w:i/>
                <w:iCs/>
              </w:rPr>
              <w:t>Point 1.17</w:t>
            </w:r>
          </w:p>
          <w:p w14:paraId="79BFDDBA" w14:textId="33147217" w:rsidR="001D16D4" w:rsidRPr="00F90EC9" w:rsidRDefault="00F90EC9" w:rsidP="001D16D4">
            <w:pPr>
              <w:pStyle w:val="Tabletext"/>
            </w:pPr>
            <w:r w:rsidRPr="00F90EC9">
              <w:t>D</w:t>
            </w:r>
            <w:r w:rsidR="001D16D4" w:rsidRPr="00F90EC9">
              <w:t>éterminer et prendre, sur la base des études menées par l</w:t>
            </w:r>
            <w:r w:rsidR="001736A7" w:rsidRPr="00F90EC9">
              <w:t>'</w:t>
            </w:r>
            <w:r w:rsidR="001D16D4" w:rsidRPr="00F90EC9">
              <w:t xml:space="preserve">UIT-R conformément à la Résolution </w:t>
            </w:r>
            <w:r w:rsidR="001D16D4" w:rsidRPr="00F90EC9">
              <w:rPr>
                <w:b/>
                <w:bCs/>
              </w:rPr>
              <w:t>773 (CMR-19)</w:t>
            </w:r>
            <w:r w:rsidR="001D16D4" w:rsidRPr="00F90EC9">
              <w:t>, les mesures réglementaires qui conviennent concernant l</w:t>
            </w:r>
            <w:r w:rsidR="001736A7" w:rsidRPr="00F90EC9">
              <w:t>'</w:t>
            </w:r>
            <w:r w:rsidR="001D16D4" w:rsidRPr="00F90EC9">
              <w:t>établissement de liaisons inter-satellites dans certaines bandes de fréquences, ou dans des parties de ces bandes, en ajoutant une attribution au service inter</w:t>
            </w:r>
            <w:r w:rsidR="001736A7" w:rsidRPr="00F90EC9">
              <w:noBreakHyphen/>
            </w:r>
            <w:r w:rsidR="001D16D4" w:rsidRPr="00F90EC9">
              <w:t>satellites, s</w:t>
            </w:r>
            <w:r w:rsidR="001736A7" w:rsidRPr="00F90EC9">
              <w:t>'</w:t>
            </w:r>
            <w:r w:rsidR="001D16D4" w:rsidRPr="00F90EC9">
              <w:t>il y a lieu.</w:t>
            </w:r>
          </w:p>
        </w:tc>
        <w:tc>
          <w:tcPr>
            <w:tcW w:w="5523" w:type="dxa"/>
          </w:tcPr>
          <w:p w14:paraId="50AA2480" w14:textId="58824655" w:rsidR="001D16D4" w:rsidRPr="00F90EC9" w:rsidRDefault="001D16D4" w:rsidP="001D16D4">
            <w:pPr>
              <w:pStyle w:val="Tabletext"/>
            </w:pPr>
            <w:r w:rsidRPr="00F90EC9">
              <w:rPr>
                <w:b/>
                <w:bCs/>
              </w:rPr>
              <w:t>Favorable à la Méthode B5</w:t>
            </w:r>
            <w:r w:rsidRPr="00F90EC9">
              <w:t xml:space="preserve"> – Cette méthode sera identique aux Méthodes B1-B4, exception faite de la bande de fréquences 11,7</w:t>
            </w:r>
            <w:r w:rsidR="001736A7" w:rsidRPr="00F90EC9">
              <w:noBreakHyphen/>
            </w:r>
            <w:r w:rsidRPr="00F90EC9">
              <w:t>12,7</w:t>
            </w:r>
            <w:r w:rsidR="001736A7" w:rsidRPr="00F90EC9">
              <w:t> </w:t>
            </w:r>
            <w:r w:rsidRPr="00F90EC9">
              <w:t>GHz, pour laquelle la Méthode B1 sera utilisée par défaut.</w:t>
            </w:r>
          </w:p>
        </w:tc>
      </w:tr>
      <w:tr w:rsidR="001D16D4" w:rsidRPr="00F90EC9" w14:paraId="0A2FEEB9" w14:textId="77777777" w:rsidTr="001736A7">
        <w:tc>
          <w:tcPr>
            <w:tcW w:w="4106" w:type="dxa"/>
          </w:tcPr>
          <w:p w14:paraId="427E2F59" w14:textId="77777777" w:rsidR="001D16D4" w:rsidRPr="00F90EC9" w:rsidRDefault="001D16D4" w:rsidP="001D16D4">
            <w:pPr>
              <w:pStyle w:val="Tabletext"/>
              <w:rPr>
                <w:b/>
                <w:bCs/>
                <w:i/>
                <w:iCs/>
              </w:rPr>
            </w:pPr>
            <w:r w:rsidRPr="00F90EC9">
              <w:rPr>
                <w:b/>
                <w:bCs/>
                <w:i/>
                <w:iCs/>
              </w:rPr>
              <w:t>Point 1.19</w:t>
            </w:r>
          </w:p>
          <w:p w14:paraId="079AEA50" w14:textId="537D672D" w:rsidR="001D16D4" w:rsidRPr="00F90EC9" w:rsidRDefault="001D16D4" w:rsidP="001D16D4">
            <w:pPr>
              <w:pStyle w:val="Tabletext"/>
            </w:pPr>
            <w:r w:rsidRPr="00F90EC9">
              <w:t>Question relative à la nouvelle attribution à titre primaire au service fixe par satellite dans le sens espace vers Terre conformément à la Résolution</w:t>
            </w:r>
            <w:r w:rsidR="00F90EC9" w:rsidRPr="00F90EC9">
              <w:t> </w:t>
            </w:r>
            <w:r w:rsidRPr="00F90EC9">
              <w:rPr>
                <w:b/>
                <w:bCs/>
              </w:rPr>
              <w:t>174 (CMR-19)</w:t>
            </w:r>
            <w:r w:rsidRPr="00F90EC9">
              <w:t>.</w:t>
            </w:r>
          </w:p>
        </w:tc>
        <w:tc>
          <w:tcPr>
            <w:tcW w:w="5523" w:type="dxa"/>
          </w:tcPr>
          <w:p w14:paraId="5D1BAFB1" w14:textId="55AB5FEA" w:rsidR="001D16D4" w:rsidRPr="00F90EC9" w:rsidRDefault="001D16D4" w:rsidP="001D16D4">
            <w:pPr>
              <w:pStyle w:val="Tabletext"/>
            </w:pPr>
            <w:r w:rsidRPr="00F90EC9">
              <w:rPr>
                <w:b/>
                <w:bCs/>
              </w:rPr>
              <w:t>Favorable à la Méthode B</w:t>
            </w:r>
            <w:r w:rsidRPr="00F90EC9">
              <w:t xml:space="preserve"> – Modifier les renvois de l</w:t>
            </w:r>
            <w:r w:rsidR="001736A7" w:rsidRPr="00F90EC9">
              <w:t>'</w:t>
            </w:r>
            <w:r w:rsidRPr="00F90EC9">
              <w:t xml:space="preserve">Article </w:t>
            </w:r>
            <w:r w:rsidRPr="00F90EC9">
              <w:rPr>
                <w:b/>
                <w:bCs/>
              </w:rPr>
              <w:t>5</w:t>
            </w:r>
            <w:r w:rsidRPr="00F90EC9">
              <w:t xml:space="preserve"> du RR, qui font référence à l</w:t>
            </w:r>
            <w:r w:rsidR="001736A7" w:rsidRPr="00F90EC9">
              <w:t>'</w:t>
            </w:r>
            <w:r w:rsidRPr="00F90EC9">
              <w:t>attribution de la bande de fréquences 17,3</w:t>
            </w:r>
            <w:r w:rsidR="001736A7" w:rsidRPr="00F90EC9">
              <w:noBreakHyphen/>
            </w:r>
            <w:r w:rsidRPr="00F90EC9">
              <w:t>17,7</w:t>
            </w:r>
            <w:r w:rsidR="001736A7" w:rsidRPr="00F90EC9">
              <w:t> </w:t>
            </w:r>
            <w:r w:rsidRPr="00F90EC9">
              <w:t>GHz au SFS en Région 2 dans le sens espace vers Terre.</w:t>
            </w:r>
          </w:p>
        </w:tc>
      </w:tr>
      <w:tr w:rsidR="001D16D4" w:rsidRPr="00F90EC9" w14:paraId="53269F7D" w14:textId="77777777" w:rsidTr="001736A7">
        <w:tc>
          <w:tcPr>
            <w:tcW w:w="4106" w:type="dxa"/>
          </w:tcPr>
          <w:p w14:paraId="2C00EF8A" w14:textId="77777777" w:rsidR="001D16D4" w:rsidRPr="00F90EC9" w:rsidRDefault="001D16D4" w:rsidP="001D16D4">
            <w:pPr>
              <w:pStyle w:val="Tabletext"/>
              <w:rPr>
                <w:b/>
                <w:bCs/>
                <w:i/>
                <w:iCs/>
              </w:rPr>
            </w:pPr>
            <w:r w:rsidRPr="00F90EC9">
              <w:rPr>
                <w:b/>
                <w:bCs/>
                <w:i/>
                <w:iCs/>
              </w:rPr>
              <w:t>Point 7 (Question A)</w:t>
            </w:r>
          </w:p>
          <w:p w14:paraId="6BE5E561" w14:textId="3AF24C83" w:rsidR="001D16D4" w:rsidRPr="00F90EC9" w:rsidRDefault="001D16D4" w:rsidP="001D16D4">
            <w:pPr>
              <w:pStyle w:val="Tabletext"/>
            </w:pPr>
            <w:r w:rsidRPr="00F90EC9">
              <w:t>Tolérances pour certaines caractéristiques orbitales des stations spatiales non OSG du SFS, du SRS ou du SMS.</w:t>
            </w:r>
          </w:p>
        </w:tc>
        <w:tc>
          <w:tcPr>
            <w:tcW w:w="5523" w:type="dxa"/>
          </w:tcPr>
          <w:p w14:paraId="6D9DA096" w14:textId="44A5711D" w:rsidR="001D16D4" w:rsidRPr="00F90EC9" w:rsidRDefault="001D16D4" w:rsidP="001D16D4">
            <w:pPr>
              <w:pStyle w:val="Tabletext"/>
            </w:pPr>
            <w:r w:rsidRPr="00F90EC9">
              <w:rPr>
                <w:b/>
                <w:bCs/>
              </w:rPr>
              <w:t>Favorable à la Méthode A2</w:t>
            </w:r>
            <w:r w:rsidRPr="00F90EC9">
              <w:t>, qui propose une nouvelle Résolution de la CMR énonçant des mesures réglementaires particulières afin de permettre des variations par rapport aux caractéristiques d</w:t>
            </w:r>
            <w:r w:rsidR="001736A7" w:rsidRPr="00F90EC9">
              <w:t>'</w:t>
            </w:r>
            <w:r w:rsidRPr="00F90EC9">
              <w:t xml:space="preserve">un plan orbital notifié ou inscrit, y compris des variations temporaires, à des fins opérationnelles, par exemple pour la réorganisation de satellites dans un plan orbital à la suite du lancement de nouvelles stations spatiales non OSG. Il est également proposé de considérer que les stations spatiales qui ne respectent pas les tolérances, y compris celles qui sont indiquées pour les variations temporaires, ne sont pas conformes aux paramètres orbitaux notifiés ou inscrits du système non OSG correspondant et, à ce titre, ne devraient pas être considérées comme étant assujetties aux numéros </w:t>
            </w:r>
            <w:r w:rsidRPr="00F90EC9">
              <w:rPr>
                <w:b/>
                <w:bCs/>
              </w:rPr>
              <w:t>11.44C</w:t>
            </w:r>
            <w:r w:rsidRPr="00F90EC9">
              <w:t xml:space="preserve">, </w:t>
            </w:r>
            <w:r w:rsidRPr="00F90EC9">
              <w:rPr>
                <w:b/>
                <w:bCs/>
              </w:rPr>
              <w:t>11.49.2</w:t>
            </w:r>
            <w:r w:rsidRPr="00F90EC9">
              <w:t xml:space="preserve"> et </w:t>
            </w:r>
            <w:r w:rsidRPr="00F90EC9">
              <w:rPr>
                <w:b/>
                <w:bCs/>
              </w:rPr>
              <w:t>11.51</w:t>
            </w:r>
            <w:r w:rsidRPr="00F90EC9">
              <w:t xml:space="preserve"> du RR, selon le cas.</w:t>
            </w:r>
          </w:p>
        </w:tc>
      </w:tr>
      <w:tr w:rsidR="001D16D4" w:rsidRPr="00F90EC9" w14:paraId="38D9C7F2" w14:textId="77777777" w:rsidTr="001736A7">
        <w:tc>
          <w:tcPr>
            <w:tcW w:w="4106" w:type="dxa"/>
          </w:tcPr>
          <w:p w14:paraId="50CC1D30" w14:textId="77777777" w:rsidR="001D16D4" w:rsidRPr="00F90EC9" w:rsidRDefault="001D16D4" w:rsidP="001736A7">
            <w:pPr>
              <w:pStyle w:val="Tabletext"/>
              <w:keepNext/>
              <w:keepLines/>
              <w:rPr>
                <w:b/>
                <w:bCs/>
                <w:i/>
                <w:iCs/>
              </w:rPr>
            </w:pPr>
            <w:r w:rsidRPr="00F90EC9">
              <w:rPr>
                <w:b/>
                <w:bCs/>
                <w:i/>
                <w:iCs/>
              </w:rPr>
              <w:lastRenderedPageBreak/>
              <w:t>Point 7 (Question B)</w:t>
            </w:r>
          </w:p>
          <w:p w14:paraId="0BC16823" w14:textId="4188A36A" w:rsidR="001D16D4" w:rsidRPr="00F90EC9" w:rsidRDefault="001D16D4" w:rsidP="001736A7">
            <w:pPr>
              <w:pStyle w:val="Tabletext"/>
              <w:keepNext/>
              <w:keepLines/>
            </w:pPr>
            <w:r w:rsidRPr="00F90EC9">
              <w:t>Procédure à suivre après les étapes pour la mise en service des systèmes non OSG.</w:t>
            </w:r>
          </w:p>
        </w:tc>
        <w:tc>
          <w:tcPr>
            <w:tcW w:w="5523" w:type="dxa"/>
          </w:tcPr>
          <w:p w14:paraId="15C4C582" w14:textId="5D796DE9" w:rsidR="001D16D4" w:rsidRPr="00F90EC9" w:rsidRDefault="001D16D4" w:rsidP="001736A7">
            <w:pPr>
              <w:pStyle w:val="Tabletext"/>
              <w:keepNext/>
              <w:keepLines/>
            </w:pPr>
            <w:r w:rsidRPr="00F90EC9">
              <w:rPr>
                <w:b/>
                <w:bCs/>
              </w:rPr>
              <w:t>Favorable à la Méthode B2</w:t>
            </w:r>
            <w:r w:rsidRPr="00F90EC9">
              <w:t xml:space="preserve"> – Supprimer le paragraphe 19 de la section décide de la Résolution </w:t>
            </w:r>
            <w:r w:rsidRPr="00F90EC9">
              <w:rPr>
                <w:b/>
                <w:bCs/>
              </w:rPr>
              <w:t>35 (CMR-19)</w:t>
            </w:r>
            <w:r w:rsidRPr="00F90EC9">
              <w:t>, qui n</w:t>
            </w:r>
            <w:r w:rsidR="001736A7" w:rsidRPr="00F90EC9">
              <w:t>'</w:t>
            </w:r>
            <w:r w:rsidRPr="00F90EC9">
              <w:t xml:space="preserve">est plus nécessaire. </w:t>
            </w:r>
            <w:r w:rsidR="001736A7" w:rsidRPr="00F90EC9">
              <w:t>Élaborer</w:t>
            </w:r>
            <w:r w:rsidRPr="00F90EC9">
              <w:t xml:space="preserve"> un projet de nouvelle Résolution prévoyant un seuil permettant de réduire le nombre de satellites déployés capables d</w:t>
            </w:r>
            <w:r w:rsidR="001736A7" w:rsidRPr="00F90EC9">
              <w:t>'</w:t>
            </w:r>
            <w:r w:rsidRPr="00F90EC9">
              <w:t>émettre/recevoir sur des assignations de fréquence inscrites aux fins de l</w:t>
            </w:r>
            <w:r w:rsidR="001736A7" w:rsidRPr="00F90EC9">
              <w:t>'</w:t>
            </w:r>
            <w:r w:rsidRPr="00F90EC9">
              <w:t>application de la présente Résolution.</w:t>
            </w:r>
          </w:p>
        </w:tc>
      </w:tr>
      <w:tr w:rsidR="001D16D4" w:rsidRPr="00F90EC9" w14:paraId="6C59106B" w14:textId="77777777" w:rsidTr="001736A7">
        <w:tc>
          <w:tcPr>
            <w:tcW w:w="4106" w:type="dxa"/>
          </w:tcPr>
          <w:p w14:paraId="246F5B54" w14:textId="77777777" w:rsidR="001D16D4" w:rsidRPr="00F90EC9" w:rsidRDefault="001D16D4" w:rsidP="001D16D4">
            <w:pPr>
              <w:pStyle w:val="Tabletext"/>
              <w:rPr>
                <w:b/>
                <w:bCs/>
                <w:i/>
                <w:iCs/>
              </w:rPr>
            </w:pPr>
            <w:r w:rsidRPr="00F90EC9">
              <w:rPr>
                <w:b/>
                <w:bCs/>
                <w:i/>
                <w:iCs/>
              </w:rPr>
              <w:t>Point 7 (Question C)</w:t>
            </w:r>
          </w:p>
          <w:p w14:paraId="15D85FD7" w14:textId="5F0F5E4F" w:rsidR="001D16D4" w:rsidRPr="00F90EC9" w:rsidRDefault="001D16D4" w:rsidP="001D16D4">
            <w:pPr>
              <w:pStyle w:val="Tabletext"/>
            </w:pPr>
            <w:r w:rsidRPr="00F90EC9">
              <w:t>Protection des réseaux à satellite géostationnaire du service mobile par satellite fonctionnant dans les bandes des 7/8 GHz et des 20/30 GHz contre les rayonnements des systèmes à satellites non géostationnaires fonctionnant dans les mêmes bandes de fréquences et dans les mêmes sens de transmission.</w:t>
            </w:r>
          </w:p>
        </w:tc>
        <w:tc>
          <w:tcPr>
            <w:tcW w:w="5523" w:type="dxa"/>
          </w:tcPr>
          <w:p w14:paraId="28E1752D" w14:textId="25F01A93" w:rsidR="001D16D4" w:rsidRPr="00F90EC9" w:rsidRDefault="001D16D4" w:rsidP="001D16D4">
            <w:pPr>
              <w:pStyle w:val="Tabletext"/>
            </w:pPr>
            <w:r w:rsidRPr="00F90EC9">
              <w:t>Favorable à la Méthode C2, selon laquelle le concept du numéro</w:t>
            </w:r>
            <w:r w:rsidR="00F90EC9" w:rsidRPr="00F90EC9">
              <w:t> </w:t>
            </w:r>
            <w:r w:rsidRPr="00F90EC9">
              <w:rPr>
                <w:b/>
                <w:bCs/>
              </w:rPr>
              <w:t xml:space="preserve">22.2 </w:t>
            </w:r>
            <w:r w:rsidRPr="00F90EC9">
              <w:t>du RR est élargi au SMS OSG dans les bandes de fréquences 7</w:t>
            </w:r>
            <w:r w:rsidR="001736A7" w:rsidRPr="00F90EC9">
              <w:t> </w:t>
            </w:r>
            <w:r w:rsidRPr="00F90EC9">
              <w:t>250</w:t>
            </w:r>
            <w:r w:rsidR="001736A7" w:rsidRPr="00F90EC9">
              <w:noBreakHyphen/>
            </w:r>
            <w:r w:rsidRPr="00F90EC9">
              <w:t>7</w:t>
            </w:r>
            <w:r w:rsidR="001736A7" w:rsidRPr="00F90EC9">
              <w:t> </w:t>
            </w:r>
            <w:r w:rsidRPr="00F90EC9">
              <w:t>750</w:t>
            </w:r>
            <w:r w:rsidR="001736A7" w:rsidRPr="00F90EC9">
              <w:t> </w:t>
            </w:r>
            <w:r w:rsidRPr="00F90EC9">
              <w:t>MHz (espace vers Terre), 7</w:t>
            </w:r>
            <w:r w:rsidR="00F90EC9" w:rsidRPr="00F90EC9">
              <w:t> </w:t>
            </w:r>
            <w:r w:rsidRPr="00F90EC9">
              <w:t>900</w:t>
            </w:r>
            <w:r w:rsidR="00F90EC9" w:rsidRPr="00F90EC9">
              <w:noBreakHyphen/>
            </w:r>
            <w:r w:rsidRPr="00F90EC9">
              <w:t>8</w:t>
            </w:r>
            <w:r w:rsidR="00F90EC9" w:rsidRPr="00F90EC9">
              <w:t> </w:t>
            </w:r>
            <w:r w:rsidRPr="00F90EC9">
              <w:t>025</w:t>
            </w:r>
            <w:r w:rsidR="00F90EC9" w:rsidRPr="00F90EC9">
              <w:t> </w:t>
            </w:r>
            <w:r w:rsidRPr="00F90EC9">
              <w:t>MHz (Terre vers espace), 20,2</w:t>
            </w:r>
            <w:r w:rsidR="001736A7" w:rsidRPr="00F90EC9">
              <w:t>-</w:t>
            </w:r>
            <w:r w:rsidRPr="00F90EC9">
              <w:t>21,2 GHz (espace vers Terre) et 30</w:t>
            </w:r>
            <w:r w:rsidR="001736A7" w:rsidRPr="00F90EC9">
              <w:t>-</w:t>
            </w:r>
            <w:r w:rsidRPr="00F90EC9">
              <w:t>31 GHz (Terre vers espace), moyennant l</w:t>
            </w:r>
            <w:r w:rsidR="001736A7" w:rsidRPr="00F90EC9">
              <w:t>'</w:t>
            </w:r>
            <w:r w:rsidRPr="00F90EC9">
              <w:t>adjonction d</w:t>
            </w:r>
            <w:r w:rsidR="001736A7" w:rsidRPr="00F90EC9">
              <w:t>'</w:t>
            </w:r>
            <w:r w:rsidRPr="00F90EC9">
              <w:t>une nouvelle disposition, à savoir le numéro</w:t>
            </w:r>
            <w:r w:rsidR="00F90EC9" w:rsidRPr="00F90EC9">
              <w:t> </w:t>
            </w:r>
            <w:r w:rsidRPr="00F90EC9">
              <w:rPr>
                <w:b/>
                <w:bCs/>
              </w:rPr>
              <w:t>22.2</w:t>
            </w:r>
            <w:r w:rsidRPr="00F90EC9">
              <w:rPr>
                <w:b/>
                <w:bCs/>
                <w:i/>
                <w:iCs/>
              </w:rPr>
              <w:t>bis</w:t>
            </w:r>
            <w:r w:rsidRPr="00F90EC9">
              <w:t>.</w:t>
            </w:r>
          </w:p>
        </w:tc>
      </w:tr>
      <w:tr w:rsidR="001D16D4" w:rsidRPr="00F90EC9" w14:paraId="58268C5D" w14:textId="77777777" w:rsidTr="001736A7">
        <w:tc>
          <w:tcPr>
            <w:tcW w:w="4106" w:type="dxa"/>
          </w:tcPr>
          <w:p w14:paraId="12432058" w14:textId="77777777" w:rsidR="001D16D4" w:rsidRPr="00F90EC9" w:rsidRDefault="001D16D4" w:rsidP="001D16D4">
            <w:pPr>
              <w:pStyle w:val="Tabletext"/>
              <w:rPr>
                <w:b/>
                <w:bCs/>
                <w:i/>
                <w:iCs/>
              </w:rPr>
            </w:pPr>
            <w:r w:rsidRPr="00F90EC9">
              <w:rPr>
                <w:b/>
                <w:bCs/>
                <w:i/>
                <w:iCs/>
              </w:rPr>
              <w:t>Point 7 (Question E)</w:t>
            </w:r>
          </w:p>
          <w:p w14:paraId="7AB45D04" w14:textId="1340ACD7" w:rsidR="001D16D4" w:rsidRPr="00F90EC9" w:rsidRDefault="001D16D4" w:rsidP="001D16D4">
            <w:pPr>
              <w:pStyle w:val="Tabletext"/>
            </w:pPr>
            <w:r w:rsidRPr="00F90EC9">
              <w:t>Amélioration des procédures de l</w:t>
            </w:r>
            <w:r w:rsidR="001736A7" w:rsidRPr="00F90EC9">
              <w:t>'</w:t>
            </w:r>
            <w:r w:rsidRPr="00F90EC9">
              <w:t>Appendice</w:t>
            </w:r>
            <w:r w:rsidR="001736A7" w:rsidRPr="00F90EC9">
              <w:t> </w:t>
            </w:r>
            <w:r w:rsidRPr="00F90EC9">
              <w:rPr>
                <w:b/>
                <w:bCs/>
              </w:rPr>
              <w:t>30B</w:t>
            </w:r>
            <w:r w:rsidRPr="00F90EC9">
              <w:t xml:space="preserve"> du RR pour les nouveaux États</w:t>
            </w:r>
            <w:r w:rsidR="00F90EC9" w:rsidRPr="00F90EC9">
              <w:t> </w:t>
            </w:r>
            <w:r w:rsidRPr="00F90EC9">
              <w:t>Membres</w:t>
            </w:r>
            <w:r w:rsidR="001736A7" w:rsidRPr="00F90EC9">
              <w:t>.</w:t>
            </w:r>
          </w:p>
        </w:tc>
        <w:tc>
          <w:tcPr>
            <w:tcW w:w="5523" w:type="dxa"/>
          </w:tcPr>
          <w:p w14:paraId="746169D8" w14:textId="596C6A85" w:rsidR="001D16D4" w:rsidRPr="00F90EC9" w:rsidRDefault="001D16D4" w:rsidP="001D16D4">
            <w:pPr>
              <w:pStyle w:val="Tabletext"/>
            </w:pPr>
            <w:r w:rsidRPr="00F90EC9">
              <w:rPr>
                <w:b/>
                <w:bCs/>
              </w:rPr>
              <w:t>Favorable à la Méthode E2</w:t>
            </w:r>
            <w:r w:rsidRPr="00F90EC9">
              <w:t>, qui consiste à accorder aux nouveaux États</w:t>
            </w:r>
            <w:r w:rsidR="00F90EC9" w:rsidRPr="00F90EC9">
              <w:t xml:space="preserve"> </w:t>
            </w:r>
            <w:r w:rsidRPr="00F90EC9">
              <w:t>Membres de l</w:t>
            </w:r>
            <w:r w:rsidR="001736A7" w:rsidRPr="00F90EC9">
              <w:t>'</w:t>
            </w:r>
            <w:r w:rsidRPr="00F90EC9">
              <w:t>UIT les mêmes privilèges que ceux conférés par la CMR</w:t>
            </w:r>
            <w:r w:rsidR="001736A7" w:rsidRPr="00F90EC9">
              <w:noBreakHyphen/>
            </w:r>
            <w:r w:rsidRPr="00F90EC9">
              <w:t>19 aux administrations ne disposant d</w:t>
            </w:r>
            <w:r w:rsidR="001736A7" w:rsidRPr="00F90EC9">
              <w:t>'</w:t>
            </w:r>
            <w:r w:rsidRPr="00F90EC9">
              <w:t>aucune assignation dans la Liste de l</w:t>
            </w:r>
            <w:r w:rsidR="001736A7" w:rsidRPr="00F90EC9">
              <w:t>'</w:t>
            </w:r>
            <w:r w:rsidRPr="00F90EC9">
              <w:t xml:space="preserve">Appendice </w:t>
            </w:r>
            <w:r w:rsidRPr="00F90EC9">
              <w:rPr>
                <w:b/>
                <w:bCs/>
              </w:rPr>
              <w:t>30B</w:t>
            </w:r>
            <w:r w:rsidRPr="00F90EC9">
              <w:t xml:space="preserve"> du RR ou dont des assignations font actuellement l</w:t>
            </w:r>
            <w:r w:rsidR="001736A7" w:rsidRPr="00F90EC9">
              <w:t>'</w:t>
            </w:r>
            <w:r w:rsidRPr="00F90EC9">
              <w:t>objet d</w:t>
            </w:r>
            <w:r w:rsidR="001736A7" w:rsidRPr="00F90EC9">
              <w:t>'</w:t>
            </w:r>
            <w:r w:rsidRPr="00F90EC9">
              <w:t>une coordination.</w:t>
            </w:r>
          </w:p>
        </w:tc>
      </w:tr>
      <w:tr w:rsidR="001D16D4" w:rsidRPr="00F90EC9" w14:paraId="5A2329D8" w14:textId="77777777" w:rsidTr="001736A7">
        <w:tc>
          <w:tcPr>
            <w:tcW w:w="4106" w:type="dxa"/>
          </w:tcPr>
          <w:p w14:paraId="7F5B0BDD" w14:textId="77777777" w:rsidR="001D16D4" w:rsidRPr="00F90EC9" w:rsidRDefault="001D16D4" w:rsidP="001D16D4">
            <w:pPr>
              <w:pStyle w:val="Tabletext"/>
              <w:rPr>
                <w:b/>
                <w:bCs/>
                <w:i/>
                <w:iCs/>
              </w:rPr>
            </w:pPr>
            <w:r w:rsidRPr="00F90EC9">
              <w:rPr>
                <w:b/>
                <w:bCs/>
                <w:i/>
                <w:iCs/>
              </w:rPr>
              <w:t>Point 7 (Question G)</w:t>
            </w:r>
          </w:p>
          <w:p w14:paraId="4A7D6095" w14:textId="6B0C6522" w:rsidR="001D16D4" w:rsidRPr="00F90EC9" w:rsidRDefault="001D16D4" w:rsidP="001D16D4">
            <w:pPr>
              <w:pStyle w:val="Tabletext"/>
            </w:pPr>
            <w:r w:rsidRPr="00F90EC9">
              <w:t xml:space="preserve">Révision de la Résolution </w:t>
            </w:r>
            <w:r w:rsidRPr="00F90EC9">
              <w:rPr>
                <w:b/>
                <w:bCs/>
              </w:rPr>
              <w:t>770 (CMR</w:t>
            </w:r>
            <w:r w:rsidR="001736A7" w:rsidRPr="00F90EC9">
              <w:rPr>
                <w:b/>
                <w:bCs/>
              </w:rPr>
              <w:noBreakHyphen/>
            </w:r>
            <w:r w:rsidRPr="00F90EC9">
              <w:rPr>
                <w:b/>
                <w:bCs/>
              </w:rPr>
              <w:t>19)</w:t>
            </w:r>
            <w:r w:rsidRPr="00F90EC9">
              <w:t xml:space="preserve"> pour permettre sa mise en œuvre.</w:t>
            </w:r>
          </w:p>
        </w:tc>
        <w:tc>
          <w:tcPr>
            <w:tcW w:w="5523" w:type="dxa"/>
          </w:tcPr>
          <w:p w14:paraId="46EF01C1" w14:textId="6807A381" w:rsidR="001D16D4" w:rsidRPr="00F90EC9" w:rsidRDefault="001D16D4" w:rsidP="001D16D4">
            <w:pPr>
              <w:pStyle w:val="Tabletext"/>
            </w:pPr>
            <w:r w:rsidRPr="00F90EC9">
              <w:rPr>
                <w:b/>
                <w:bCs/>
              </w:rPr>
              <w:t>Favorable à la Méthode G2</w:t>
            </w:r>
            <w:r w:rsidRPr="00F90EC9">
              <w:t xml:space="preserve">, qui consiste à modifier la Résolution </w:t>
            </w:r>
            <w:r w:rsidRPr="00F90EC9">
              <w:rPr>
                <w:b/>
                <w:bCs/>
              </w:rPr>
              <w:t>770 (CMR-19)</w:t>
            </w:r>
            <w:r w:rsidRPr="00F90EC9">
              <w:t xml:space="preserve"> pour en assurer la mise en œuvre.</w:t>
            </w:r>
          </w:p>
        </w:tc>
      </w:tr>
      <w:tr w:rsidR="001D16D4" w:rsidRPr="00F90EC9" w14:paraId="6479FF1A" w14:textId="77777777" w:rsidTr="001736A7">
        <w:tc>
          <w:tcPr>
            <w:tcW w:w="4106" w:type="dxa"/>
          </w:tcPr>
          <w:p w14:paraId="5FAD565E" w14:textId="77777777" w:rsidR="001D16D4" w:rsidRPr="00F90EC9" w:rsidRDefault="001D16D4" w:rsidP="001D16D4">
            <w:pPr>
              <w:pStyle w:val="Tabletext"/>
              <w:rPr>
                <w:b/>
                <w:bCs/>
                <w:i/>
                <w:iCs/>
              </w:rPr>
            </w:pPr>
            <w:r w:rsidRPr="00F90EC9">
              <w:rPr>
                <w:b/>
                <w:bCs/>
                <w:i/>
                <w:iCs/>
              </w:rPr>
              <w:t>Point 7 (Question H)</w:t>
            </w:r>
          </w:p>
          <w:p w14:paraId="44549071" w14:textId="2B266588" w:rsidR="001D16D4" w:rsidRPr="00F90EC9" w:rsidRDefault="001D16D4" w:rsidP="001D16D4">
            <w:pPr>
              <w:pStyle w:val="Tabletext"/>
            </w:pPr>
            <w:r w:rsidRPr="00F90EC9">
              <w:t>Amélioration de la protection des Appendices</w:t>
            </w:r>
            <w:r w:rsidR="00F90EC9" w:rsidRPr="00F90EC9">
              <w:t> </w:t>
            </w:r>
            <w:r w:rsidRPr="00F90EC9">
              <w:rPr>
                <w:b/>
                <w:bCs/>
              </w:rPr>
              <w:t>30/30A</w:t>
            </w:r>
            <w:r w:rsidRPr="00F90EC9">
              <w:t xml:space="preserve"> du RR dans les Régions 1 et 3 et de l</w:t>
            </w:r>
            <w:r w:rsidR="001736A7" w:rsidRPr="00F90EC9">
              <w:t>'</w:t>
            </w:r>
            <w:r w:rsidRPr="00F90EC9">
              <w:t xml:space="preserve">Appendice </w:t>
            </w:r>
            <w:r w:rsidRPr="00F90EC9">
              <w:rPr>
                <w:b/>
                <w:bCs/>
              </w:rPr>
              <w:t>30B</w:t>
            </w:r>
            <w:r w:rsidRPr="00F90EC9">
              <w:t xml:space="preserve"> du RR</w:t>
            </w:r>
            <w:r w:rsidR="001736A7" w:rsidRPr="00F90EC9">
              <w:t>.</w:t>
            </w:r>
          </w:p>
        </w:tc>
        <w:tc>
          <w:tcPr>
            <w:tcW w:w="5523" w:type="dxa"/>
          </w:tcPr>
          <w:p w14:paraId="7B3612BE" w14:textId="0FD5EB59" w:rsidR="001D16D4" w:rsidRPr="00F90EC9" w:rsidRDefault="001D16D4" w:rsidP="001D16D4">
            <w:pPr>
              <w:pStyle w:val="Tabletext"/>
            </w:pPr>
            <w:r w:rsidRPr="00F90EC9">
              <w:rPr>
                <w:b/>
                <w:bCs/>
              </w:rPr>
              <w:t>Favorable à la Méthode H2A</w:t>
            </w:r>
            <w:r w:rsidRPr="00F90EC9">
              <w:t>, selon laquelle aucune modification n</w:t>
            </w:r>
            <w:r w:rsidR="001736A7" w:rsidRPr="00F90EC9">
              <w:t>'</w:t>
            </w:r>
            <w:r w:rsidRPr="00F90EC9">
              <w:t>est apportée au Règlement des radiocommunications.</w:t>
            </w:r>
          </w:p>
        </w:tc>
      </w:tr>
      <w:tr w:rsidR="001D16D4" w:rsidRPr="00F90EC9" w14:paraId="45A429E9" w14:textId="77777777" w:rsidTr="001736A7">
        <w:tc>
          <w:tcPr>
            <w:tcW w:w="4106" w:type="dxa"/>
          </w:tcPr>
          <w:p w14:paraId="7653451D" w14:textId="77777777" w:rsidR="001D16D4" w:rsidRPr="00F90EC9" w:rsidRDefault="001D16D4" w:rsidP="001D16D4">
            <w:pPr>
              <w:pStyle w:val="Tabletext"/>
              <w:rPr>
                <w:b/>
                <w:bCs/>
                <w:i/>
                <w:iCs/>
              </w:rPr>
            </w:pPr>
            <w:r w:rsidRPr="00F90EC9">
              <w:rPr>
                <w:b/>
                <w:bCs/>
                <w:i/>
                <w:iCs/>
              </w:rPr>
              <w:t>Point 7 (Question I)</w:t>
            </w:r>
          </w:p>
          <w:p w14:paraId="766BE1F1" w14:textId="03E17993" w:rsidR="001D16D4" w:rsidRPr="00F90EC9" w:rsidRDefault="001D16D4" w:rsidP="001D16D4">
            <w:pPr>
              <w:pStyle w:val="Tabletext"/>
            </w:pPr>
            <w:r w:rsidRPr="00F90EC9">
              <w:t>Accords spéciaux en vertu de l</w:t>
            </w:r>
            <w:r w:rsidR="001736A7" w:rsidRPr="00F90EC9">
              <w:t>'</w:t>
            </w:r>
            <w:r w:rsidRPr="00F90EC9">
              <w:t xml:space="preserve">Appendice </w:t>
            </w:r>
            <w:r w:rsidRPr="00F90EC9">
              <w:rPr>
                <w:b/>
                <w:bCs/>
              </w:rPr>
              <w:t>30B</w:t>
            </w:r>
            <w:r w:rsidRPr="00F90EC9">
              <w:t xml:space="preserve"> du RR</w:t>
            </w:r>
            <w:r w:rsidR="001736A7" w:rsidRPr="00F90EC9">
              <w:t>.</w:t>
            </w:r>
          </w:p>
        </w:tc>
        <w:tc>
          <w:tcPr>
            <w:tcW w:w="5523" w:type="dxa"/>
          </w:tcPr>
          <w:p w14:paraId="21A31ECC" w14:textId="77777777" w:rsidR="001D16D4" w:rsidRPr="00F90EC9" w:rsidRDefault="001D16D4" w:rsidP="001D16D4">
            <w:pPr>
              <w:pStyle w:val="Tabletext"/>
            </w:pPr>
            <w:r w:rsidRPr="00F90EC9">
              <w:rPr>
                <w:b/>
                <w:bCs/>
              </w:rPr>
              <w:t>Favorable à la Méthode I2</w:t>
            </w:r>
            <w:r w:rsidRPr="00F90EC9">
              <w:t>, dans laquelle il est proposé:</w:t>
            </w:r>
          </w:p>
          <w:p w14:paraId="09E14C68" w14:textId="61C334C7" w:rsidR="001D16D4" w:rsidRPr="00F90EC9" w:rsidRDefault="001D16D4" w:rsidP="001736A7">
            <w:pPr>
              <w:pStyle w:val="Tabletext"/>
              <w:tabs>
                <w:tab w:val="clear" w:pos="284"/>
                <w:tab w:val="clear" w:pos="567"/>
                <w:tab w:val="left" w:pos="316"/>
              </w:tabs>
              <w:ind w:left="316" w:hanging="316"/>
            </w:pPr>
            <w:r w:rsidRPr="00F90EC9">
              <w:t>–</w:t>
            </w:r>
            <w:r w:rsidRPr="00F90EC9">
              <w:tab/>
              <w:t>de définir un nouveau type d</w:t>
            </w:r>
            <w:r w:rsidR="001736A7" w:rsidRPr="00F90EC9">
              <w:t>'</w:t>
            </w:r>
            <w:r w:rsidRPr="00F90EC9">
              <w:t>accord entre les administrations notificatrices d</w:t>
            </w:r>
            <w:r w:rsidR="001736A7" w:rsidRPr="00F90EC9">
              <w:t>'</w:t>
            </w:r>
            <w:r w:rsidRPr="00F90EC9">
              <w:t>un allotissement national et d</w:t>
            </w:r>
            <w:r w:rsidR="001736A7" w:rsidRPr="00F90EC9">
              <w:t>'</w:t>
            </w:r>
            <w:r w:rsidRPr="00F90EC9">
              <w:t>une assignation, respectivement. Aux termes de cet accord, l</w:t>
            </w:r>
            <w:r w:rsidR="001736A7" w:rsidRPr="00F90EC9">
              <w:t>'</w:t>
            </w:r>
            <w:r w:rsidRPr="00F90EC9">
              <w:t>administration responsable de l</w:t>
            </w:r>
            <w:r w:rsidR="001736A7" w:rsidRPr="00F90EC9">
              <w:t>'</w:t>
            </w:r>
            <w:r w:rsidRPr="00F90EC9">
              <w:t>allotissement national autorise l</w:t>
            </w:r>
            <w:r w:rsidR="001736A7" w:rsidRPr="00F90EC9">
              <w:t>'</w:t>
            </w:r>
            <w:r w:rsidRPr="00F90EC9">
              <w:t>exploitation de l</w:t>
            </w:r>
            <w:r w:rsidR="001736A7" w:rsidRPr="00F90EC9">
              <w:t>'</w:t>
            </w:r>
            <w:r w:rsidRPr="00F90EC9">
              <w:t>assignation jusqu</w:t>
            </w:r>
            <w:r w:rsidR="001736A7" w:rsidRPr="00F90EC9">
              <w:t>'</w:t>
            </w:r>
            <w:r w:rsidRPr="00F90EC9">
              <w:t>à la mise en service de son allotissement national. L</w:t>
            </w:r>
            <w:r w:rsidR="001736A7" w:rsidRPr="00F90EC9">
              <w:t>'</w:t>
            </w:r>
            <w:r w:rsidRPr="00F90EC9">
              <w:t>administration responsable de l</w:t>
            </w:r>
            <w:r w:rsidR="001736A7" w:rsidRPr="00F90EC9">
              <w:t>'</w:t>
            </w:r>
            <w:r w:rsidRPr="00F90EC9">
              <w:t>assignation s</w:t>
            </w:r>
            <w:r w:rsidR="001736A7" w:rsidRPr="00F90EC9">
              <w:t>'</w:t>
            </w:r>
            <w:r w:rsidRPr="00F90EC9">
              <w:t>engage alors (c</w:t>
            </w:r>
            <w:r w:rsidR="001736A7" w:rsidRPr="00F90EC9">
              <w:t>'</w:t>
            </w:r>
            <w:r w:rsidRPr="00F90EC9">
              <w:t>est-à-dire à compter de la date de mise en service de l</w:t>
            </w:r>
            <w:r w:rsidR="001736A7" w:rsidRPr="00F90EC9">
              <w:t>'</w:t>
            </w:r>
            <w:r w:rsidRPr="00F90EC9">
              <w:t>allotissement national) à respecter les niveaux de puissance surfacique indiqués au § 2.2 de l</w:t>
            </w:r>
            <w:r w:rsidR="001736A7" w:rsidRPr="00F90EC9">
              <w:t>'</w:t>
            </w:r>
            <w:r w:rsidRPr="00F90EC9">
              <w:t xml:space="preserve">Annexe </w:t>
            </w:r>
            <w:r w:rsidRPr="00F90EC9">
              <w:rPr>
                <w:b/>
                <w:bCs/>
              </w:rPr>
              <w:t>4</w:t>
            </w:r>
            <w:r w:rsidRPr="00F90EC9">
              <w:t xml:space="preserve"> sur le territoire de l</w:t>
            </w:r>
            <w:r w:rsidR="001736A7" w:rsidRPr="00F90EC9">
              <w:t>'</w:t>
            </w:r>
            <w:r w:rsidRPr="00F90EC9">
              <w:t>allotissement national. Étant donné que l</w:t>
            </w:r>
            <w:r w:rsidR="001736A7" w:rsidRPr="00F90EC9">
              <w:t>'</w:t>
            </w:r>
            <w:r w:rsidRPr="00F90EC9">
              <w:t>allotissement national et l</w:t>
            </w:r>
            <w:r w:rsidR="001736A7" w:rsidRPr="00F90EC9">
              <w:t>'</w:t>
            </w:r>
            <w:r w:rsidRPr="00F90EC9">
              <w:t>assignation ne fonctionneront pas simultanément sur la même fréquence dans la même zone, les brouillages mutuels ne sont pas pris en considération;</w:t>
            </w:r>
          </w:p>
          <w:p w14:paraId="233CF285" w14:textId="72792F4D" w:rsidR="001D16D4" w:rsidRPr="00F90EC9" w:rsidRDefault="001D16D4" w:rsidP="001736A7">
            <w:pPr>
              <w:pStyle w:val="Tabletext"/>
              <w:tabs>
                <w:tab w:val="clear" w:pos="284"/>
                <w:tab w:val="clear" w:pos="567"/>
                <w:tab w:val="left" w:pos="316"/>
              </w:tabs>
              <w:ind w:left="316" w:hanging="316"/>
            </w:pPr>
            <w:r w:rsidRPr="00F90EC9">
              <w:t>–</w:t>
            </w:r>
            <w:r w:rsidRPr="00F90EC9">
              <w:tab/>
              <w:t>d</w:t>
            </w:r>
            <w:r w:rsidR="001736A7" w:rsidRPr="00F90EC9">
              <w:t>'</w:t>
            </w:r>
            <w:r w:rsidRPr="00F90EC9">
              <w:t>élaborer une nouvelle Résolution autorisant l</w:t>
            </w:r>
            <w:r w:rsidR="001736A7" w:rsidRPr="00F90EC9">
              <w:t>'</w:t>
            </w:r>
            <w:r w:rsidRPr="00F90EC9">
              <w:t>administration qui a notifié un allotissement national, sous réserve des accords au titre du § 6.15 de l</w:t>
            </w:r>
            <w:r w:rsidR="001736A7" w:rsidRPr="00F90EC9">
              <w:t>'</w:t>
            </w:r>
            <w:r w:rsidRPr="00F90EC9">
              <w:t xml:space="preserve">Appendice </w:t>
            </w:r>
            <w:r w:rsidRPr="00F90EC9">
              <w:rPr>
                <w:b/>
                <w:bCs/>
              </w:rPr>
              <w:t>30B</w:t>
            </w:r>
            <w:r w:rsidRPr="00F90EC9">
              <w:t xml:space="preserve"> du RR:</w:t>
            </w:r>
          </w:p>
          <w:p w14:paraId="7430AFC1" w14:textId="020FB1C3" w:rsidR="001D16D4" w:rsidRPr="00F90EC9" w:rsidRDefault="001D16D4" w:rsidP="001736A7">
            <w:pPr>
              <w:pStyle w:val="Tabletext"/>
              <w:tabs>
                <w:tab w:val="clear" w:pos="284"/>
                <w:tab w:val="clear" w:pos="567"/>
                <w:tab w:val="clear" w:pos="851"/>
              </w:tabs>
              <w:ind w:left="741" w:hanging="425"/>
            </w:pPr>
            <w:r w:rsidRPr="00F90EC9">
              <w:t>•</w:t>
            </w:r>
            <w:r w:rsidRPr="00F90EC9">
              <w:tab/>
              <w:t>à conclure ce nouveau type d</w:t>
            </w:r>
            <w:r w:rsidR="001736A7" w:rsidRPr="00F90EC9">
              <w:t>'</w:t>
            </w:r>
            <w:r w:rsidRPr="00F90EC9">
              <w:t>accord avec l</w:t>
            </w:r>
            <w:r w:rsidR="001736A7" w:rsidRPr="00F90EC9">
              <w:t>'</w:t>
            </w:r>
            <w:r w:rsidRPr="00F90EC9">
              <w:t>administration qui a notifié les assignations concernées;</w:t>
            </w:r>
          </w:p>
          <w:p w14:paraId="0AD37E58" w14:textId="77777777" w:rsidR="001D16D4" w:rsidRPr="00F90EC9" w:rsidRDefault="001D16D4" w:rsidP="001736A7">
            <w:pPr>
              <w:pStyle w:val="Tabletext"/>
              <w:tabs>
                <w:tab w:val="clear" w:pos="284"/>
                <w:tab w:val="clear" w:pos="567"/>
                <w:tab w:val="clear" w:pos="851"/>
              </w:tabs>
              <w:ind w:left="741" w:hanging="425"/>
            </w:pPr>
            <w:r w:rsidRPr="00F90EC9">
              <w:t>•</w:t>
            </w:r>
            <w:r w:rsidRPr="00F90EC9">
              <w:tab/>
              <w:t>à demander au Bureau de mettre à jour la situation de référence sans revoir les examens précédents;</w:t>
            </w:r>
          </w:p>
          <w:p w14:paraId="23C7DE34" w14:textId="7687A240" w:rsidR="001D16D4" w:rsidRPr="00F90EC9" w:rsidRDefault="001D16D4" w:rsidP="001736A7">
            <w:pPr>
              <w:pStyle w:val="Tabletext"/>
              <w:tabs>
                <w:tab w:val="clear" w:pos="284"/>
                <w:tab w:val="clear" w:pos="567"/>
                <w:tab w:val="left" w:pos="316"/>
              </w:tabs>
              <w:ind w:left="316" w:hanging="316"/>
            </w:pPr>
            <w:r w:rsidRPr="00F90EC9">
              <w:t>–</w:t>
            </w:r>
            <w:r w:rsidRPr="00F90EC9">
              <w:tab/>
              <w:t>à demander aux administrations ayant notifié des assignations pour lesquelles les procédures de l</w:t>
            </w:r>
            <w:r w:rsidR="001736A7" w:rsidRPr="00F90EC9">
              <w:t>'</w:t>
            </w:r>
            <w:r w:rsidRPr="00F90EC9">
              <w:t xml:space="preserve">Article </w:t>
            </w:r>
            <w:r w:rsidRPr="00F90EC9">
              <w:rPr>
                <w:b/>
                <w:bCs/>
              </w:rPr>
              <w:t>6</w:t>
            </w:r>
            <w:r w:rsidRPr="00F90EC9">
              <w:t xml:space="preserve"> de l</w:t>
            </w:r>
            <w:r w:rsidR="001736A7" w:rsidRPr="00F90EC9">
              <w:t>'</w:t>
            </w:r>
            <w:r w:rsidRPr="00F90EC9">
              <w:t>Appendice</w:t>
            </w:r>
            <w:r w:rsidR="00F90EC9" w:rsidRPr="00F90EC9">
              <w:t> </w:t>
            </w:r>
            <w:r w:rsidRPr="00F90EC9">
              <w:rPr>
                <w:b/>
                <w:bCs/>
              </w:rPr>
              <w:t>30B</w:t>
            </w:r>
            <w:r w:rsidRPr="00F90EC9">
              <w:t xml:space="preserve"> du RR n</w:t>
            </w:r>
            <w:r w:rsidR="001736A7" w:rsidRPr="00F90EC9">
              <w:t>'</w:t>
            </w:r>
            <w:r w:rsidRPr="00F90EC9">
              <w:t>ont pas encore été menées à bien et qui ont été examinées par le Bureau avant la conclusion de cet accord, de faire tout ce qui est en leur pouvoir pour tenir compte de la nouvelle situation de référence de cet allotissement national</w:t>
            </w:r>
            <w:r w:rsidR="001736A7" w:rsidRPr="00F90EC9">
              <w:t>.</w:t>
            </w:r>
          </w:p>
        </w:tc>
      </w:tr>
    </w:tbl>
    <w:p w14:paraId="672DBBA6" w14:textId="1261A7F7" w:rsidR="001D16D4" w:rsidRPr="00F90EC9" w:rsidRDefault="001736A7" w:rsidP="00F90EC9">
      <w:pPr>
        <w:spacing w:before="0"/>
        <w:jc w:val="center"/>
      </w:pPr>
      <w:r w:rsidRPr="00F90EC9">
        <w:t>______________</w:t>
      </w:r>
    </w:p>
    <w:sectPr w:rsidR="001D16D4" w:rsidRPr="00F90EC9">
      <w:headerReference w:type="default" r:id="rId14"/>
      <w:footerReference w:type="even" r:id="rId15"/>
      <w:footerReference w:type="default" r:id="rId16"/>
      <w:footerReference w:type="first" r:id="rId17"/>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97315" w14:textId="77777777" w:rsidR="00CB685A" w:rsidRDefault="00CB685A">
      <w:r>
        <w:separator/>
      </w:r>
    </w:p>
  </w:endnote>
  <w:endnote w:type="continuationSeparator" w:id="0">
    <w:p w14:paraId="227C76DF" w14:textId="77777777" w:rsidR="00CB685A" w:rsidRDefault="00CB6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16F38" w14:textId="31DD1721" w:rsidR="00936D25" w:rsidRDefault="00936D25">
    <w:pPr>
      <w:rPr>
        <w:lang w:val="en-US"/>
      </w:rPr>
    </w:pPr>
    <w:r>
      <w:fldChar w:fldCharType="begin"/>
    </w:r>
    <w:r>
      <w:rPr>
        <w:lang w:val="en-US"/>
      </w:rPr>
      <w:instrText xml:space="preserve"> FILENAME \p  \* MERGEFORMAT </w:instrText>
    </w:r>
    <w:r>
      <w:fldChar w:fldCharType="separate"/>
    </w:r>
    <w:r w:rsidR="00BB1D82">
      <w:rPr>
        <w:noProof/>
        <w:lang w:val="en-US"/>
      </w:rPr>
      <w:t>Document1</w:t>
    </w:r>
    <w:r>
      <w:fldChar w:fldCharType="end"/>
    </w:r>
    <w:r>
      <w:rPr>
        <w:lang w:val="en-US"/>
      </w:rPr>
      <w:tab/>
    </w:r>
    <w:r>
      <w:fldChar w:fldCharType="begin"/>
    </w:r>
    <w:r>
      <w:instrText xml:space="preserve"> SAVEDATE \@ DD.MM.YY </w:instrText>
    </w:r>
    <w:r>
      <w:fldChar w:fldCharType="separate"/>
    </w:r>
    <w:r w:rsidR="000F6065">
      <w:rPr>
        <w:noProof/>
      </w:rPr>
      <w:t>09.11.23</w:t>
    </w:r>
    <w:r>
      <w:fldChar w:fldCharType="end"/>
    </w:r>
    <w:r>
      <w:rPr>
        <w:lang w:val="en-US"/>
      </w:rPr>
      <w:tab/>
    </w:r>
    <w:r>
      <w:fldChar w:fldCharType="begin"/>
    </w:r>
    <w:r>
      <w:instrText xml:space="preserve"> PRINTDATE \@ DD.MM.YY </w:instrText>
    </w:r>
    <w:r>
      <w:fldChar w:fldCharType="separate"/>
    </w:r>
    <w:r w:rsidR="00BB1D82">
      <w:rPr>
        <w:noProof/>
      </w:rPr>
      <w:t>05.06.03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B5B05" w14:textId="656C70B1" w:rsidR="00936D25" w:rsidRDefault="00936D25" w:rsidP="007B2C34">
    <w:pPr>
      <w:pStyle w:val="Footer"/>
      <w:rPr>
        <w:lang w:val="en-US"/>
      </w:rPr>
    </w:pPr>
    <w:r>
      <w:fldChar w:fldCharType="begin"/>
    </w:r>
    <w:r>
      <w:rPr>
        <w:lang w:val="en-US"/>
      </w:rPr>
      <w:instrText xml:space="preserve"> FILENAME \p  \* MERGEFORMAT </w:instrText>
    </w:r>
    <w:r>
      <w:fldChar w:fldCharType="separate"/>
    </w:r>
    <w:r w:rsidR="001D16D4">
      <w:rPr>
        <w:lang w:val="en-US"/>
      </w:rPr>
      <w:t>P:\FRA\ITU-R\CONF-R\CMR23\100\194F.docx</w:t>
    </w:r>
    <w:r>
      <w:fldChar w:fldCharType="end"/>
    </w:r>
    <w:r w:rsidR="001D16D4">
      <w:t xml:space="preserve"> (530631)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A6C43" w14:textId="0538E8F9" w:rsidR="00936D25" w:rsidRDefault="00936D25" w:rsidP="001A11F6">
    <w:pPr>
      <w:pStyle w:val="Footer"/>
      <w:rPr>
        <w:lang w:val="en-US"/>
      </w:rPr>
    </w:pPr>
    <w:r>
      <w:fldChar w:fldCharType="begin"/>
    </w:r>
    <w:r>
      <w:rPr>
        <w:lang w:val="en-US"/>
      </w:rPr>
      <w:instrText xml:space="preserve"> FILENAME \p  \* MERGEFORMAT </w:instrText>
    </w:r>
    <w:r>
      <w:fldChar w:fldCharType="separate"/>
    </w:r>
    <w:r w:rsidR="00D13420">
      <w:rPr>
        <w:lang w:val="en-US"/>
      </w:rPr>
      <w:t>P:\FRA\ITU-R\CONF-R\CMR23\100\194F.docx</w:t>
    </w:r>
    <w:r>
      <w:fldChar w:fldCharType="end"/>
    </w:r>
    <w:r w:rsidR="00D13420">
      <w:t xml:space="preserve"> (530631)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43E3FC" w14:textId="77777777" w:rsidR="00CB685A" w:rsidRDefault="00CB685A">
      <w:r>
        <w:rPr>
          <w:b/>
        </w:rPr>
        <w:t>_______________</w:t>
      </w:r>
    </w:p>
  </w:footnote>
  <w:footnote w:type="continuationSeparator" w:id="0">
    <w:p w14:paraId="111B1B58" w14:textId="77777777" w:rsidR="00CB685A" w:rsidRDefault="00CB68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982D6" w14:textId="77777777" w:rsidR="004F1F8E" w:rsidRDefault="004F1F8E" w:rsidP="004F1F8E">
    <w:pPr>
      <w:pStyle w:val="Header"/>
    </w:pPr>
    <w:r>
      <w:fldChar w:fldCharType="begin"/>
    </w:r>
    <w:r>
      <w:instrText xml:space="preserve"> PAGE </w:instrText>
    </w:r>
    <w:r>
      <w:fldChar w:fldCharType="separate"/>
    </w:r>
    <w:r w:rsidR="007B2C34">
      <w:rPr>
        <w:noProof/>
      </w:rPr>
      <w:t>2</w:t>
    </w:r>
    <w:r>
      <w:fldChar w:fldCharType="end"/>
    </w:r>
  </w:p>
  <w:p w14:paraId="2BBD3937" w14:textId="77777777" w:rsidR="004F1F8E" w:rsidRDefault="00225CF2" w:rsidP="00FD7AA3">
    <w:pPr>
      <w:pStyle w:val="Header"/>
    </w:pPr>
    <w:r>
      <w:t>WRC</w:t>
    </w:r>
    <w:r w:rsidR="00D3426F">
      <w:t>23</w:t>
    </w:r>
    <w:r w:rsidR="004F1F8E">
      <w:t>/</w:t>
    </w:r>
    <w:r w:rsidR="006A4B45">
      <w:t>194-</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419134011">
    <w:abstractNumId w:val="0"/>
  </w:num>
  <w:num w:numId="2" w16cid:durableId="918368669">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3522F"/>
    <w:rsid w:val="00063A1F"/>
    <w:rsid w:val="00080E2C"/>
    <w:rsid w:val="00081366"/>
    <w:rsid w:val="000863B3"/>
    <w:rsid w:val="000A4755"/>
    <w:rsid w:val="000A55AE"/>
    <w:rsid w:val="000B2E0C"/>
    <w:rsid w:val="000B3D0C"/>
    <w:rsid w:val="000F6065"/>
    <w:rsid w:val="001167B9"/>
    <w:rsid w:val="001267A0"/>
    <w:rsid w:val="0015203F"/>
    <w:rsid w:val="00160C64"/>
    <w:rsid w:val="001736A7"/>
    <w:rsid w:val="0018169B"/>
    <w:rsid w:val="0019352B"/>
    <w:rsid w:val="001960D0"/>
    <w:rsid w:val="001A11F6"/>
    <w:rsid w:val="001D16D4"/>
    <w:rsid w:val="001F17E8"/>
    <w:rsid w:val="00204306"/>
    <w:rsid w:val="00225CF2"/>
    <w:rsid w:val="00232FD2"/>
    <w:rsid w:val="0026554E"/>
    <w:rsid w:val="002A4622"/>
    <w:rsid w:val="002A6F8F"/>
    <w:rsid w:val="002B17E5"/>
    <w:rsid w:val="002C0EBF"/>
    <w:rsid w:val="002C28A4"/>
    <w:rsid w:val="002D7E0A"/>
    <w:rsid w:val="00315AFE"/>
    <w:rsid w:val="003411F6"/>
    <w:rsid w:val="003606A6"/>
    <w:rsid w:val="0036650C"/>
    <w:rsid w:val="00393ACD"/>
    <w:rsid w:val="003A583E"/>
    <w:rsid w:val="003E112B"/>
    <w:rsid w:val="003E1D1C"/>
    <w:rsid w:val="003E7B05"/>
    <w:rsid w:val="003F3719"/>
    <w:rsid w:val="003F6F2D"/>
    <w:rsid w:val="00466211"/>
    <w:rsid w:val="00483196"/>
    <w:rsid w:val="004834A9"/>
    <w:rsid w:val="004D01FC"/>
    <w:rsid w:val="004E28C3"/>
    <w:rsid w:val="004F1F8E"/>
    <w:rsid w:val="00512A32"/>
    <w:rsid w:val="005343DA"/>
    <w:rsid w:val="00560874"/>
    <w:rsid w:val="00586CF2"/>
    <w:rsid w:val="005A7C75"/>
    <w:rsid w:val="005C3768"/>
    <w:rsid w:val="005C6C3F"/>
    <w:rsid w:val="00613635"/>
    <w:rsid w:val="0062093D"/>
    <w:rsid w:val="00637ECF"/>
    <w:rsid w:val="00647B59"/>
    <w:rsid w:val="00690C7B"/>
    <w:rsid w:val="006A4B45"/>
    <w:rsid w:val="006D4724"/>
    <w:rsid w:val="006F5FA2"/>
    <w:rsid w:val="0070076C"/>
    <w:rsid w:val="00701BAE"/>
    <w:rsid w:val="00721F04"/>
    <w:rsid w:val="00730E95"/>
    <w:rsid w:val="007426B9"/>
    <w:rsid w:val="00764342"/>
    <w:rsid w:val="00774362"/>
    <w:rsid w:val="00786598"/>
    <w:rsid w:val="00790C74"/>
    <w:rsid w:val="007A04E8"/>
    <w:rsid w:val="007B2C34"/>
    <w:rsid w:val="007F282B"/>
    <w:rsid w:val="00830086"/>
    <w:rsid w:val="00851625"/>
    <w:rsid w:val="00863C0A"/>
    <w:rsid w:val="008A3120"/>
    <w:rsid w:val="008A4B97"/>
    <w:rsid w:val="008C5B8E"/>
    <w:rsid w:val="008C5DD5"/>
    <w:rsid w:val="008C7123"/>
    <w:rsid w:val="008D41BE"/>
    <w:rsid w:val="008D58D3"/>
    <w:rsid w:val="008E3BC9"/>
    <w:rsid w:val="00923064"/>
    <w:rsid w:val="00930FFD"/>
    <w:rsid w:val="00936D25"/>
    <w:rsid w:val="00941EA5"/>
    <w:rsid w:val="00964700"/>
    <w:rsid w:val="00966C16"/>
    <w:rsid w:val="0098732F"/>
    <w:rsid w:val="009A045F"/>
    <w:rsid w:val="009A6A2B"/>
    <w:rsid w:val="009C7E7C"/>
    <w:rsid w:val="00A00473"/>
    <w:rsid w:val="00A03C9B"/>
    <w:rsid w:val="00A37105"/>
    <w:rsid w:val="00A606C3"/>
    <w:rsid w:val="00A83B09"/>
    <w:rsid w:val="00A84541"/>
    <w:rsid w:val="00AE36A0"/>
    <w:rsid w:val="00B00294"/>
    <w:rsid w:val="00B3749C"/>
    <w:rsid w:val="00B64FD0"/>
    <w:rsid w:val="00BA5BD0"/>
    <w:rsid w:val="00BB1D82"/>
    <w:rsid w:val="00BC217E"/>
    <w:rsid w:val="00BD51C5"/>
    <w:rsid w:val="00BF26E7"/>
    <w:rsid w:val="00C1305F"/>
    <w:rsid w:val="00C53FCA"/>
    <w:rsid w:val="00C71DEB"/>
    <w:rsid w:val="00C76BAF"/>
    <w:rsid w:val="00C814B9"/>
    <w:rsid w:val="00CB685A"/>
    <w:rsid w:val="00CD516F"/>
    <w:rsid w:val="00D119A7"/>
    <w:rsid w:val="00D13420"/>
    <w:rsid w:val="00D25FBA"/>
    <w:rsid w:val="00D32B28"/>
    <w:rsid w:val="00D3426F"/>
    <w:rsid w:val="00D42954"/>
    <w:rsid w:val="00D66EAC"/>
    <w:rsid w:val="00D730DF"/>
    <w:rsid w:val="00D772F0"/>
    <w:rsid w:val="00D77BDC"/>
    <w:rsid w:val="00DC402B"/>
    <w:rsid w:val="00DE0932"/>
    <w:rsid w:val="00DF15E8"/>
    <w:rsid w:val="00E03A27"/>
    <w:rsid w:val="00E049F1"/>
    <w:rsid w:val="00E37A25"/>
    <w:rsid w:val="00E537FF"/>
    <w:rsid w:val="00E60CB2"/>
    <w:rsid w:val="00E6539B"/>
    <w:rsid w:val="00E70A31"/>
    <w:rsid w:val="00E723A7"/>
    <w:rsid w:val="00EA3F38"/>
    <w:rsid w:val="00EA5AB6"/>
    <w:rsid w:val="00EC7615"/>
    <w:rsid w:val="00ED16AA"/>
    <w:rsid w:val="00ED6B8D"/>
    <w:rsid w:val="00EE3D7B"/>
    <w:rsid w:val="00EF662E"/>
    <w:rsid w:val="00F10064"/>
    <w:rsid w:val="00F148F1"/>
    <w:rsid w:val="00F275C9"/>
    <w:rsid w:val="00F711A7"/>
    <w:rsid w:val="00F90EC9"/>
    <w:rsid w:val="00FA3BBF"/>
    <w:rsid w:val="00FC41F8"/>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49E93B8F"/>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styleId="Hyperlink">
    <w:name w:val="Hyperlink"/>
    <w:basedOn w:val="DefaultParagraphFont"/>
    <w:uiPriority w:val="99"/>
    <w:semiHidden/>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R23-WRC23-C-0194!!MSW-F</DPM_x0020_File_x0020_name>
    <DPM_x0020_Author xmlns="32a1a8c5-2265-4ebc-b7a0-2071e2c5c9bb" xsi:nil="false">DPM</DPM_x0020_Author>
    <DPM_x0020_Version xmlns="32a1a8c5-2265-4ebc-b7a0-2071e2c5c9bb" xsi:nil="false">DPM_2022.05.12.01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CD41C8-EE1D-491C-9068-D88D36C0B32D}">
  <ds:schemaRefs>
    <ds:schemaRef ds:uri="http://schemas.openxmlformats.org/officeDocument/2006/bibliography"/>
  </ds:schemaRefs>
</ds:datastoreItem>
</file>

<file path=customXml/itemProps2.xml><?xml version="1.0" encoding="utf-8"?>
<ds:datastoreItem xmlns:ds="http://schemas.openxmlformats.org/officeDocument/2006/customXml" ds:itemID="{6AE8CE77-DCDA-4506-B857-0F8261185DA7}">
  <ds:schemaRefs>
    <ds:schemaRef ds:uri="http://schemas.microsoft.com/sharepoint/events"/>
  </ds:schemaRefs>
</ds:datastoreItem>
</file>

<file path=customXml/itemProps3.xml><?xml version="1.0" encoding="utf-8"?>
<ds:datastoreItem xmlns:ds="http://schemas.openxmlformats.org/officeDocument/2006/customXml" ds:itemID="{BE01B48A-C87F-4302-A062-C482AA6B5B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634BEC-63FD-4F84-BAC9-6E624ED15F96}">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5.xml><?xml version="1.0" encoding="utf-8"?>
<ds:datastoreItem xmlns:ds="http://schemas.openxmlformats.org/officeDocument/2006/customXml" ds:itemID="{3FB65110-A6C8-4D90-87A5-46A4C8ABB8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4</Pages>
  <Words>1434</Words>
  <Characters>8374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R23-WRC23-C-0194!!MSW-F</vt:lpstr>
    </vt:vector>
  </TitlesOfParts>
  <Manager>Secrétariat général - Pool</Manager>
  <Company>Union internationale des télécommunications (UIT)</Company>
  <LinksUpToDate>false</LinksUpToDate>
  <CharactersWithSpaces>9789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R23-WRC23-C-0194!!MSW-F</dc:title>
  <dc:subject>Conférence mondiale des radiocommunications - 2019</dc:subject>
  <dc:creator>Documents Proposals Manager (DPM)</dc:creator>
  <cp:keywords>DPM_v2023.11.6.1_prod</cp:keywords>
  <dc:description/>
  <cp:lastModifiedBy>French</cp:lastModifiedBy>
  <cp:revision>5</cp:revision>
  <cp:lastPrinted>2003-06-05T19:34:00Z</cp:lastPrinted>
  <dcterms:created xsi:type="dcterms:W3CDTF">2023-11-09T06:58:00Z</dcterms:created>
  <dcterms:modified xsi:type="dcterms:W3CDTF">2023-11-09T17:22:00Z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