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2674DC" w14:paraId="3FB040DD" w14:textId="77777777" w:rsidTr="00F320AA">
        <w:trPr>
          <w:cantSplit/>
        </w:trPr>
        <w:tc>
          <w:tcPr>
            <w:tcW w:w="1418" w:type="dxa"/>
            <w:vAlign w:val="center"/>
          </w:tcPr>
          <w:p w14:paraId="75DE5DBD" w14:textId="77777777" w:rsidR="00F320AA" w:rsidRPr="002674DC" w:rsidRDefault="00F320AA" w:rsidP="00F320AA">
            <w:pPr>
              <w:spacing w:before="0"/>
              <w:rPr>
                <w:rFonts w:ascii="Verdana" w:hAnsi="Verdana"/>
                <w:position w:val="6"/>
              </w:rPr>
            </w:pPr>
            <w:r w:rsidRPr="002674DC">
              <w:drawing>
                <wp:inline distT="0" distB="0" distL="0" distR="0" wp14:anchorId="2D0B34B4" wp14:editId="21F1AC11">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6EBF0C6D" w14:textId="77777777" w:rsidR="00F320AA" w:rsidRPr="002674DC" w:rsidRDefault="00F320AA" w:rsidP="00F320AA">
            <w:pPr>
              <w:spacing w:before="400" w:after="48" w:line="240" w:lineRule="atLeast"/>
              <w:rPr>
                <w:rFonts w:ascii="Verdana" w:hAnsi="Verdana"/>
                <w:position w:val="6"/>
              </w:rPr>
            </w:pPr>
            <w:r w:rsidRPr="002674DC">
              <w:rPr>
                <w:rFonts w:ascii="Verdana" w:hAnsi="Verdana" w:cs="Times"/>
                <w:b/>
                <w:position w:val="6"/>
                <w:sz w:val="22"/>
                <w:szCs w:val="22"/>
              </w:rPr>
              <w:t>World Radiocommunication Conference (WRC-23)</w:t>
            </w:r>
            <w:r w:rsidRPr="002674DC">
              <w:rPr>
                <w:rFonts w:ascii="Verdana" w:hAnsi="Verdana" w:cs="Times"/>
                <w:b/>
                <w:position w:val="6"/>
                <w:sz w:val="26"/>
                <w:szCs w:val="26"/>
              </w:rPr>
              <w:br/>
            </w:r>
            <w:r w:rsidRPr="002674DC">
              <w:rPr>
                <w:rFonts w:ascii="Verdana" w:hAnsi="Verdana"/>
                <w:b/>
                <w:bCs/>
                <w:position w:val="6"/>
                <w:sz w:val="18"/>
                <w:szCs w:val="18"/>
              </w:rPr>
              <w:t>Dubai, 20 November - 15 December 2023</w:t>
            </w:r>
          </w:p>
        </w:tc>
        <w:tc>
          <w:tcPr>
            <w:tcW w:w="1951" w:type="dxa"/>
            <w:vAlign w:val="center"/>
          </w:tcPr>
          <w:p w14:paraId="324C99AD" w14:textId="77777777" w:rsidR="00F320AA" w:rsidRPr="002674DC" w:rsidRDefault="00EB0812" w:rsidP="00F320AA">
            <w:pPr>
              <w:spacing w:before="0" w:line="240" w:lineRule="atLeast"/>
            </w:pPr>
            <w:r w:rsidRPr="002674DC">
              <w:drawing>
                <wp:inline distT="0" distB="0" distL="0" distR="0" wp14:anchorId="4F62D760" wp14:editId="1DED577E">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2674DC" w14:paraId="11985D73" w14:textId="77777777">
        <w:trPr>
          <w:cantSplit/>
        </w:trPr>
        <w:tc>
          <w:tcPr>
            <w:tcW w:w="6911" w:type="dxa"/>
            <w:gridSpan w:val="2"/>
            <w:tcBorders>
              <w:bottom w:val="single" w:sz="12" w:space="0" w:color="auto"/>
            </w:tcBorders>
          </w:tcPr>
          <w:p w14:paraId="67B52EE8" w14:textId="77777777" w:rsidR="00A066F1" w:rsidRPr="002674DC"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2CD56535" w14:textId="77777777" w:rsidR="00A066F1" w:rsidRPr="002674DC" w:rsidRDefault="00A066F1" w:rsidP="00A066F1">
            <w:pPr>
              <w:spacing w:before="0" w:line="240" w:lineRule="atLeast"/>
              <w:rPr>
                <w:rFonts w:ascii="Verdana" w:hAnsi="Verdana"/>
                <w:szCs w:val="24"/>
              </w:rPr>
            </w:pPr>
          </w:p>
        </w:tc>
      </w:tr>
      <w:tr w:rsidR="00A066F1" w:rsidRPr="002674DC" w14:paraId="71F64522" w14:textId="77777777">
        <w:trPr>
          <w:cantSplit/>
        </w:trPr>
        <w:tc>
          <w:tcPr>
            <w:tcW w:w="6911" w:type="dxa"/>
            <w:gridSpan w:val="2"/>
            <w:tcBorders>
              <w:top w:val="single" w:sz="12" w:space="0" w:color="auto"/>
            </w:tcBorders>
          </w:tcPr>
          <w:p w14:paraId="1D45CB4A" w14:textId="77777777" w:rsidR="00A066F1" w:rsidRPr="002674DC"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19948670" w14:textId="77777777" w:rsidR="00A066F1" w:rsidRPr="002674DC" w:rsidRDefault="00A066F1" w:rsidP="00A066F1">
            <w:pPr>
              <w:spacing w:before="0" w:line="240" w:lineRule="atLeast"/>
              <w:rPr>
                <w:rFonts w:ascii="Verdana" w:hAnsi="Verdana"/>
                <w:sz w:val="20"/>
              </w:rPr>
            </w:pPr>
          </w:p>
        </w:tc>
      </w:tr>
      <w:tr w:rsidR="00A066F1" w:rsidRPr="002674DC" w14:paraId="3CE16729" w14:textId="77777777">
        <w:trPr>
          <w:cantSplit/>
          <w:trHeight w:val="23"/>
        </w:trPr>
        <w:tc>
          <w:tcPr>
            <w:tcW w:w="6911" w:type="dxa"/>
            <w:gridSpan w:val="2"/>
            <w:shd w:val="clear" w:color="auto" w:fill="auto"/>
          </w:tcPr>
          <w:p w14:paraId="0FC73060" w14:textId="77777777" w:rsidR="00A066F1" w:rsidRPr="002674DC"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2674DC">
              <w:rPr>
                <w:rFonts w:ascii="Verdana" w:hAnsi="Verdana"/>
                <w:sz w:val="20"/>
                <w:szCs w:val="20"/>
              </w:rPr>
              <w:t>PLENARY MEETING</w:t>
            </w:r>
          </w:p>
        </w:tc>
        <w:tc>
          <w:tcPr>
            <w:tcW w:w="3120" w:type="dxa"/>
            <w:gridSpan w:val="2"/>
          </w:tcPr>
          <w:p w14:paraId="679792A3" w14:textId="77777777" w:rsidR="00A066F1" w:rsidRPr="002674DC" w:rsidRDefault="00E55816" w:rsidP="00AA666F">
            <w:pPr>
              <w:tabs>
                <w:tab w:val="left" w:pos="851"/>
              </w:tabs>
              <w:spacing w:before="0" w:line="240" w:lineRule="atLeast"/>
              <w:rPr>
                <w:rFonts w:ascii="Verdana" w:hAnsi="Verdana"/>
                <w:sz w:val="20"/>
              </w:rPr>
            </w:pPr>
            <w:r w:rsidRPr="002674DC">
              <w:rPr>
                <w:rFonts w:ascii="Verdana" w:hAnsi="Verdana"/>
                <w:b/>
                <w:sz w:val="20"/>
              </w:rPr>
              <w:t>Document 194</w:t>
            </w:r>
            <w:r w:rsidR="00A066F1" w:rsidRPr="002674DC">
              <w:rPr>
                <w:rFonts w:ascii="Verdana" w:hAnsi="Verdana"/>
                <w:b/>
                <w:sz w:val="20"/>
              </w:rPr>
              <w:t>-</w:t>
            </w:r>
            <w:r w:rsidR="005E10C9" w:rsidRPr="002674DC">
              <w:rPr>
                <w:rFonts w:ascii="Verdana" w:hAnsi="Verdana"/>
                <w:b/>
                <w:sz w:val="20"/>
              </w:rPr>
              <w:t>E</w:t>
            </w:r>
          </w:p>
        </w:tc>
      </w:tr>
      <w:tr w:rsidR="00A066F1" w:rsidRPr="002674DC" w14:paraId="51612CB0" w14:textId="77777777">
        <w:trPr>
          <w:cantSplit/>
          <w:trHeight w:val="23"/>
        </w:trPr>
        <w:tc>
          <w:tcPr>
            <w:tcW w:w="6911" w:type="dxa"/>
            <w:gridSpan w:val="2"/>
            <w:shd w:val="clear" w:color="auto" w:fill="auto"/>
          </w:tcPr>
          <w:p w14:paraId="2E3F519C" w14:textId="77777777" w:rsidR="00A066F1" w:rsidRPr="002674DC"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4E2A8C9C" w14:textId="77777777" w:rsidR="00A066F1" w:rsidRPr="002674DC" w:rsidRDefault="00420873" w:rsidP="00A066F1">
            <w:pPr>
              <w:tabs>
                <w:tab w:val="left" w:pos="993"/>
              </w:tabs>
              <w:spacing w:before="0"/>
              <w:rPr>
                <w:rFonts w:ascii="Verdana" w:hAnsi="Verdana"/>
                <w:sz w:val="20"/>
              </w:rPr>
            </w:pPr>
            <w:r w:rsidRPr="002674DC">
              <w:rPr>
                <w:rFonts w:ascii="Verdana" w:hAnsi="Verdana"/>
                <w:b/>
                <w:sz w:val="20"/>
              </w:rPr>
              <w:t>30 October 2023</w:t>
            </w:r>
          </w:p>
        </w:tc>
      </w:tr>
      <w:tr w:rsidR="00A066F1" w:rsidRPr="002674DC" w14:paraId="48DEC02D" w14:textId="77777777">
        <w:trPr>
          <w:cantSplit/>
          <w:trHeight w:val="23"/>
        </w:trPr>
        <w:tc>
          <w:tcPr>
            <w:tcW w:w="6911" w:type="dxa"/>
            <w:gridSpan w:val="2"/>
            <w:shd w:val="clear" w:color="auto" w:fill="auto"/>
          </w:tcPr>
          <w:p w14:paraId="17FC4AFC" w14:textId="77777777" w:rsidR="00A066F1" w:rsidRPr="002674DC"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44D5605E" w14:textId="77777777" w:rsidR="00A066F1" w:rsidRPr="002674DC" w:rsidRDefault="00E55816" w:rsidP="00A066F1">
            <w:pPr>
              <w:tabs>
                <w:tab w:val="left" w:pos="993"/>
              </w:tabs>
              <w:spacing w:before="0"/>
              <w:rPr>
                <w:rFonts w:ascii="Verdana" w:hAnsi="Verdana"/>
                <w:b/>
                <w:sz w:val="20"/>
              </w:rPr>
            </w:pPr>
            <w:r w:rsidRPr="002674DC">
              <w:rPr>
                <w:rFonts w:ascii="Verdana" w:hAnsi="Verdana"/>
                <w:b/>
                <w:sz w:val="20"/>
              </w:rPr>
              <w:t>Original: English</w:t>
            </w:r>
          </w:p>
        </w:tc>
      </w:tr>
      <w:tr w:rsidR="00A066F1" w:rsidRPr="002674DC" w14:paraId="470D5C97" w14:textId="77777777" w:rsidTr="00025864">
        <w:trPr>
          <w:cantSplit/>
          <w:trHeight w:val="23"/>
        </w:trPr>
        <w:tc>
          <w:tcPr>
            <w:tcW w:w="10031" w:type="dxa"/>
            <w:gridSpan w:val="4"/>
            <w:shd w:val="clear" w:color="auto" w:fill="auto"/>
          </w:tcPr>
          <w:p w14:paraId="247F69DF" w14:textId="77777777" w:rsidR="00A066F1" w:rsidRPr="002674DC" w:rsidRDefault="00A066F1" w:rsidP="00A066F1">
            <w:pPr>
              <w:tabs>
                <w:tab w:val="left" w:pos="993"/>
              </w:tabs>
              <w:spacing w:before="0"/>
              <w:rPr>
                <w:rFonts w:ascii="Verdana" w:hAnsi="Verdana"/>
                <w:b/>
                <w:sz w:val="20"/>
              </w:rPr>
            </w:pPr>
          </w:p>
        </w:tc>
      </w:tr>
      <w:tr w:rsidR="00E55816" w:rsidRPr="002674DC" w14:paraId="03796465" w14:textId="77777777" w:rsidTr="00025864">
        <w:trPr>
          <w:cantSplit/>
          <w:trHeight w:val="23"/>
        </w:trPr>
        <w:tc>
          <w:tcPr>
            <w:tcW w:w="10031" w:type="dxa"/>
            <w:gridSpan w:val="4"/>
            <w:shd w:val="clear" w:color="auto" w:fill="auto"/>
          </w:tcPr>
          <w:p w14:paraId="66A5D8C1" w14:textId="435A9BAA" w:rsidR="00E55816" w:rsidRPr="002674DC" w:rsidRDefault="00FE790C" w:rsidP="00E55816">
            <w:pPr>
              <w:pStyle w:val="Source"/>
            </w:pPr>
            <w:r w:rsidRPr="002674DC">
              <w:t>Note by the Secretary-General</w:t>
            </w:r>
          </w:p>
        </w:tc>
      </w:tr>
      <w:tr w:rsidR="00E55816" w:rsidRPr="002674DC" w14:paraId="0AE9875E" w14:textId="77777777" w:rsidTr="00025864">
        <w:trPr>
          <w:cantSplit/>
          <w:trHeight w:val="23"/>
        </w:trPr>
        <w:tc>
          <w:tcPr>
            <w:tcW w:w="10031" w:type="dxa"/>
            <w:gridSpan w:val="4"/>
            <w:shd w:val="clear" w:color="auto" w:fill="auto"/>
          </w:tcPr>
          <w:p w14:paraId="630D28F7" w14:textId="77777777" w:rsidR="00E55816" w:rsidRPr="002674DC" w:rsidRDefault="007D5320" w:rsidP="00E55816">
            <w:pPr>
              <w:pStyle w:val="Title1"/>
            </w:pPr>
            <w:r w:rsidRPr="002674DC">
              <w:t>AGREED POSITION OF THE INTERSPUTNIK INTERNATIONAL ORGANIZATION OF SPACE COMMUNICATIONS ON THE AGENDA ITEMS OF THE WORLD RADIO CONFERENCE 2023 OF THE INTERNATIONAL TELECOMMUNICATION UNION</w:t>
            </w:r>
          </w:p>
        </w:tc>
      </w:tr>
      <w:tr w:rsidR="00E55816" w:rsidRPr="002674DC" w14:paraId="1F0CA333" w14:textId="77777777" w:rsidTr="00025864">
        <w:trPr>
          <w:cantSplit/>
          <w:trHeight w:val="23"/>
        </w:trPr>
        <w:tc>
          <w:tcPr>
            <w:tcW w:w="10031" w:type="dxa"/>
            <w:gridSpan w:val="4"/>
            <w:shd w:val="clear" w:color="auto" w:fill="auto"/>
          </w:tcPr>
          <w:p w14:paraId="3BFAC963" w14:textId="77777777" w:rsidR="00E55816" w:rsidRPr="002674DC" w:rsidRDefault="00E55816" w:rsidP="00E55816">
            <w:pPr>
              <w:pStyle w:val="Title2"/>
            </w:pPr>
          </w:p>
        </w:tc>
      </w:tr>
      <w:tr w:rsidR="00A538A6" w:rsidRPr="002674DC" w14:paraId="4959644F" w14:textId="77777777" w:rsidTr="00025864">
        <w:trPr>
          <w:cantSplit/>
          <w:trHeight w:val="23"/>
        </w:trPr>
        <w:tc>
          <w:tcPr>
            <w:tcW w:w="10031" w:type="dxa"/>
            <w:gridSpan w:val="4"/>
            <w:shd w:val="clear" w:color="auto" w:fill="auto"/>
          </w:tcPr>
          <w:p w14:paraId="42DD92E6" w14:textId="77777777" w:rsidR="00A538A6" w:rsidRPr="002674DC" w:rsidRDefault="00A538A6" w:rsidP="004B13CB">
            <w:pPr>
              <w:pStyle w:val="Agendaitem"/>
              <w:rPr>
                <w:lang w:val="en-GB"/>
              </w:rPr>
            </w:pPr>
          </w:p>
        </w:tc>
      </w:tr>
    </w:tbl>
    <w:bookmarkEnd w:id="5"/>
    <w:bookmarkEnd w:id="6"/>
    <w:p w14:paraId="056A13FA" w14:textId="51168EB2" w:rsidR="00241FA2" w:rsidRPr="002674DC" w:rsidRDefault="00FE790C" w:rsidP="00FE790C">
      <w:pPr>
        <w:spacing w:before="600"/>
      </w:pPr>
      <w:r w:rsidRPr="002674DC">
        <w:t xml:space="preserve">I have the honour to bring to the attention of the Conference, at the request of the Intersputnik International Organization of </w:t>
      </w:r>
      <w:r w:rsidR="002153A3" w:rsidRPr="002674DC">
        <w:t>S</w:t>
      </w:r>
      <w:r w:rsidRPr="002674DC">
        <w:t xml:space="preserve">pace </w:t>
      </w:r>
      <w:r w:rsidR="002153A3" w:rsidRPr="002674DC">
        <w:t>C</w:t>
      </w:r>
      <w:r w:rsidRPr="002674DC">
        <w:t>ommunications, the annexed information paper.</w:t>
      </w:r>
    </w:p>
    <w:p w14:paraId="66F767F4" w14:textId="77777777" w:rsidR="001E605C" w:rsidRPr="002674DC" w:rsidRDefault="001E605C" w:rsidP="001E605C">
      <w:pPr>
        <w:tabs>
          <w:tab w:val="clear" w:pos="1134"/>
          <w:tab w:val="clear" w:pos="1871"/>
          <w:tab w:val="clear" w:pos="2268"/>
          <w:tab w:val="center" w:pos="6804"/>
        </w:tabs>
        <w:spacing w:before="960"/>
      </w:pPr>
      <w:r w:rsidRPr="002674DC">
        <w:tab/>
        <w:t>Doreen Bogdan-Martin</w:t>
      </w:r>
      <w:r w:rsidRPr="002674DC">
        <w:rPr>
          <w:szCs w:val="24"/>
        </w:rPr>
        <w:br/>
      </w:r>
      <w:r w:rsidRPr="002674DC">
        <w:tab/>
        <w:t>Secretary-General</w:t>
      </w:r>
    </w:p>
    <w:p w14:paraId="142EEAEE" w14:textId="77777777" w:rsidR="001E605C" w:rsidRPr="002674DC" w:rsidRDefault="001E605C" w:rsidP="00FE790C">
      <w:pPr>
        <w:spacing w:before="600"/>
      </w:pPr>
    </w:p>
    <w:p w14:paraId="518D192A" w14:textId="36DA8D31" w:rsidR="00187BD9" w:rsidRPr="002674DC" w:rsidRDefault="00187BD9" w:rsidP="00A05EC8">
      <w:pPr>
        <w:pStyle w:val="Heading1"/>
        <w:rPr>
          <w:bCs/>
        </w:rPr>
      </w:pPr>
      <w:r w:rsidRPr="002674DC">
        <w:br w:type="page"/>
      </w:r>
    </w:p>
    <w:p w14:paraId="0DCB8408" w14:textId="77777777" w:rsidR="00DD1747" w:rsidRPr="002674DC" w:rsidRDefault="00DD1747" w:rsidP="00892DB2">
      <w:pPr>
        <w:pStyle w:val="Annextitle"/>
      </w:pPr>
      <w:r w:rsidRPr="002674DC">
        <w:lastRenderedPageBreak/>
        <w:t>AGREED POSITION OF THE INTERSPUTNIK INTERNATIONAL ORGANIZATION OF SPACE COMMUNICATIONS ON THE AGENDA ITEMS OF THE WORLD RADIO CONFERENCE 2023 OF THE INTERNATIONAL TELECOMMUNICATION UNION</w:t>
      </w:r>
    </w:p>
    <w:p w14:paraId="49D5F142" w14:textId="2774342B" w:rsidR="001E605C" w:rsidRPr="002674DC" w:rsidRDefault="00A05EC8" w:rsidP="00A05EC8">
      <w:pPr>
        <w:tabs>
          <w:tab w:val="clear" w:pos="1134"/>
          <w:tab w:val="clear" w:pos="1871"/>
          <w:tab w:val="clear" w:pos="2268"/>
        </w:tabs>
        <w:overflowPunct/>
        <w:autoSpaceDE/>
        <w:autoSpaceDN/>
        <w:adjustRightInd/>
        <w:spacing w:before="0"/>
        <w:textAlignment w:val="auto"/>
      </w:pPr>
      <w:r w:rsidRPr="002674DC">
        <w:t xml:space="preserve">This document contains the agreed position of the Intersputnik International Organization of Space Communications (IOCS) (Intersputnik) on the agenda items of the World Radiocommunication Conference </w:t>
      </w:r>
      <w:r w:rsidR="006A140C" w:rsidRPr="002674DC">
        <w:t xml:space="preserve">2023 </w:t>
      </w:r>
      <w:r w:rsidRPr="002674DC">
        <w:t>(WRC</w:t>
      </w:r>
      <w:r w:rsidR="00892DB2" w:rsidRPr="002674DC">
        <w:noBreakHyphen/>
      </w:r>
      <w:r w:rsidR="006A140C" w:rsidRPr="002674DC">
        <w:t>23</w:t>
      </w:r>
      <w:r w:rsidRPr="002674DC">
        <w:t>) of the International Telecommunication Union (ITU), related to satellite communications and other activities of the Organization (Intersputnik Position).</w:t>
      </w:r>
    </w:p>
    <w:p w14:paraId="7C8E0BC0" w14:textId="77777777" w:rsidR="00A05EC8" w:rsidRPr="002674DC" w:rsidRDefault="00A05EC8" w:rsidP="00A05EC8">
      <w:pPr>
        <w:pStyle w:val="Heading1"/>
      </w:pPr>
      <w:r w:rsidRPr="002674DC">
        <w:t>1</w:t>
      </w:r>
      <w:r w:rsidRPr="002674DC">
        <w:tab/>
        <w:t>Background on Intersputnik</w:t>
      </w:r>
    </w:p>
    <w:p w14:paraId="382D3E10" w14:textId="27CCAF5D" w:rsidR="00A05EC8" w:rsidRPr="002674DC" w:rsidRDefault="001A03ED" w:rsidP="001A03ED">
      <w:r w:rsidRPr="002674DC">
        <w:t>The Intersputnik International Organization of Space Communications, founded under the Agreement on the establishment of the Intersputnik international system and organization of space communications signed on 15 November 1971, is an international intergovernmental organization, the mission of which is to contribute to the strengthening and development of economic, scientific, technical, cultural and other relations by communications, radio and television broadcasting via satellites and to ensure cooperation and coordination of efforts in the design, establishment, operation and development of the Intersputnik international satellite telecommunications system.</w:t>
      </w:r>
    </w:p>
    <w:p w14:paraId="3AA93235" w14:textId="77777777" w:rsidR="00B4085B" w:rsidRPr="002674DC" w:rsidRDefault="00B4085B" w:rsidP="003B4D6E">
      <w:pPr>
        <w:pStyle w:val="Heading1"/>
      </w:pPr>
      <w:r w:rsidRPr="002674DC">
        <w:t>2</w:t>
      </w:r>
      <w:r w:rsidRPr="002674DC">
        <w:tab/>
        <w:t>Intersputnik Position for the WRC-23</w:t>
      </w:r>
    </w:p>
    <w:p w14:paraId="05E7CB4A" w14:textId="6F78F2DA" w:rsidR="00B4085B" w:rsidRPr="002674DC" w:rsidRDefault="00B4085B" w:rsidP="00A05EC8">
      <w:r w:rsidRPr="002674DC">
        <w:t xml:space="preserve">The Intersputnik Position was approved by the Intersputnik Operations Committee in accordance with Intersputnik rules and procedures. </w:t>
      </w:r>
      <w:r w:rsidRPr="002674DC">
        <w:rPr>
          <w:b/>
          <w:bCs/>
        </w:rPr>
        <w:t>This position however does not reflect the unanimous position of the Signatories of the Intersputnik IOSC on the agenda items of WRC-23</w:t>
      </w:r>
      <w:r w:rsidRPr="002674DC">
        <w:t>.</w:t>
      </w:r>
    </w:p>
    <w:p w14:paraId="26C54D2F" w14:textId="27E31050" w:rsidR="0063594D" w:rsidRPr="002674DC" w:rsidRDefault="0063594D" w:rsidP="0063594D">
      <w:pPr>
        <w:tabs>
          <w:tab w:val="clear" w:pos="1134"/>
          <w:tab w:val="clear" w:pos="1871"/>
          <w:tab w:val="clear" w:pos="2268"/>
        </w:tabs>
        <w:overflowPunct/>
        <w:autoSpaceDE/>
        <w:autoSpaceDN/>
        <w:adjustRightInd/>
        <w:spacing w:before="0"/>
        <w:textAlignment w:val="auto"/>
      </w:pPr>
      <w:r w:rsidRPr="002674DC">
        <w:br w:type="page"/>
      </w:r>
    </w:p>
    <w:p w14:paraId="5A27F3BD" w14:textId="7E6260B3" w:rsidR="00B4085B" w:rsidRPr="002674DC" w:rsidRDefault="00B4085B" w:rsidP="00253C2C">
      <w:r w:rsidRPr="002674DC">
        <w:lastRenderedPageBreak/>
        <w:t>The table below summari</w:t>
      </w:r>
      <w:r w:rsidR="003B4D6E" w:rsidRPr="002674DC">
        <w:t>zes</w:t>
      </w:r>
      <w:r w:rsidRPr="002674DC">
        <w:t xml:space="preserve"> the position of Intersputnik on selected Agenda Items:</w:t>
      </w:r>
    </w:p>
    <w:p w14:paraId="4D613029" w14:textId="77777777" w:rsidR="00B4085B" w:rsidRPr="002674DC" w:rsidRDefault="00B4085B" w:rsidP="00253C2C"/>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3114"/>
        <w:gridCol w:w="6662"/>
      </w:tblGrid>
      <w:tr w:rsidR="00B4085B" w:rsidRPr="002674DC" w14:paraId="13632448" w14:textId="77777777" w:rsidTr="008B1F69">
        <w:trPr>
          <w:tblHeader/>
          <w:jc w:val="center"/>
        </w:trPr>
        <w:tc>
          <w:tcPr>
            <w:tcW w:w="3114" w:type="dxa"/>
            <w:vAlign w:val="center"/>
          </w:tcPr>
          <w:p w14:paraId="5B6D8D53" w14:textId="77777777" w:rsidR="00B4085B" w:rsidRPr="002674DC" w:rsidRDefault="00B4085B" w:rsidP="00B4085B">
            <w:pPr>
              <w:tabs>
                <w:tab w:val="clear" w:pos="1134"/>
                <w:tab w:val="clear" w:pos="1871"/>
                <w:tab w:val="clear" w:pos="2268"/>
              </w:tabs>
              <w:overflowPunct/>
              <w:autoSpaceDE/>
              <w:autoSpaceDN/>
              <w:adjustRightInd/>
              <w:spacing w:before="0" w:after="200" w:line="276" w:lineRule="auto"/>
              <w:jc w:val="center"/>
              <w:textAlignment w:val="auto"/>
              <w:rPr>
                <w:rFonts w:eastAsia="Calibri"/>
                <w:b/>
                <w:szCs w:val="24"/>
                <w:lang w:eastAsia="ru-RU"/>
              </w:rPr>
            </w:pPr>
            <w:r w:rsidRPr="002674DC">
              <w:rPr>
                <w:rFonts w:eastAsia="Calibri"/>
                <w:b/>
                <w:szCs w:val="24"/>
                <w:lang w:eastAsia="ru-RU"/>
              </w:rPr>
              <w:t>Agenda Item (AI)</w:t>
            </w:r>
          </w:p>
        </w:tc>
        <w:tc>
          <w:tcPr>
            <w:tcW w:w="6662" w:type="dxa"/>
            <w:vAlign w:val="center"/>
          </w:tcPr>
          <w:p w14:paraId="14D390B5" w14:textId="77777777" w:rsidR="00B4085B" w:rsidRPr="002674DC" w:rsidRDefault="00B4085B" w:rsidP="00B4085B">
            <w:pPr>
              <w:tabs>
                <w:tab w:val="clear" w:pos="1134"/>
                <w:tab w:val="clear" w:pos="1871"/>
                <w:tab w:val="clear" w:pos="2268"/>
              </w:tabs>
              <w:overflowPunct/>
              <w:autoSpaceDE/>
              <w:autoSpaceDN/>
              <w:adjustRightInd/>
              <w:spacing w:before="0" w:after="200" w:line="276" w:lineRule="auto"/>
              <w:jc w:val="center"/>
              <w:textAlignment w:val="auto"/>
              <w:rPr>
                <w:rFonts w:eastAsia="Calibri"/>
                <w:b/>
                <w:szCs w:val="24"/>
                <w:lang w:eastAsia="ru-RU"/>
              </w:rPr>
            </w:pPr>
            <w:r w:rsidRPr="002674DC">
              <w:rPr>
                <w:rFonts w:eastAsia="Calibri"/>
                <w:b/>
                <w:szCs w:val="24"/>
                <w:lang w:eastAsia="ru-RU"/>
              </w:rPr>
              <w:t>Intersputnik Position</w:t>
            </w:r>
          </w:p>
        </w:tc>
      </w:tr>
      <w:tr w:rsidR="00B4085B" w:rsidRPr="002674DC" w14:paraId="344CBB2C" w14:textId="77777777" w:rsidTr="008B1F69">
        <w:trPr>
          <w:jc w:val="center"/>
        </w:trPr>
        <w:tc>
          <w:tcPr>
            <w:tcW w:w="3114" w:type="dxa"/>
          </w:tcPr>
          <w:p w14:paraId="5D739E4B" w14:textId="77777777" w:rsidR="00B4085B" w:rsidRPr="002674DC" w:rsidRDefault="00B4085B" w:rsidP="003B4D6E">
            <w:pPr>
              <w:tabs>
                <w:tab w:val="clear" w:pos="1134"/>
                <w:tab w:val="clear" w:pos="1871"/>
                <w:tab w:val="clear" w:pos="2268"/>
              </w:tabs>
              <w:overflowPunct/>
              <w:autoSpaceDE/>
              <w:autoSpaceDN/>
              <w:adjustRightInd/>
              <w:textAlignment w:val="auto"/>
              <w:rPr>
                <w:rFonts w:eastAsia="Calibri"/>
                <w:b/>
                <w:i/>
                <w:szCs w:val="24"/>
                <w:lang w:eastAsia="ru-RU"/>
              </w:rPr>
            </w:pPr>
            <w:r w:rsidRPr="002674DC">
              <w:rPr>
                <w:rFonts w:eastAsia="Calibri"/>
                <w:b/>
                <w:i/>
                <w:szCs w:val="24"/>
                <w:lang w:eastAsia="ru-RU"/>
              </w:rPr>
              <w:t>AI 1.2</w:t>
            </w:r>
          </w:p>
          <w:p w14:paraId="378C8FAB" w14:textId="3AC80F9C" w:rsidR="00B4085B" w:rsidRPr="002674DC" w:rsidRDefault="00B4085B" w:rsidP="003B4D6E">
            <w:pPr>
              <w:rPr>
                <w:rFonts w:eastAsia="Calibri"/>
                <w:lang w:eastAsia="ru-RU"/>
              </w:rPr>
            </w:pPr>
            <w:r w:rsidRPr="002674DC">
              <w:rPr>
                <w:rFonts w:eastAsia="Calibri"/>
                <w:lang w:eastAsia="ru-RU"/>
              </w:rPr>
              <w:t>matters of International Mobile Telecommunications, including possible additional allocations to the mobile service on a primary basis for certain frequency bands in accordance with Resolution</w:t>
            </w:r>
            <w:r w:rsidR="00892DB2" w:rsidRPr="002674DC">
              <w:rPr>
                <w:rFonts w:eastAsia="Calibri"/>
                <w:lang w:eastAsia="ru-RU"/>
              </w:rPr>
              <w:t> </w:t>
            </w:r>
            <w:r w:rsidRPr="002674DC">
              <w:rPr>
                <w:rFonts w:eastAsia="Calibri"/>
                <w:b/>
                <w:bCs/>
                <w:lang w:eastAsia="ru-RU"/>
              </w:rPr>
              <w:t>245</w:t>
            </w:r>
            <w:r w:rsidRPr="002674DC">
              <w:rPr>
                <w:rFonts w:eastAsia="Calibri"/>
                <w:lang w:eastAsia="ru-RU"/>
              </w:rPr>
              <w:t xml:space="preserve"> </w:t>
            </w:r>
            <w:r w:rsidRPr="002674DC">
              <w:rPr>
                <w:rFonts w:eastAsia="Calibri"/>
                <w:b/>
                <w:bCs/>
                <w:lang w:eastAsia="ru-RU"/>
              </w:rPr>
              <w:t>(WRC-19)</w:t>
            </w:r>
            <w:r w:rsidRPr="002674DC">
              <w:rPr>
                <w:rFonts w:eastAsia="Calibri"/>
                <w:lang w:eastAsia="ru-RU"/>
              </w:rPr>
              <w:t>.</w:t>
            </w:r>
          </w:p>
        </w:tc>
        <w:tc>
          <w:tcPr>
            <w:tcW w:w="6662" w:type="dxa"/>
          </w:tcPr>
          <w:p w14:paraId="26706698" w14:textId="3C637626" w:rsidR="00B4085B" w:rsidRPr="002674DC" w:rsidRDefault="00B4085B" w:rsidP="003B4D6E">
            <w:pPr>
              <w:tabs>
                <w:tab w:val="clear" w:pos="1134"/>
                <w:tab w:val="clear" w:pos="1871"/>
                <w:tab w:val="clear" w:pos="2268"/>
              </w:tabs>
              <w:overflowPunct/>
              <w:autoSpaceDE/>
              <w:autoSpaceDN/>
              <w:adjustRightInd/>
              <w:textAlignment w:val="auto"/>
              <w:rPr>
                <w:rFonts w:eastAsia="Calibri"/>
                <w:i/>
                <w:szCs w:val="24"/>
                <w:u w:val="single"/>
                <w:lang w:eastAsia="ru-RU"/>
              </w:rPr>
            </w:pPr>
            <w:r w:rsidRPr="002674DC">
              <w:rPr>
                <w:rFonts w:eastAsia="Calibri"/>
                <w:i/>
                <w:szCs w:val="24"/>
                <w:u w:val="single"/>
                <w:lang w:eastAsia="ru-RU"/>
              </w:rPr>
              <w:t>Band</w:t>
            </w:r>
            <w:r w:rsidR="00892DB2" w:rsidRPr="002674DC">
              <w:rPr>
                <w:rFonts w:eastAsia="Calibri"/>
                <w:i/>
                <w:szCs w:val="24"/>
                <w:u w:val="single"/>
                <w:lang w:eastAsia="ru-RU"/>
              </w:rPr>
              <w:t> </w:t>
            </w:r>
            <w:r w:rsidRPr="002674DC">
              <w:rPr>
                <w:rFonts w:eastAsia="Calibri"/>
                <w:i/>
                <w:szCs w:val="24"/>
                <w:u w:val="single"/>
                <w:lang w:eastAsia="ru-RU"/>
              </w:rPr>
              <w:t>3 − 3</w:t>
            </w:r>
            <w:r w:rsidR="00892DB2" w:rsidRPr="002674DC">
              <w:rPr>
                <w:rFonts w:eastAsia="Calibri"/>
                <w:i/>
                <w:szCs w:val="24"/>
                <w:u w:val="single"/>
                <w:lang w:eastAsia="ru-RU"/>
              </w:rPr>
              <w:t> </w:t>
            </w:r>
            <w:r w:rsidRPr="002674DC">
              <w:rPr>
                <w:rFonts w:eastAsia="Calibri"/>
                <w:i/>
                <w:szCs w:val="24"/>
                <w:u w:val="single"/>
                <w:lang w:eastAsia="ru-RU"/>
              </w:rPr>
              <w:t>600−3</w:t>
            </w:r>
            <w:r w:rsidR="00892DB2" w:rsidRPr="002674DC">
              <w:rPr>
                <w:rFonts w:eastAsia="Calibri"/>
                <w:i/>
                <w:szCs w:val="24"/>
                <w:u w:val="single"/>
                <w:lang w:eastAsia="ru-RU"/>
              </w:rPr>
              <w:t> </w:t>
            </w:r>
            <w:r w:rsidRPr="002674DC">
              <w:rPr>
                <w:rFonts w:eastAsia="Calibri"/>
                <w:i/>
                <w:szCs w:val="24"/>
                <w:u w:val="single"/>
                <w:lang w:eastAsia="ru-RU"/>
              </w:rPr>
              <w:t>800</w:t>
            </w:r>
            <w:r w:rsidR="00892DB2" w:rsidRPr="002674DC">
              <w:rPr>
                <w:rFonts w:eastAsia="Calibri"/>
                <w:i/>
                <w:szCs w:val="24"/>
                <w:u w:val="single"/>
                <w:lang w:eastAsia="ru-RU"/>
              </w:rPr>
              <w:t> </w:t>
            </w:r>
            <w:r w:rsidRPr="002674DC">
              <w:rPr>
                <w:rFonts w:eastAsia="Calibri"/>
                <w:i/>
                <w:szCs w:val="24"/>
                <w:u w:val="single"/>
                <w:lang w:eastAsia="ru-RU"/>
              </w:rPr>
              <w:t>MHz (Region</w:t>
            </w:r>
            <w:r w:rsidR="00892DB2" w:rsidRPr="002674DC">
              <w:rPr>
                <w:rFonts w:eastAsia="Calibri"/>
                <w:i/>
                <w:szCs w:val="24"/>
                <w:u w:val="single"/>
                <w:lang w:eastAsia="ru-RU"/>
              </w:rPr>
              <w:t> </w:t>
            </w:r>
            <w:r w:rsidRPr="002674DC">
              <w:rPr>
                <w:rFonts w:eastAsia="Calibri"/>
                <w:i/>
                <w:szCs w:val="24"/>
                <w:u w:val="single"/>
                <w:lang w:eastAsia="ru-RU"/>
              </w:rPr>
              <w:t>2)</w:t>
            </w:r>
            <w:r w:rsidRPr="002674DC">
              <w:rPr>
                <w:rFonts w:eastAsia="Calibri"/>
                <w:iCs/>
                <w:szCs w:val="24"/>
                <w:lang w:eastAsia="ru-RU"/>
              </w:rPr>
              <w:t>:</w:t>
            </w:r>
          </w:p>
          <w:p w14:paraId="411C9608" w14:textId="2C44E2CB" w:rsidR="00B4085B" w:rsidRPr="002674DC" w:rsidRDefault="00B4085B" w:rsidP="003B4D6E">
            <w:pPr>
              <w:rPr>
                <w:rFonts w:eastAsia="Calibri"/>
                <w:b/>
                <w:i/>
                <w:lang w:eastAsia="ru-RU"/>
              </w:rPr>
            </w:pPr>
            <w:r w:rsidRPr="002674DC">
              <w:rPr>
                <w:rFonts w:eastAsia="Calibri"/>
                <w:b/>
                <w:lang w:eastAsia="ru-RU"/>
              </w:rPr>
              <w:t>Support Method 3A</w:t>
            </w:r>
            <w:r w:rsidRPr="002674DC">
              <w:rPr>
                <w:rFonts w:eastAsia="Calibri"/>
                <w:lang w:eastAsia="ru-RU"/>
              </w:rPr>
              <w:t>, implying the exclusion of Resolution</w:t>
            </w:r>
            <w:r w:rsidR="00892DB2" w:rsidRPr="002674DC">
              <w:rPr>
                <w:rFonts w:eastAsia="Calibri"/>
                <w:lang w:eastAsia="ru-RU"/>
              </w:rPr>
              <w:t> </w:t>
            </w:r>
            <w:r w:rsidRPr="002674DC">
              <w:rPr>
                <w:rFonts w:eastAsia="Calibri"/>
                <w:b/>
                <w:lang w:eastAsia="ru-RU"/>
              </w:rPr>
              <w:t>245</w:t>
            </w:r>
            <w:r w:rsidRPr="002674DC">
              <w:rPr>
                <w:rFonts w:eastAsia="Calibri"/>
                <w:lang w:eastAsia="ru-RU"/>
              </w:rPr>
              <w:t xml:space="preserve"> </w:t>
            </w:r>
            <w:r w:rsidRPr="002674DC">
              <w:rPr>
                <w:rFonts w:eastAsia="Calibri"/>
                <w:b/>
                <w:lang w:eastAsia="ru-RU"/>
              </w:rPr>
              <w:t>(WRC</w:t>
            </w:r>
            <w:r w:rsidR="00892DB2" w:rsidRPr="002674DC">
              <w:rPr>
                <w:rFonts w:eastAsia="Calibri"/>
                <w:b/>
                <w:lang w:eastAsia="ru-RU"/>
              </w:rPr>
              <w:noBreakHyphen/>
            </w:r>
            <w:r w:rsidRPr="002674DC">
              <w:rPr>
                <w:rFonts w:eastAsia="Calibri"/>
                <w:b/>
                <w:lang w:eastAsia="ru-RU"/>
              </w:rPr>
              <w:t>19)</w:t>
            </w:r>
            <w:r w:rsidRPr="002674DC">
              <w:rPr>
                <w:rFonts w:eastAsia="Calibri"/>
                <w:lang w:eastAsia="ru-RU"/>
              </w:rPr>
              <w:t xml:space="preserve"> without additional changes to the Radio Regulations (RR).</w:t>
            </w:r>
          </w:p>
          <w:p w14:paraId="00B48F52" w14:textId="4365588C" w:rsidR="00B4085B" w:rsidRPr="002674DC" w:rsidRDefault="00B4085B" w:rsidP="003B4D6E">
            <w:pPr>
              <w:pBdr>
                <w:top w:val="nil"/>
                <w:left w:val="nil"/>
                <w:bottom w:val="nil"/>
                <w:right w:val="nil"/>
                <w:between w:val="nil"/>
              </w:pBdr>
              <w:tabs>
                <w:tab w:val="clear" w:pos="1134"/>
                <w:tab w:val="clear" w:pos="1871"/>
                <w:tab w:val="clear" w:pos="2268"/>
              </w:tabs>
              <w:overflowPunct/>
              <w:autoSpaceDE/>
              <w:autoSpaceDN/>
              <w:adjustRightInd/>
              <w:textAlignment w:val="auto"/>
              <w:rPr>
                <w:rFonts w:eastAsia="Calibri"/>
                <w:i/>
                <w:color w:val="000000"/>
                <w:szCs w:val="24"/>
                <w:u w:val="single"/>
                <w:lang w:eastAsia="ru-RU"/>
              </w:rPr>
            </w:pPr>
            <w:r w:rsidRPr="002674DC">
              <w:rPr>
                <w:rFonts w:eastAsia="Calibri"/>
                <w:i/>
                <w:color w:val="000000"/>
                <w:szCs w:val="24"/>
                <w:u w:val="single"/>
                <w:lang w:eastAsia="ru-RU"/>
              </w:rPr>
              <w:t>Band</w:t>
            </w:r>
            <w:r w:rsidR="00892DB2" w:rsidRPr="002674DC">
              <w:rPr>
                <w:rFonts w:eastAsia="Calibri"/>
                <w:i/>
                <w:color w:val="000000"/>
                <w:szCs w:val="24"/>
                <w:u w:val="single"/>
                <w:lang w:eastAsia="ru-RU"/>
              </w:rPr>
              <w:t> </w:t>
            </w:r>
            <w:r w:rsidRPr="002674DC">
              <w:rPr>
                <w:rFonts w:eastAsia="Calibri"/>
                <w:i/>
                <w:color w:val="000000"/>
                <w:szCs w:val="24"/>
                <w:u w:val="single"/>
                <w:lang w:eastAsia="ru-RU"/>
              </w:rPr>
              <w:t>4 − 6</w:t>
            </w:r>
            <w:r w:rsidR="00892DB2" w:rsidRPr="002674DC">
              <w:rPr>
                <w:rFonts w:eastAsia="Calibri"/>
                <w:i/>
                <w:color w:val="000000"/>
                <w:szCs w:val="24"/>
                <w:u w:val="single"/>
                <w:lang w:eastAsia="ru-RU"/>
              </w:rPr>
              <w:t> </w:t>
            </w:r>
            <w:r w:rsidRPr="002674DC">
              <w:rPr>
                <w:rFonts w:eastAsia="Calibri"/>
                <w:i/>
                <w:color w:val="000000"/>
                <w:szCs w:val="24"/>
                <w:u w:val="single"/>
                <w:lang w:eastAsia="ru-RU"/>
              </w:rPr>
              <w:t>425−7</w:t>
            </w:r>
            <w:r w:rsidR="00892DB2" w:rsidRPr="002674DC">
              <w:rPr>
                <w:rFonts w:eastAsia="Calibri"/>
                <w:i/>
                <w:color w:val="000000"/>
                <w:szCs w:val="24"/>
                <w:u w:val="single"/>
                <w:lang w:eastAsia="ru-RU"/>
              </w:rPr>
              <w:t> </w:t>
            </w:r>
            <w:r w:rsidRPr="002674DC">
              <w:rPr>
                <w:rFonts w:eastAsia="Calibri"/>
                <w:i/>
                <w:color w:val="000000"/>
                <w:szCs w:val="24"/>
                <w:u w:val="single"/>
                <w:lang w:eastAsia="ru-RU"/>
              </w:rPr>
              <w:t>025</w:t>
            </w:r>
            <w:r w:rsidR="00892DB2" w:rsidRPr="002674DC">
              <w:rPr>
                <w:rFonts w:eastAsia="Calibri"/>
                <w:i/>
                <w:color w:val="000000"/>
                <w:szCs w:val="24"/>
                <w:u w:val="single"/>
                <w:lang w:eastAsia="ru-RU"/>
              </w:rPr>
              <w:t> </w:t>
            </w:r>
            <w:r w:rsidRPr="002674DC">
              <w:rPr>
                <w:rFonts w:eastAsia="Calibri"/>
                <w:i/>
                <w:color w:val="000000"/>
                <w:szCs w:val="24"/>
                <w:u w:val="single"/>
                <w:lang w:eastAsia="ru-RU"/>
              </w:rPr>
              <w:t>MHz (Region</w:t>
            </w:r>
            <w:r w:rsidR="00892DB2" w:rsidRPr="002674DC">
              <w:rPr>
                <w:rFonts w:eastAsia="Calibri"/>
                <w:i/>
                <w:color w:val="000000"/>
                <w:szCs w:val="24"/>
                <w:u w:val="single"/>
                <w:lang w:eastAsia="ru-RU"/>
              </w:rPr>
              <w:t> </w:t>
            </w:r>
            <w:r w:rsidRPr="002674DC">
              <w:rPr>
                <w:rFonts w:eastAsia="Calibri"/>
                <w:i/>
                <w:color w:val="000000"/>
                <w:szCs w:val="24"/>
                <w:u w:val="single"/>
                <w:lang w:eastAsia="ru-RU"/>
              </w:rPr>
              <w:t>1)</w:t>
            </w:r>
            <w:r w:rsidRPr="002674DC">
              <w:rPr>
                <w:rFonts w:eastAsia="Calibri"/>
                <w:iCs/>
                <w:color w:val="000000"/>
                <w:szCs w:val="24"/>
                <w:lang w:eastAsia="ru-RU"/>
              </w:rPr>
              <w:t>:</w:t>
            </w:r>
          </w:p>
          <w:p w14:paraId="29EAEB2C" w14:textId="57ED31B1" w:rsidR="00B4085B" w:rsidRPr="002674DC" w:rsidRDefault="00B4085B" w:rsidP="003B4D6E">
            <w:pPr>
              <w:rPr>
                <w:rFonts w:eastAsia="Calibri"/>
                <w:sz w:val="28"/>
                <w:szCs w:val="28"/>
                <w:lang w:eastAsia="ru-RU"/>
              </w:rPr>
            </w:pPr>
            <w:r w:rsidRPr="002674DC">
              <w:rPr>
                <w:rFonts w:eastAsia="Calibri"/>
                <w:b/>
                <w:lang w:eastAsia="ru-RU"/>
              </w:rPr>
              <w:t>Support Method 4D</w:t>
            </w:r>
            <w:r w:rsidRPr="002674DC">
              <w:rPr>
                <w:rFonts w:eastAsia="Calibri"/>
                <w:lang w:eastAsia="ru-RU"/>
              </w:rPr>
              <w:t xml:space="preserve"> - to define the frequency band 6</w:t>
            </w:r>
            <w:r w:rsidR="00892DB2" w:rsidRPr="002674DC">
              <w:rPr>
                <w:rFonts w:eastAsia="Calibri"/>
                <w:lang w:eastAsia="ru-RU"/>
              </w:rPr>
              <w:t> </w:t>
            </w:r>
            <w:r w:rsidRPr="002674DC">
              <w:rPr>
                <w:rFonts w:eastAsia="Calibri"/>
                <w:lang w:eastAsia="ru-RU"/>
              </w:rPr>
              <w:t>425</w:t>
            </w:r>
            <w:r w:rsidR="002674DC" w:rsidRPr="002674DC">
              <w:rPr>
                <w:rFonts w:eastAsia="Calibri"/>
                <w:lang w:eastAsia="ru-RU"/>
              </w:rPr>
              <w:t>-</w:t>
            </w:r>
            <w:r w:rsidRPr="002674DC">
              <w:rPr>
                <w:rFonts w:eastAsia="Calibri"/>
                <w:lang w:eastAsia="ru-RU"/>
              </w:rPr>
              <w:t>7</w:t>
            </w:r>
            <w:r w:rsidR="00892DB2" w:rsidRPr="002674DC">
              <w:rPr>
                <w:rFonts w:eastAsia="Calibri"/>
                <w:lang w:eastAsia="ru-RU"/>
              </w:rPr>
              <w:t> </w:t>
            </w:r>
            <w:r w:rsidRPr="002674DC">
              <w:rPr>
                <w:rFonts w:eastAsia="Calibri"/>
                <w:lang w:eastAsia="ru-RU"/>
              </w:rPr>
              <w:t>025</w:t>
            </w:r>
            <w:r w:rsidR="00892DB2" w:rsidRPr="002674DC">
              <w:rPr>
                <w:rFonts w:eastAsia="Calibri"/>
                <w:lang w:eastAsia="ru-RU"/>
              </w:rPr>
              <w:t> </w:t>
            </w:r>
            <w:r w:rsidRPr="002674DC">
              <w:rPr>
                <w:rFonts w:eastAsia="Calibri"/>
                <w:lang w:eastAsia="ru-RU"/>
              </w:rPr>
              <w:t>MHz in Region</w:t>
            </w:r>
            <w:r w:rsidR="00892DB2" w:rsidRPr="002674DC">
              <w:rPr>
                <w:rFonts w:eastAsia="Calibri"/>
                <w:lang w:eastAsia="ru-RU"/>
              </w:rPr>
              <w:t> </w:t>
            </w:r>
            <w:r w:rsidRPr="002674DC">
              <w:rPr>
                <w:rFonts w:eastAsia="Calibri"/>
                <w:lang w:eastAsia="ru-RU"/>
              </w:rPr>
              <w:t>1 for IMT by creating a new RR footnote with conditions, which are contained in the draft new WRC Resolution and apply only to the frequency band 6</w:t>
            </w:r>
            <w:r w:rsidR="00892DB2" w:rsidRPr="002674DC">
              <w:rPr>
                <w:rFonts w:eastAsia="Calibri"/>
                <w:lang w:eastAsia="ru-RU"/>
              </w:rPr>
              <w:t> </w:t>
            </w:r>
            <w:r w:rsidRPr="002674DC">
              <w:rPr>
                <w:rFonts w:eastAsia="Calibri"/>
                <w:lang w:eastAsia="ru-RU"/>
              </w:rPr>
              <w:t>425</w:t>
            </w:r>
            <w:r w:rsidR="002674DC" w:rsidRPr="002674DC">
              <w:rPr>
                <w:rFonts w:eastAsia="Calibri"/>
                <w:lang w:eastAsia="ru-RU"/>
              </w:rPr>
              <w:t>-</w:t>
            </w:r>
            <w:r w:rsidRPr="002674DC">
              <w:rPr>
                <w:rFonts w:eastAsia="Calibri"/>
                <w:lang w:eastAsia="ru-RU"/>
              </w:rPr>
              <w:t>7</w:t>
            </w:r>
            <w:r w:rsidR="00892DB2" w:rsidRPr="002674DC">
              <w:rPr>
                <w:rFonts w:eastAsia="Calibri"/>
                <w:lang w:eastAsia="ru-RU"/>
              </w:rPr>
              <w:t> </w:t>
            </w:r>
            <w:r w:rsidRPr="002674DC">
              <w:rPr>
                <w:rFonts w:eastAsia="Calibri"/>
                <w:lang w:eastAsia="ru-RU"/>
              </w:rPr>
              <w:t>025</w:t>
            </w:r>
            <w:r w:rsidR="00892DB2" w:rsidRPr="002674DC">
              <w:rPr>
                <w:rFonts w:eastAsia="Calibri"/>
                <w:lang w:eastAsia="ru-RU"/>
              </w:rPr>
              <w:t> </w:t>
            </w:r>
            <w:r w:rsidRPr="002674DC">
              <w:rPr>
                <w:rFonts w:eastAsia="Calibri"/>
                <w:lang w:eastAsia="ru-RU"/>
              </w:rPr>
              <w:t>MHz.</w:t>
            </w:r>
          </w:p>
        </w:tc>
      </w:tr>
      <w:tr w:rsidR="00B4085B" w:rsidRPr="002674DC" w14:paraId="45A01561" w14:textId="77777777" w:rsidTr="008B1F69">
        <w:trPr>
          <w:jc w:val="center"/>
        </w:trPr>
        <w:tc>
          <w:tcPr>
            <w:tcW w:w="3114" w:type="dxa"/>
          </w:tcPr>
          <w:p w14:paraId="7EB55133" w14:textId="77777777" w:rsidR="00B4085B" w:rsidRPr="002674DC" w:rsidRDefault="00B4085B" w:rsidP="003B4D6E">
            <w:pPr>
              <w:tabs>
                <w:tab w:val="clear" w:pos="1134"/>
                <w:tab w:val="clear" w:pos="1871"/>
                <w:tab w:val="clear" w:pos="2268"/>
              </w:tabs>
              <w:overflowPunct/>
              <w:autoSpaceDE/>
              <w:autoSpaceDN/>
              <w:adjustRightInd/>
              <w:textAlignment w:val="auto"/>
              <w:rPr>
                <w:rFonts w:eastAsia="Calibri"/>
                <w:b/>
                <w:i/>
                <w:szCs w:val="24"/>
                <w:lang w:eastAsia="ru-RU"/>
              </w:rPr>
            </w:pPr>
            <w:r w:rsidRPr="002674DC">
              <w:rPr>
                <w:rFonts w:eastAsia="Calibri"/>
                <w:b/>
                <w:i/>
                <w:szCs w:val="24"/>
                <w:lang w:eastAsia="ru-RU"/>
              </w:rPr>
              <w:t>AI 1.16</w:t>
            </w:r>
          </w:p>
          <w:p w14:paraId="0CF8FB4B" w14:textId="6D276D69" w:rsidR="00B4085B" w:rsidRPr="002674DC" w:rsidRDefault="00B4085B" w:rsidP="003B4D6E">
            <w:pPr>
              <w:rPr>
                <w:rFonts w:eastAsia="Calibri"/>
                <w:b/>
                <w:i/>
                <w:lang w:eastAsia="ru-RU"/>
              </w:rPr>
            </w:pPr>
            <w:r w:rsidRPr="002674DC">
              <w:rPr>
                <w:rFonts w:eastAsia="Calibri"/>
                <w:lang w:eastAsia="ru-RU"/>
              </w:rPr>
              <w:t>use of the frequency bands 17.7−18.6</w:t>
            </w:r>
            <w:r w:rsidR="00892DB2" w:rsidRPr="002674DC">
              <w:rPr>
                <w:rFonts w:eastAsia="Calibri"/>
                <w:lang w:eastAsia="ru-RU"/>
              </w:rPr>
              <w:t> </w:t>
            </w:r>
            <w:r w:rsidRPr="002674DC">
              <w:rPr>
                <w:rFonts w:eastAsia="Calibri"/>
                <w:lang w:eastAsia="ru-RU"/>
              </w:rPr>
              <w:t>GHz, 18.8</w:t>
            </w:r>
            <w:r w:rsidR="007E1E5F" w:rsidRPr="002674DC">
              <w:rPr>
                <w:rFonts w:eastAsia="Calibri"/>
                <w:lang w:eastAsia="ru-RU"/>
              </w:rPr>
              <w:t>-</w:t>
            </w:r>
            <w:r w:rsidRPr="002674DC">
              <w:rPr>
                <w:rFonts w:eastAsia="Calibri"/>
                <w:lang w:eastAsia="ru-RU"/>
              </w:rPr>
              <w:t>19.3</w:t>
            </w:r>
            <w:r w:rsidR="00892DB2" w:rsidRPr="002674DC">
              <w:rPr>
                <w:rFonts w:eastAsia="Calibri"/>
                <w:lang w:eastAsia="ru-RU"/>
              </w:rPr>
              <w:t> </w:t>
            </w:r>
            <w:r w:rsidRPr="002674DC">
              <w:rPr>
                <w:rFonts w:eastAsia="Calibri"/>
                <w:lang w:eastAsia="ru-RU"/>
              </w:rPr>
              <w:t>GHz, 19.7−20.2</w:t>
            </w:r>
            <w:r w:rsidR="00892DB2" w:rsidRPr="002674DC">
              <w:rPr>
                <w:rFonts w:eastAsia="Calibri"/>
                <w:lang w:eastAsia="ru-RU"/>
              </w:rPr>
              <w:t> </w:t>
            </w:r>
            <w:r w:rsidRPr="002674DC">
              <w:rPr>
                <w:rFonts w:eastAsia="Calibri"/>
                <w:lang w:eastAsia="ru-RU"/>
              </w:rPr>
              <w:t>GHz (space-to-Earth), 27.5</w:t>
            </w:r>
            <w:r w:rsidR="007E1E5F" w:rsidRPr="002674DC">
              <w:rPr>
                <w:rFonts w:eastAsia="Calibri"/>
                <w:lang w:eastAsia="ru-RU"/>
              </w:rPr>
              <w:t>-</w:t>
            </w:r>
            <w:r w:rsidRPr="002674DC">
              <w:rPr>
                <w:rFonts w:eastAsia="Calibri"/>
                <w:lang w:eastAsia="ru-RU"/>
              </w:rPr>
              <w:t>29.1</w:t>
            </w:r>
            <w:r w:rsidR="00892DB2" w:rsidRPr="002674DC">
              <w:rPr>
                <w:rFonts w:eastAsia="Calibri"/>
                <w:lang w:eastAsia="ru-RU"/>
              </w:rPr>
              <w:t> </w:t>
            </w:r>
            <w:r w:rsidRPr="002674DC">
              <w:rPr>
                <w:rFonts w:eastAsia="Calibri"/>
                <w:lang w:eastAsia="ru-RU"/>
              </w:rPr>
              <w:t>GHz and 29.5−30</w:t>
            </w:r>
            <w:r w:rsidR="00892DB2" w:rsidRPr="002674DC">
              <w:rPr>
                <w:rFonts w:eastAsia="Calibri"/>
                <w:lang w:eastAsia="ru-RU"/>
              </w:rPr>
              <w:t> </w:t>
            </w:r>
            <w:r w:rsidRPr="002674DC">
              <w:rPr>
                <w:rFonts w:eastAsia="Calibri"/>
                <w:lang w:eastAsia="ru-RU"/>
              </w:rPr>
              <w:t>GHz</w:t>
            </w:r>
            <w:r w:rsidRPr="002674DC">
              <w:rPr>
                <w:rFonts w:eastAsia="Calibri"/>
                <w:i/>
                <w:lang w:eastAsia="ru-RU"/>
              </w:rPr>
              <w:t xml:space="preserve"> (Earth-</w:t>
            </w:r>
            <w:r w:rsidRPr="002674DC">
              <w:rPr>
                <w:rFonts w:eastAsia="Calibri"/>
                <w:lang w:eastAsia="ru-RU"/>
              </w:rPr>
              <w:t>to-space) by earth stations in motion communicating with space stations in the non-geostationary-satellite orbit in the fixed-satellite service.</w:t>
            </w:r>
          </w:p>
        </w:tc>
        <w:tc>
          <w:tcPr>
            <w:tcW w:w="6662" w:type="dxa"/>
          </w:tcPr>
          <w:p w14:paraId="46CD1B60" w14:textId="58C54F1D" w:rsidR="00B4085B" w:rsidRPr="002674DC" w:rsidRDefault="00B4085B" w:rsidP="003B4D6E">
            <w:pPr>
              <w:rPr>
                <w:rFonts w:eastAsia="Calibri"/>
                <w:b/>
                <w:lang w:eastAsia="ru-RU"/>
              </w:rPr>
            </w:pPr>
            <w:r w:rsidRPr="002674DC">
              <w:rPr>
                <w:rFonts w:eastAsia="Calibri"/>
                <w:b/>
                <w:lang w:eastAsia="ru-RU"/>
              </w:rPr>
              <w:t>Support Method B</w:t>
            </w:r>
            <w:r w:rsidRPr="002674DC">
              <w:rPr>
                <w:rFonts w:eastAsia="Calibri"/>
                <w:lang w:eastAsia="ru-RU"/>
              </w:rPr>
              <w:t xml:space="preserve"> - to add a new footnote to Article</w:t>
            </w:r>
            <w:r w:rsidR="00892DB2" w:rsidRPr="002674DC">
              <w:rPr>
                <w:rFonts w:eastAsia="Calibri"/>
                <w:lang w:eastAsia="ru-RU"/>
              </w:rPr>
              <w:t> </w:t>
            </w:r>
            <w:r w:rsidRPr="002674DC">
              <w:rPr>
                <w:rFonts w:eastAsia="Calibri"/>
                <w:b/>
                <w:lang w:eastAsia="ru-RU"/>
              </w:rPr>
              <w:t>5</w:t>
            </w:r>
            <w:r w:rsidRPr="002674DC">
              <w:rPr>
                <w:rFonts w:eastAsia="Calibri"/>
                <w:lang w:eastAsia="ru-RU"/>
              </w:rPr>
              <w:t xml:space="preserve"> of the RR, which would contain a reference to the new WRC Resolution with technical, operational and regulatory conditions operation of non-GSO maritime and aeronautical ESIMs, while ensuring the protection of services with allocations, and thereby delete Resolution</w:t>
            </w:r>
            <w:r w:rsidR="00892DB2" w:rsidRPr="002674DC">
              <w:rPr>
                <w:rFonts w:eastAsia="Calibri"/>
                <w:lang w:eastAsia="ru-RU"/>
              </w:rPr>
              <w:t> </w:t>
            </w:r>
            <w:r w:rsidRPr="002674DC">
              <w:rPr>
                <w:rFonts w:eastAsia="Calibri"/>
                <w:b/>
                <w:lang w:eastAsia="ru-RU"/>
              </w:rPr>
              <w:t>173</w:t>
            </w:r>
            <w:r w:rsidRPr="002674DC">
              <w:rPr>
                <w:rFonts w:eastAsia="Calibri"/>
                <w:lang w:eastAsia="ru-RU"/>
              </w:rPr>
              <w:t xml:space="preserve"> </w:t>
            </w:r>
            <w:r w:rsidRPr="002674DC">
              <w:rPr>
                <w:rFonts w:eastAsia="Calibri"/>
                <w:b/>
                <w:lang w:eastAsia="ru-RU"/>
              </w:rPr>
              <w:t>(WRC</w:t>
            </w:r>
            <w:r w:rsidR="00892DB2" w:rsidRPr="002674DC">
              <w:rPr>
                <w:rFonts w:eastAsia="Calibri"/>
                <w:b/>
                <w:lang w:eastAsia="ru-RU"/>
              </w:rPr>
              <w:noBreakHyphen/>
            </w:r>
            <w:r w:rsidRPr="002674DC">
              <w:rPr>
                <w:rFonts w:eastAsia="Calibri"/>
                <w:b/>
                <w:lang w:eastAsia="ru-RU"/>
              </w:rPr>
              <w:t>19)</w:t>
            </w:r>
            <w:r w:rsidRPr="002674DC">
              <w:rPr>
                <w:rFonts w:eastAsia="Calibri"/>
                <w:lang w:eastAsia="ru-RU"/>
              </w:rPr>
              <w:t>.</w:t>
            </w:r>
          </w:p>
        </w:tc>
      </w:tr>
      <w:tr w:rsidR="00B4085B" w:rsidRPr="002674DC" w14:paraId="2E2106B4" w14:textId="77777777" w:rsidTr="008B1F69">
        <w:trPr>
          <w:jc w:val="center"/>
        </w:trPr>
        <w:tc>
          <w:tcPr>
            <w:tcW w:w="3114" w:type="dxa"/>
          </w:tcPr>
          <w:p w14:paraId="29610C79" w14:textId="77777777" w:rsidR="00B4085B" w:rsidRPr="002674DC" w:rsidRDefault="00B4085B" w:rsidP="003B4D6E">
            <w:pPr>
              <w:tabs>
                <w:tab w:val="clear" w:pos="1134"/>
                <w:tab w:val="clear" w:pos="1871"/>
                <w:tab w:val="clear" w:pos="2268"/>
              </w:tabs>
              <w:overflowPunct/>
              <w:autoSpaceDE/>
              <w:autoSpaceDN/>
              <w:adjustRightInd/>
              <w:textAlignment w:val="auto"/>
              <w:rPr>
                <w:rFonts w:eastAsia="Calibri"/>
                <w:b/>
                <w:i/>
                <w:szCs w:val="24"/>
                <w:lang w:eastAsia="ru-RU"/>
              </w:rPr>
            </w:pPr>
            <w:r w:rsidRPr="002674DC">
              <w:rPr>
                <w:rFonts w:eastAsia="Calibri"/>
                <w:b/>
                <w:i/>
                <w:szCs w:val="24"/>
                <w:lang w:eastAsia="ru-RU"/>
              </w:rPr>
              <w:t>AI 1.17</w:t>
            </w:r>
          </w:p>
          <w:p w14:paraId="0B283675" w14:textId="54F3E033" w:rsidR="00B4085B" w:rsidRPr="002674DC" w:rsidRDefault="00B4085B" w:rsidP="003B4D6E">
            <w:pPr>
              <w:rPr>
                <w:rFonts w:eastAsia="Calibri"/>
                <w:lang w:eastAsia="ru-RU"/>
              </w:rPr>
            </w:pPr>
            <w:r w:rsidRPr="002674DC">
              <w:rPr>
                <w:rFonts w:eastAsia="Calibri"/>
                <w:lang w:eastAsia="ru-RU"/>
              </w:rPr>
              <w:t>determine and carry out, on the basis of the ITU</w:t>
            </w:r>
            <w:r w:rsidR="00892DB2" w:rsidRPr="002674DC">
              <w:rPr>
                <w:rFonts w:eastAsia="Calibri"/>
                <w:lang w:eastAsia="ru-RU"/>
              </w:rPr>
              <w:noBreakHyphen/>
            </w:r>
            <w:r w:rsidRPr="002674DC">
              <w:rPr>
                <w:rFonts w:eastAsia="Calibri"/>
                <w:lang w:eastAsia="ru-RU"/>
              </w:rPr>
              <w:t>R studies in accordance with Resolution</w:t>
            </w:r>
            <w:r w:rsidR="00892DB2" w:rsidRPr="002674DC">
              <w:rPr>
                <w:rFonts w:eastAsia="Calibri"/>
                <w:lang w:eastAsia="ru-RU"/>
              </w:rPr>
              <w:t> </w:t>
            </w:r>
            <w:r w:rsidRPr="002674DC">
              <w:rPr>
                <w:rFonts w:eastAsia="Calibri"/>
                <w:b/>
                <w:lang w:eastAsia="ru-RU"/>
              </w:rPr>
              <w:t>773</w:t>
            </w:r>
            <w:r w:rsidRPr="002674DC">
              <w:rPr>
                <w:rFonts w:eastAsia="Calibri"/>
                <w:lang w:eastAsia="ru-RU"/>
              </w:rPr>
              <w:t xml:space="preserve"> </w:t>
            </w:r>
            <w:r w:rsidRPr="002674DC">
              <w:rPr>
                <w:rFonts w:eastAsia="Calibri"/>
                <w:b/>
                <w:lang w:eastAsia="ru-RU"/>
              </w:rPr>
              <w:t>(WRC</w:t>
            </w:r>
            <w:r w:rsidR="00892DB2" w:rsidRPr="002674DC">
              <w:rPr>
                <w:rFonts w:eastAsia="Calibri"/>
                <w:b/>
                <w:lang w:eastAsia="ru-RU"/>
              </w:rPr>
              <w:noBreakHyphen/>
            </w:r>
            <w:r w:rsidRPr="002674DC">
              <w:rPr>
                <w:rFonts w:eastAsia="Calibri"/>
                <w:b/>
                <w:lang w:eastAsia="ru-RU"/>
              </w:rPr>
              <w:t>19)</w:t>
            </w:r>
            <w:r w:rsidRPr="002674DC">
              <w:rPr>
                <w:rFonts w:eastAsia="Calibri"/>
                <w:lang w:eastAsia="ru-RU"/>
              </w:rPr>
              <w:t>, the appropriate regulatory actions for the provision of inter-satellite links in specific frequency bands, or portions thereof, by adding an inter-satellite service allocation where appropriate.</w:t>
            </w:r>
          </w:p>
        </w:tc>
        <w:tc>
          <w:tcPr>
            <w:tcW w:w="6662" w:type="dxa"/>
          </w:tcPr>
          <w:p w14:paraId="20BDD855" w14:textId="6FCD0F73" w:rsidR="00B4085B" w:rsidRPr="002674DC" w:rsidRDefault="00B4085B" w:rsidP="003B4D6E">
            <w:pPr>
              <w:rPr>
                <w:rFonts w:eastAsia="Calibri"/>
                <w:b/>
                <w:i/>
                <w:lang w:eastAsia="ru-RU"/>
              </w:rPr>
            </w:pPr>
            <w:r w:rsidRPr="002674DC">
              <w:rPr>
                <w:rFonts w:eastAsia="Calibri"/>
                <w:b/>
                <w:lang w:eastAsia="ru-RU"/>
              </w:rPr>
              <w:t>Support Method B5</w:t>
            </w:r>
            <w:r w:rsidRPr="002674DC">
              <w:rPr>
                <w:rFonts w:eastAsia="Calibri"/>
                <w:lang w:eastAsia="ru-RU"/>
              </w:rPr>
              <w:t xml:space="preserve"> - this method will be identical to any of the </w:t>
            </w:r>
            <w:r w:rsidR="003B4D6E" w:rsidRPr="002674DC">
              <w:rPr>
                <w:rFonts w:eastAsia="Calibri"/>
                <w:lang w:eastAsia="ru-RU"/>
              </w:rPr>
              <w:t xml:space="preserve">Methods </w:t>
            </w:r>
            <w:r w:rsidRPr="002674DC">
              <w:rPr>
                <w:rFonts w:eastAsia="Calibri"/>
                <w:lang w:eastAsia="ru-RU"/>
              </w:rPr>
              <w:t>B1-B4, with the exception of the frequency band 11.7</w:t>
            </w:r>
            <w:r w:rsidR="003B4D6E" w:rsidRPr="002674DC">
              <w:rPr>
                <w:rFonts w:eastAsia="Calibri"/>
                <w:lang w:eastAsia="ru-RU"/>
              </w:rPr>
              <w:t>-</w:t>
            </w:r>
            <w:r w:rsidRPr="002674DC">
              <w:rPr>
                <w:rFonts w:eastAsia="Calibri"/>
                <w:lang w:eastAsia="ru-RU"/>
              </w:rPr>
              <w:t>12.7</w:t>
            </w:r>
            <w:r w:rsidR="00892DB2" w:rsidRPr="002674DC">
              <w:rPr>
                <w:rFonts w:eastAsia="Calibri"/>
                <w:lang w:eastAsia="ru-RU"/>
              </w:rPr>
              <w:t> </w:t>
            </w:r>
            <w:r w:rsidRPr="002674DC">
              <w:rPr>
                <w:rFonts w:eastAsia="Calibri"/>
                <w:lang w:eastAsia="ru-RU"/>
              </w:rPr>
              <w:t>GHz, for which Method B1 is used by default.</w:t>
            </w:r>
          </w:p>
        </w:tc>
      </w:tr>
      <w:tr w:rsidR="00B4085B" w:rsidRPr="002674DC" w14:paraId="44035682" w14:textId="77777777" w:rsidTr="008B1F69">
        <w:trPr>
          <w:jc w:val="center"/>
        </w:trPr>
        <w:tc>
          <w:tcPr>
            <w:tcW w:w="3114" w:type="dxa"/>
          </w:tcPr>
          <w:p w14:paraId="440AE85B" w14:textId="77777777" w:rsidR="00B4085B" w:rsidRPr="002674DC" w:rsidRDefault="00B4085B" w:rsidP="003B4D6E">
            <w:pPr>
              <w:tabs>
                <w:tab w:val="clear" w:pos="1134"/>
                <w:tab w:val="clear" w:pos="1871"/>
                <w:tab w:val="clear" w:pos="2268"/>
              </w:tabs>
              <w:overflowPunct/>
              <w:autoSpaceDE/>
              <w:autoSpaceDN/>
              <w:adjustRightInd/>
              <w:textAlignment w:val="auto"/>
              <w:rPr>
                <w:rFonts w:eastAsia="Calibri"/>
                <w:b/>
                <w:i/>
                <w:szCs w:val="24"/>
                <w:lang w:eastAsia="ru-RU"/>
              </w:rPr>
            </w:pPr>
            <w:r w:rsidRPr="002674DC">
              <w:rPr>
                <w:rFonts w:eastAsia="Calibri"/>
                <w:b/>
                <w:i/>
                <w:szCs w:val="24"/>
                <w:lang w:eastAsia="ru-RU"/>
              </w:rPr>
              <w:t>AI 1.19</w:t>
            </w:r>
          </w:p>
          <w:p w14:paraId="7180B10A" w14:textId="106ACE32" w:rsidR="00B4085B" w:rsidRPr="002674DC" w:rsidRDefault="00B4085B" w:rsidP="003B4D6E">
            <w:pPr>
              <w:rPr>
                <w:rFonts w:eastAsia="Calibri"/>
                <w:lang w:eastAsia="ru-RU"/>
              </w:rPr>
            </w:pPr>
            <w:r w:rsidRPr="002674DC">
              <w:rPr>
                <w:rFonts w:eastAsia="Calibri"/>
                <w:lang w:eastAsia="ru-RU"/>
              </w:rPr>
              <w:t>issue of a new primary allocation to the fixed-satellite service in the space-to-Earth direction in accordance with Resolution</w:t>
            </w:r>
            <w:r w:rsidR="00892DB2" w:rsidRPr="002674DC">
              <w:rPr>
                <w:rFonts w:eastAsia="Calibri"/>
                <w:lang w:eastAsia="ru-RU"/>
              </w:rPr>
              <w:t> </w:t>
            </w:r>
            <w:r w:rsidRPr="002674DC">
              <w:rPr>
                <w:rFonts w:eastAsia="Calibri"/>
                <w:b/>
                <w:lang w:eastAsia="ru-RU"/>
              </w:rPr>
              <w:t>174</w:t>
            </w:r>
            <w:r w:rsidRPr="002674DC">
              <w:rPr>
                <w:rFonts w:eastAsia="Calibri"/>
                <w:lang w:eastAsia="ru-RU"/>
              </w:rPr>
              <w:t xml:space="preserve"> </w:t>
            </w:r>
            <w:r w:rsidRPr="002674DC">
              <w:rPr>
                <w:rFonts w:eastAsia="Calibri"/>
                <w:b/>
                <w:lang w:eastAsia="ru-RU"/>
              </w:rPr>
              <w:t>(WRC</w:t>
            </w:r>
            <w:r w:rsidR="00892DB2" w:rsidRPr="002674DC">
              <w:rPr>
                <w:rFonts w:eastAsia="Calibri"/>
                <w:b/>
                <w:lang w:eastAsia="ru-RU"/>
              </w:rPr>
              <w:noBreakHyphen/>
            </w:r>
            <w:r w:rsidRPr="002674DC">
              <w:rPr>
                <w:rFonts w:eastAsia="Calibri"/>
                <w:b/>
                <w:lang w:eastAsia="ru-RU"/>
              </w:rPr>
              <w:t>19)</w:t>
            </w:r>
            <w:r w:rsidRPr="002674DC">
              <w:rPr>
                <w:rFonts w:eastAsia="Calibri"/>
                <w:lang w:eastAsia="ru-RU"/>
              </w:rPr>
              <w:t>.</w:t>
            </w:r>
          </w:p>
        </w:tc>
        <w:tc>
          <w:tcPr>
            <w:tcW w:w="6662" w:type="dxa"/>
          </w:tcPr>
          <w:p w14:paraId="7114BF7F" w14:textId="5120B24A" w:rsidR="00B4085B" w:rsidRPr="002674DC" w:rsidRDefault="00B4085B" w:rsidP="003B4D6E">
            <w:pPr>
              <w:rPr>
                <w:rFonts w:eastAsia="Calibri"/>
                <w:b/>
                <w:i/>
                <w:lang w:eastAsia="ru-RU"/>
              </w:rPr>
            </w:pPr>
            <w:r w:rsidRPr="002674DC">
              <w:rPr>
                <w:rFonts w:eastAsia="Calibri"/>
                <w:b/>
                <w:lang w:eastAsia="ru-RU"/>
              </w:rPr>
              <w:t>Support Method B</w:t>
            </w:r>
            <w:r w:rsidRPr="002674DC">
              <w:rPr>
                <w:rFonts w:eastAsia="Calibri"/>
                <w:lang w:eastAsia="ru-RU"/>
              </w:rPr>
              <w:t xml:space="preserve"> - to amend the footnotes of Article</w:t>
            </w:r>
            <w:r w:rsidR="00892DB2" w:rsidRPr="002674DC">
              <w:rPr>
                <w:rFonts w:eastAsia="Calibri"/>
                <w:lang w:eastAsia="ru-RU"/>
              </w:rPr>
              <w:t> </w:t>
            </w:r>
            <w:r w:rsidRPr="002674DC">
              <w:rPr>
                <w:rFonts w:eastAsia="Calibri"/>
                <w:b/>
                <w:lang w:eastAsia="ru-RU"/>
              </w:rPr>
              <w:t>5</w:t>
            </w:r>
            <w:r w:rsidRPr="002674DC">
              <w:rPr>
                <w:rFonts w:eastAsia="Calibri"/>
                <w:lang w:eastAsia="ru-RU"/>
              </w:rPr>
              <w:t xml:space="preserve"> of the RR, which refer to the allocation of the frequency band 17.3</w:t>
            </w:r>
            <w:r w:rsidR="003B4D6E" w:rsidRPr="002674DC">
              <w:rPr>
                <w:rFonts w:eastAsia="Calibri"/>
                <w:lang w:eastAsia="ru-RU"/>
              </w:rPr>
              <w:t>-</w:t>
            </w:r>
            <w:r w:rsidRPr="002674DC">
              <w:rPr>
                <w:rFonts w:eastAsia="Calibri"/>
                <w:lang w:eastAsia="ru-RU"/>
              </w:rPr>
              <w:t>17.7</w:t>
            </w:r>
            <w:r w:rsidR="00892DB2" w:rsidRPr="002674DC">
              <w:rPr>
                <w:rFonts w:eastAsia="Calibri"/>
                <w:lang w:eastAsia="ru-RU"/>
              </w:rPr>
              <w:t> </w:t>
            </w:r>
            <w:r w:rsidRPr="002674DC">
              <w:rPr>
                <w:rFonts w:eastAsia="Calibri"/>
                <w:lang w:eastAsia="ru-RU"/>
              </w:rPr>
              <w:t>GHz in FSS Region</w:t>
            </w:r>
            <w:r w:rsidR="00892DB2" w:rsidRPr="002674DC">
              <w:rPr>
                <w:rFonts w:eastAsia="Calibri"/>
                <w:lang w:eastAsia="ru-RU"/>
              </w:rPr>
              <w:t> </w:t>
            </w:r>
            <w:r w:rsidRPr="002674DC">
              <w:rPr>
                <w:rFonts w:eastAsia="Calibri"/>
                <w:lang w:eastAsia="ru-RU"/>
              </w:rPr>
              <w:t>2 in the space-to-Earth direction.</w:t>
            </w:r>
          </w:p>
        </w:tc>
      </w:tr>
      <w:tr w:rsidR="00B4085B" w:rsidRPr="002674DC" w14:paraId="1651615A" w14:textId="77777777" w:rsidTr="008B1F69">
        <w:trPr>
          <w:jc w:val="center"/>
        </w:trPr>
        <w:tc>
          <w:tcPr>
            <w:tcW w:w="3114" w:type="dxa"/>
          </w:tcPr>
          <w:p w14:paraId="4F1A9E4E" w14:textId="77777777" w:rsidR="00B4085B" w:rsidRPr="002674DC" w:rsidRDefault="00B4085B" w:rsidP="003B4D6E">
            <w:pPr>
              <w:tabs>
                <w:tab w:val="clear" w:pos="1134"/>
                <w:tab w:val="clear" w:pos="1871"/>
                <w:tab w:val="clear" w:pos="2268"/>
              </w:tabs>
              <w:overflowPunct/>
              <w:autoSpaceDE/>
              <w:autoSpaceDN/>
              <w:adjustRightInd/>
              <w:textAlignment w:val="auto"/>
              <w:rPr>
                <w:rFonts w:eastAsia="Calibri"/>
                <w:b/>
                <w:i/>
                <w:szCs w:val="24"/>
                <w:lang w:eastAsia="ru-RU"/>
              </w:rPr>
            </w:pPr>
            <w:r w:rsidRPr="002674DC">
              <w:rPr>
                <w:rFonts w:eastAsia="Calibri"/>
                <w:b/>
                <w:i/>
                <w:szCs w:val="24"/>
                <w:lang w:eastAsia="ru-RU"/>
              </w:rPr>
              <w:lastRenderedPageBreak/>
              <w:t>AI 7 (Topic A)</w:t>
            </w:r>
          </w:p>
          <w:p w14:paraId="4B37F173" w14:textId="77777777" w:rsidR="00B4085B" w:rsidRPr="002674DC" w:rsidRDefault="00B4085B" w:rsidP="003B4D6E">
            <w:pPr>
              <w:rPr>
                <w:rFonts w:eastAsia="Calibri"/>
                <w:lang w:eastAsia="ru-RU"/>
              </w:rPr>
            </w:pPr>
            <w:r w:rsidRPr="002674DC">
              <w:rPr>
                <w:rFonts w:eastAsia="Calibri"/>
                <w:lang w:eastAsia="ru-RU"/>
              </w:rPr>
              <w:t>Tolerances for certain orbital characteristics of non-GSO space stations of the FSS, BSS or MSS.</w:t>
            </w:r>
          </w:p>
        </w:tc>
        <w:tc>
          <w:tcPr>
            <w:tcW w:w="6662" w:type="dxa"/>
          </w:tcPr>
          <w:p w14:paraId="3C369DD2" w14:textId="67DD7B0E" w:rsidR="00B4085B" w:rsidRPr="002674DC" w:rsidRDefault="00B4085B" w:rsidP="003B4D6E">
            <w:pPr>
              <w:rPr>
                <w:rFonts w:eastAsia="Calibri"/>
                <w:lang w:eastAsia="ru-RU"/>
              </w:rPr>
            </w:pPr>
            <w:r w:rsidRPr="002674DC">
              <w:rPr>
                <w:rFonts w:eastAsia="Calibri"/>
                <w:b/>
                <w:lang w:eastAsia="ru-RU"/>
              </w:rPr>
              <w:t>Support Method A2</w:t>
            </w:r>
            <w:r w:rsidRPr="002674DC">
              <w:rPr>
                <w:rFonts w:eastAsia="Calibri"/>
                <w:lang w:eastAsia="ru-RU"/>
              </w:rPr>
              <w:t xml:space="preserve"> - a new WRC Resolution containing specific regulatory measures that allow deviations from the declared or recorded characteristics of the orbital plane for operational purposes, in including temporary deviations, for example, during the reorganization of satellites in the orbital plane after the launch of new non-GSO space stations. It is also proposed to consider space stations that do not comply with tolerances, including those determined for temporal deviations, as not meeting the declared and/or recorded orbital parameters of the corresponding non-GSO system, and therefore should not be considered subject to</w:t>
            </w:r>
            <w:r w:rsidR="00892DB2" w:rsidRPr="002674DC">
              <w:rPr>
                <w:rFonts w:eastAsia="Calibri"/>
                <w:lang w:eastAsia="ru-RU"/>
              </w:rPr>
              <w:t xml:space="preserve"> RR</w:t>
            </w:r>
            <w:r w:rsidRPr="002674DC">
              <w:rPr>
                <w:rFonts w:eastAsia="Calibri"/>
                <w:lang w:eastAsia="ru-RU"/>
              </w:rPr>
              <w:t xml:space="preserve"> Nos.</w:t>
            </w:r>
            <w:r w:rsidR="00892DB2" w:rsidRPr="002674DC">
              <w:rPr>
                <w:rFonts w:eastAsia="Calibri"/>
                <w:lang w:eastAsia="ru-RU"/>
              </w:rPr>
              <w:t> </w:t>
            </w:r>
            <w:r w:rsidRPr="002674DC">
              <w:rPr>
                <w:rFonts w:eastAsia="Calibri"/>
                <w:b/>
                <w:lang w:eastAsia="ru-RU"/>
              </w:rPr>
              <w:t>11.44C</w:t>
            </w:r>
            <w:r w:rsidRPr="002674DC">
              <w:rPr>
                <w:rFonts w:eastAsia="Calibri"/>
                <w:lang w:eastAsia="ru-RU"/>
              </w:rPr>
              <w:t xml:space="preserve">, </w:t>
            </w:r>
            <w:r w:rsidRPr="002674DC">
              <w:rPr>
                <w:rFonts w:eastAsia="Calibri"/>
                <w:b/>
                <w:lang w:eastAsia="ru-RU"/>
              </w:rPr>
              <w:t>11.49.2</w:t>
            </w:r>
            <w:r w:rsidRPr="002674DC">
              <w:rPr>
                <w:rFonts w:eastAsia="Calibri"/>
                <w:lang w:eastAsia="ru-RU"/>
              </w:rPr>
              <w:t xml:space="preserve"> and</w:t>
            </w:r>
            <w:r w:rsidR="00892DB2" w:rsidRPr="002674DC">
              <w:rPr>
                <w:rFonts w:eastAsia="Calibri"/>
                <w:lang w:eastAsia="ru-RU"/>
              </w:rPr>
              <w:t> </w:t>
            </w:r>
            <w:r w:rsidRPr="002674DC">
              <w:rPr>
                <w:rFonts w:eastAsia="Calibri"/>
                <w:b/>
                <w:lang w:eastAsia="ru-RU"/>
              </w:rPr>
              <w:t>11.51</w:t>
            </w:r>
            <w:r w:rsidRPr="002674DC">
              <w:rPr>
                <w:rFonts w:eastAsia="Calibri"/>
                <w:lang w:eastAsia="ru-RU"/>
              </w:rPr>
              <w:t xml:space="preserve"> as appropriate.</w:t>
            </w:r>
          </w:p>
        </w:tc>
      </w:tr>
      <w:tr w:rsidR="00B4085B" w:rsidRPr="002674DC" w14:paraId="472FCF44" w14:textId="77777777" w:rsidTr="008B1F69">
        <w:trPr>
          <w:jc w:val="center"/>
        </w:trPr>
        <w:tc>
          <w:tcPr>
            <w:tcW w:w="3114" w:type="dxa"/>
          </w:tcPr>
          <w:p w14:paraId="4B1067ED" w14:textId="77777777" w:rsidR="00B4085B" w:rsidRPr="002674DC" w:rsidRDefault="00B4085B" w:rsidP="003B4D6E">
            <w:pPr>
              <w:tabs>
                <w:tab w:val="clear" w:pos="1134"/>
                <w:tab w:val="clear" w:pos="1871"/>
                <w:tab w:val="clear" w:pos="2268"/>
              </w:tabs>
              <w:overflowPunct/>
              <w:autoSpaceDE/>
              <w:autoSpaceDN/>
              <w:adjustRightInd/>
              <w:textAlignment w:val="auto"/>
              <w:rPr>
                <w:rFonts w:eastAsia="Calibri"/>
                <w:b/>
                <w:i/>
                <w:szCs w:val="24"/>
                <w:lang w:eastAsia="ru-RU"/>
              </w:rPr>
            </w:pPr>
            <w:r w:rsidRPr="002674DC">
              <w:rPr>
                <w:rFonts w:eastAsia="Calibri"/>
                <w:b/>
                <w:i/>
                <w:szCs w:val="24"/>
                <w:lang w:eastAsia="ru-RU"/>
              </w:rPr>
              <w:t>AI 7 (Topic B)</w:t>
            </w:r>
          </w:p>
          <w:p w14:paraId="4F6FCBB5" w14:textId="77777777" w:rsidR="00B4085B" w:rsidRPr="002674DC" w:rsidRDefault="00B4085B" w:rsidP="003B4D6E">
            <w:pPr>
              <w:rPr>
                <w:rFonts w:eastAsia="Calibri"/>
                <w:b/>
                <w:i/>
                <w:lang w:eastAsia="ru-RU"/>
              </w:rPr>
            </w:pPr>
            <w:r w:rsidRPr="002674DC">
              <w:rPr>
                <w:rFonts w:eastAsia="Calibri"/>
                <w:lang w:eastAsia="ru-RU"/>
              </w:rPr>
              <w:t>Non-GSO bringing into use post-milestone procedure.</w:t>
            </w:r>
          </w:p>
        </w:tc>
        <w:tc>
          <w:tcPr>
            <w:tcW w:w="6662" w:type="dxa"/>
          </w:tcPr>
          <w:p w14:paraId="0EE6CC14" w14:textId="34C80966" w:rsidR="00B4085B" w:rsidRPr="002674DC" w:rsidRDefault="00B4085B" w:rsidP="003B4D6E">
            <w:pPr>
              <w:rPr>
                <w:rFonts w:eastAsia="Calibri"/>
                <w:b/>
                <w:lang w:eastAsia="ru-RU"/>
              </w:rPr>
            </w:pPr>
            <w:r w:rsidRPr="002674DC">
              <w:rPr>
                <w:rFonts w:eastAsia="Calibri"/>
                <w:b/>
                <w:lang w:eastAsia="ru-RU"/>
              </w:rPr>
              <w:t>Support Method B2</w:t>
            </w:r>
            <w:r w:rsidRPr="002674DC">
              <w:rPr>
                <w:rFonts w:eastAsia="Calibri"/>
                <w:lang w:eastAsia="ru-RU"/>
              </w:rPr>
              <w:t xml:space="preserve"> - to delete paragraph</w:t>
            </w:r>
            <w:r w:rsidR="00892DB2" w:rsidRPr="002674DC">
              <w:rPr>
                <w:rFonts w:eastAsia="Calibri"/>
                <w:lang w:eastAsia="ru-RU"/>
              </w:rPr>
              <w:t> </w:t>
            </w:r>
            <w:r w:rsidRPr="002674DC">
              <w:rPr>
                <w:rFonts w:eastAsia="Calibri"/>
                <w:lang w:eastAsia="ru-RU"/>
              </w:rPr>
              <w:t>19 of the “</w:t>
            </w:r>
            <w:r w:rsidRPr="002674DC">
              <w:rPr>
                <w:rFonts w:eastAsia="Calibri"/>
                <w:i/>
                <w:iCs/>
                <w:lang w:eastAsia="ru-RU"/>
              </w:rPr>
              <w:t>resolves</w:t>
            </w:r>
            <w:r w:rsidRPr="002674DC">
              <w:rPr>
                <w:rFonts w:eastAsia="Calibri"/>
                <w:lang w:eastAsia="ru-RU"/>
              </w:rPr>
              <w:t>” section of Resolution</w:t>
            </w:r>
            <w:r w:rsidR="00892DB2" w:rsidRPr="002674DC">
              <w:rPr>
                <w:rFonts w:eastAsia="Calibri"/>
                <w:lang w:eastAsia="ru-RU"/>
              </w:rPr>
              <w:t> </w:t>
            </w:r>
            <w:r w:rsidRPr="002674DC">
              <w:rPr>
                <w:rFonts w:eastAsia="Calibri"/>
                <w:b/>
                <w:lang w:eastAsia="ru-RU"/>
              </w:rPr>
              <w:t>35</w:t>
            </w:r>
            <w:r w:rsidRPr="002674DC">
              <w:rPr>
                <w:rFonts w:eastAsia="Calibri"/>
                <w:lang w:eastAsia="ru-RU"/>
              </w:rPr>
              <w:t xml:space="preserve"> </w:t>
            </w:r>
            <w:r w:rsidRPr="002674DC">
              <w:rPr>
                <w:rFonts w:eastAsia="Calibri"/>
                <w:b/>
                <w:lang w:eastAsia="ru-RU"/>
              </w:rPr>
              <w:t>(WRC</w:t>
            </w:r>
            <w:r w:rsidR="00892DB2" w:rsidRPr="002674DC">
              <w:rPr>
                <w:rFonts w:eastAsia="Calibri"/>
                <w:b/>
                <w:lang w:eastAsia="ru-RU"/>
              </w:rPr>
              <w:noBreakHyphen/>
            </w:r>
            <w:r w:rsidRPr="002674DC">
              <w:rPr>
                <w:rFonts w:eastAsia="Calibri"/>
                <w:b/>
                <w:lang w:eastAsia="ru-RU"/>
              </w:rPr>
              <w:t>19)</w:t>
            </w:r>
            <w:r w:rsidRPr="002674DC">
              <w:rPr>
                <w:rFonts w:eastAsia="Calibri"/>
                <w:lang w:eastAsia="ru-RU"/>
              </w:rPr>
              <w:t>, which is no longer required. Develop a draft new Resolution introducing a threshold to reduce the number of deployed satellites capable of transmitting/receiving on registered frequency assignments for the application of this Resolution.</w:t>
            </w:r>
          </w:p>
        </w:tc>
      </w:tr>
      <w:tr w:rsidR="00B4085B" w:rsidRPr="002674DC" w14:paraId="2FB06D79" w14:textId="77777777" w:rsidTr="008B1F69">
        <w:trPr>
          <w:jc w:val="center"/>
        </w:trPr>
        <w:tc>
          <w:tcPr>
            <w:tcW w:w="3114" w:type="dxa"/>
          </w:tcPr>
          <w:p w14:paraId="102F3FCB" w14:textId="77777777" w:rsidR="00B4085B" w:rsidRPr="002674DC" w:rsidRDefault="00B4085B" w:rsidP="003B4D6E">
            <w:pPr>
              <w:tabs>
                <w:tab w:val="clear" w:pos="1134"/>
                <w:tab w:val="clear" w:pos="1871"/>
                <w:tab w:val="clear" w:pos="2268"/>
              </w:tabs>
              <w:overflowPunct/>
              <w:autoSpaceDE/>
              <w:autoSpaceDN/>
              <w:adjustRightInd/>
              <w:textAlignment w:val="auto"/>
              <w:rPr>
                <w:rFonts w:eastAsia="Calibri"/>
                <w:b/>
                <w:i/>
                <w:szCs w:val="24"/>
                <w:lang w:eastAsia="ru-RU"/>
              </w:rPr>
            </w:pPr>
            <w:r w:rsidRPr="002674DC">
              <w:rPr>
                <w:rFonts w:eastAsia="Calibri"/>
                <w:b/>
                <w:i/>
                <w:szCs w:val="24"/>
                <w:lang w:eastAsia="ru-RU"/>
              </w:rPr>
              <w:t>AI 7 (Topic C)</w:t>
            </w:r>
          </w:p>
          <w:p w14:paraId="7FAF0B49" w14:textId="6708B091" w:rsidR="00B4085B" w:rsidRPr="002674DC" w:rsidRDefault="00B4085B" w:rsidP="003B4D6E">
            <w:pPr>
              <w:rPr>
                <w:rFonts w:eastAsia="Calibri"/>
                <w:b/>
                <w:i/>
                <w:lang w:eastAsia="ru-RU"/>
              </w:rPr>
            </w:pPr>
            <w:r w:rsidRPr="002674DC">
              <w:rPr>
                <w:rFonts w:eastAsia="Calibri"/>
                <w:lang w:eastAsia="ru-RU"/>
              </w:rPr>
              <w:t>Protection of geostationary-satellite networks in the mobile-satellite service operating in the 7/8</w:t>
            </w:r>
            <w:r w:rsidR="00892DB2" w:rsidRPr="002674DC">
              <w:rPr>
                <w:rFonts w:eastAsia="Calibri"/>
                <w:lang w:eastAsia="ru-RU"/>
              </w:rPr>
              <w:t> </w:t>
            </w:r>
            <w:r w:rsidRPr="002674DC">
              <w:rPr>
                <w:rFonts w:eastAsia="Calibri"/>
                <w:lang w:eastAsia="ru-RU"/>
              </w:rPr>
              <w:t>GHz and 20/30</w:t>
            </w:r>
            <w:r w:rsidR="00892DB2" w:rsidRPr="002674DC">
              <w:rPr>
                <w:rFonts w:eastAsia="Calibri"/>
                <w:lang w:eastAsia="ru-RU"/>
              </w:rPr>
              <w:t> </w:t>
            </w:r>
            <w:r w:rsidRPr="002674DC">
              <w:rPr>
                <w:rFonts w:eastAsia="Calibri"/>
                <w:lang w:eastAsia="ru-RU"/>
              </w:rPr>
              <w:t>GHz bands from emissions of non-geostationary-satellite systems operating in the same frequency bands and identical directions.</w:t>
            </w:r>
          </w:p>
        </w:tc>
        <w:tc>
          <w:tcPr>
            <w:tcW w:w="6662" w:type="dxa"/>
          </w:tcPr>
          <w:p w14:paraId="7950E6BA" w14:textId="54E016AA" w:rsidR="00B4085B" w:rsidRPr="002674DC" w:rsidRDefault="00B4085B" w:rsidP="003B4D6E">
            <w:pPr>
              <w:rPr>
                <w:rFonts w:eastAsia="Calibri"/>
                <w:b/>
                <w:lang w:eastAsia="ru-RU"/>
              </w:rPr>
            </w:pPr>
            <w:r w:rsidRPr="002674DC">
              <w:rPr>
                <w:rFonts w:eastAsia="Calibri"/>
                <w:b/>
                <w:lang w:eastAsia="ru-RU"/>
              </w:rPr>
              <w:t>Support Method C2</w:t>
            </w:r>
            <w:r w:rsidRPr="002674DC">
              <w:rPr>
                <w:rFonts w:eastAsia="Calibri"/>
                <w:lang w:eastAsia="ru-RU"/>
              </w:rPr>
              <w:t>, under which the concept of RR No.</w:t>
            </w:r>
            <w:r w:rsidR="00892DB2" w:rsidRPr="002674DC">
              <w:rPr>
                <w:rFonts w:eastAsia="Calibri"/>
                <w:lang w:eastAsia="ru-RU"/>
              </w:rPr>
              <w:t> </w:t>
            </w:r>
            <w:r w:rsidRPr="002674DC">
              <w:rPr>
                <w:rFonts w:eastAsia="Calibri"/>
                <w:b/>
                <w:lang w:eastAsia="ru-RU"/>
              </w:rPr>
              <w:t>22.2</w:t>
            </w:r>
            <w:r w:rsidRPr="002674DC">
              <w:rPr>
                <w:rFonts w:eastAsia="Calibri"/>
                <w:lang w:eastAsia="ru-RU"/>
              </w:rPr>
              <w:t xml:space="preserve"> is extended to the GSO MSS in the frequency bands 7</w:t>
            </w:r>
            <w:r w:rsidR="00892DB2" w:rsidRPr="002674DC">
              <w:rPr>
                <w:rFonts w:eastAsia="Calibri"/>
                <w:lang w:eastAsia="ru-RU"/>
              </w:rPr>
              <w:t> </w:t>
            </w:r>
            <w:r w:rsidRPr="002674DC">
              <w:rPr>
                <w:rFonts w:eastAsia="Calibri"/>
                <w:lang w:eastAsia="ru-RU"/>
              </w:rPr>
              <w:t>250</w:t>
            </w:r>
            <w:r w:rsidR="003B4D6E" w:rsidRPr="002674DC">
              <w:rPr>
                <w:rFonts w:eastAsia="Calibri"/>
                <w:lang w:eastAsia="ru-RU"/>
              </w:rPr>
              <w:t>-</w:t>
            </w:r>
            <w:r w:rsidRPr="002674DC">
              <w:rPr>
                <w:rFonts w:eastAsia="Calibri"/>
                <w:lang w:eastAsia="ru-RU"/>
              </w:rPr>
              <w:t>7</w:t>
            </w:r>
            <w:r w:rsidR="00892DB2" w:rsidRPr="002674DC">
              <w:rPr>
                <w:rFonts w:eastAsia="Calibri"/>
                <w:lang w:eastAsia="ru-RU"/>
              </w:rPr>
              <w:t> </w:t>
            </w:r>
            <w:r w:rsidRPr="002674DC">
              <w:rPr>
                <w:rFonts w:eastAsia="Calibri"/>
                <w:lang w:eastAsia="ru-RU"/>
              </w:rPr>
              <w:t>750</w:t>
            </w:r>
            <w:r w:rsidR="00892DB2" w:rsidRPr="002674DC">
              <w:rPr>
                <w:rFonts w:eastAsia="Calibri"/>
                <w:lang w:eastAsia="ru-RU"/>
              </w:rPr>
              <w:t> </w:t>
            </w:r>
            <w:r w:rsidRPr="002674DC">
              <w:rPr>
                <w:rFonts w:eastAsia="Calibri"/>
                <w:lang w:eastAsia="ru-RU"/>
              </w:rPr>
              <w:t>MHz (space-to-Earth), 7</w:t>
            </w:r>
            <w:r w:rsidR="00892DB2" w:rsidRPr="002674DC">
              <w:rPr>
                <w:rFonts w:eastAsia="Calibri"/>
                <w:lang w:eastAsia="ru-RU"/>
              </w:rPr>
              <w:t> </w:t>
            </w:r>
            <w:r w:rsidRPr="002674DC">
              <w:rPr>
                <w:rFonts w:eastAsia="Calibri"/>
                <w:lang w:eastAsia="ru-RU"/>
              </w:rPr>
              <w:t>900−8</w:t>
            </w:r>
            <w:r w:rsidR="00892DB2" w:rsidRPr="002674DC">
              <w:rPr>
                <w:rFonts w:eastAsia="Calibri"/>
                <w:lang w:eastAsia="ru-RU"/>
              </w:rPr>
              <w:t> </w:t>
            </w:r>
            <w:r w:rsidRPr="002674DC">
              <w:rPr>
                <w:rFonts w:eastAsia="Calibri"/>
                <w:lang w:eastAsia="ru-RU"/>
              </w:rPr>
              <w:t>025</w:t>
            </w:r>
            <w:r w:rsidR="00892DB2" w:rsidRPr="002674DC">
              <w:rPr>
                <w:rFonts w:eastAsia="Calibri"/>
                <w:lang w:eastAsia="ru-RU"/>
              </w:rPr>
              <w:t> </w:t>
            </w:r>
            <w:r w:rsidRPr="002674DC">
              <w:rPr>
                <w:rFonts w:eastAsia="Calibri"/>
                <w:lang w:eastAsia="ru-RU"/>
              </w:rPr>
              <w:t>MHz (Earth-to-space), 20.2</w:t>
            </w:r>
            <w:r w:rsidR="003B4D6E" w:rsidRPr="002674DC">
              <w:rPr>
                <w:rFonts w:eastAsia="Calibri"/>
                <w:lang w:eastAsia="ru-RU"/>
              </w:rPr>
              <w:t>-</w:t>
            </w:r>
            <w:r w:rsidRPr="002674DC">
              <w:rPr>
                <w:rFonts w:eastAsia="Calibri"/>
                <w:lang w:eastAsia="ru-RU"/>
              </w:rPr>
              <w:t>21.2</w:t>
            </w:r>
            <w:r w:rsidR="00892DB2" w:rsidRPr="002674DC">
              <w:rPr>
                <w:rFonts w:eastAsia="Calibri"/>
                <w:lang w:eastAsia="ru-RU"/>
              </w:rPr>
              <w:t> </w:t>
            </w:r>
            <w:r w:rsidRPr="002674DC">
              <w:rPr>
                <w:rFonts w:eastAsia="Calibri"/>
                <w:lang w:eastAsia="ru-RU"/>
              </w:rPr>
              <w:t>GHz (space-to-Earth) and 30−31</w:t>
            </w:r>
            <w:r w:rsidR="00921069" w:rsidRPr="002674DC">
              <w:rPr>
                <w:rFonts w:eastAsia="Calibri"/>
                <w:lang w:eastAsia="ru-RU"/>
              </w:rPr>
              <w:t> </w:t>
            </w:r>
            <w:r w:rsidRPr="002674DC">
              <w:rPr>
                <w:rFonts w:eastAsia="Calibri"/>
                <w:lang w:eastAsia="ru-RU"/>
              </w:rPr>
              <w:t>GHz (Earth-to-space) with the addition of the new provision No.</w:t>
            </w:r>
            <w:r w:rsidR="00921069" w:rsidRPr="002674DC">
              <w:rPr>
                <w:rFonts w:eastAsia="Calibri"/>
                <w:lang w:eastAsia="ru-RU"/>
              </w:rPr>
              <w:t> </w:t>
            </w:r>
            <w:r w:rsidRPr="002674DC">
              <w:rPr>
                <w:rFonts w:eastAsia="Calibri"/>
                <w:b/>
                <w:lang w:eastAsia="ru-RU"/>
              </w:rPr>
              <w:t>22.2</w:t>
            </w:r>
            <w:r w:rsidRPr="002674DC">
              <w:rPr>
                <w:rFonts w:eastAsia="Calibri"/>
                <w:b/>
                <w:i/>
                <w:iCs/>
                <w:lang w:eastAsia="ru-RU"/>
              </w:rPr>
              <w:t>bis</w:t>
            </w:r>
            <w:r w:rsidRPr="002674DC">
              <w:rPr>
                <w:rFonts w:eastAsia="Calibri"/>
                <w:lang w:eastAsia="ru-RU"/>
              </w:rPr>
              <w:t>.</w:t>
            </w:r>
          </w:p>
        </w:tc>
      </w:tr>
      <w:tr w:rsidR="00B4085B" w:rsidRPr="002674DC" w14:paraId="20118A13" w14:textId="77777777" w:rsidTr="008B1F69">
        <w:trPr>
          <w:jc w:val="center"/>
        </w:trPr>
        <w:tc>
          <w:tcPr>
            <w:tcW w:w="3114" w:type="dxa"/>
          </w:tcPr>
          <w:p w14:paraId="1E649732" w14:textId="77777777" w:rsidR="00B4085B" w:rsidRPr="002674DC" w:rsidRDefault="00B4085B" w:rsidP="003B4D6E">
            <w:pPr>
              <w:tabs>
                <w:tab w:val="clear" w:pos="1134"/>
                <w:tab w:val="clear" w:pos="1871"/>
                <w:tab w:val="clear" w:pos="2268"/>
              </w:tabs>
              <w:overflowPunct/>
              <w:autoSpaceDE/>
              <w:autoSpaceDN/>
              <w:adjustRightInd/>
              <w:textAlignment w:val="auto"/>
              <w:rPr>
                <w:rFonts w:eastAsia="Calibri"/>
                <w:b/>
                <w:i/>
                <w:szCs w:val="24"/>
                <w:lang w:eastAsia="ru-RU"/>
              </w:rPr>
            </w:pPr>
            <w:r w:rsidRPr="002674DC">
              <w:rPr>
                <w:rFonts w:eastAsia="Calibri"/>
                <w:b/>
                <w:i/>
                <w:szCs w:val="24"/>
                <w:lang w:eastAsia="ru-RU"/>
              </w:rPr>
              <w:t>AI 7 (Topic E)</w:t>
            </w:r>
          </w:p>
          <w:p w14:paraId="140923A5" w14:textId="1F410CEE" w:rsidR="00B4085B" w:rsidRPr="002674DC" w:rsidRDefault="00B4085B" w:rsidP="003B4D6E">
            <w:pPr>
              <w:rPr>
                <w:rFonts w:eastAsia="Calibri"/>
                <w:b/>
                <w:i/>
                <w:lang w:eastAsia="ru-RU"/>
              </w:rPr>
            </w:pPr>
            <w:r w:rsidRPr="002674DC">
              <w:rPr>
                <w:rFonts w:eastAsia="Calibri"/>
                <w:lang w:eastAsia="ru-RU"/>
              </w:rPr>
              <w:t>RR Appendix</w:t>
            </w:r>
            <w:r w:rsidR="00921069" w:rsidRPr="002674DC">
              <w:rPr>
                <w:rFonts w:eastAsia="Calibri"/>
                <w:lang w:eastAsia="ru-RU"/>
              </w:rPr>
              <w:t> </w:t>
            </w:r>
            <w:r w:rsidRPr="002674DC">
              <w:rPr>
                <w:rFonts w:eastAsia="Calibri"/>
                <w:b/>
                <w:lang w:eastAsia="ru-RU"/>
              </w:rPr>
              <w:t>30B</w:t>
            </w:r>
            <w:r w:rsidRPr="002674DC">
              <w:rPr>
                <w:rFonts w:eastAsia="Calibri"/>
                <w:lang w:eastAsia="ru-RU"/>
              </w:rPr>
              <w:t xml:space="preserve"> improved procedures for new Member States.</w:t>
            </w:r>
          </w:p>
        </w:tc>
        <w:tc>
          <w:tcPr>
            <w:tcW w:w="6662" w:type="dxa"/>
          </w:tcPr>
          <w:p w14:paraId="3DA9398C" w14:textId="3C9C7751" w:rsidR="00B4085B" w:rsidRPr="002674DC" w:rsidRDefault="00B4085B" w:rsidP="003B4D6E">
            <w:pPr>
              <w:rPr>
                <w:rFonts w:eastAsia="Calibri"/>
                <w:b/>
                <w:lang w:eastAsia="ru-RU"/>
              </w:rPr>
            </w:pPr>
            <w:r w:rsidRPr="002674DC">
              <w:rPr>
                <w:rFonts w:eastAsia="Calibri"/>
                <w:b/>
                <w:lang w:eastAsia="ru-RU"/>
              </w:rPr>
              <w:t>Support Method E2</w:t>
            </w:r>
            <w:r w:rsidRPr="002674DC">
              <w:rPr>
                <w:rFonts w:eastAsia="Calibri"/>
                <w:lang w:eastAsia="ru-RU"/>
              </w:rPr>
              <w:t xml:space="preserve"> - to grant new ITU Member States the same privileges that were granted by WRC</w:t>
            </w:r>
            <w:r w:rsidR="00921069" w:rsidRPr="002674DC">
              <w:rPr>
                <w:rFonts w:eastAsia="Calibri"/>
                <w:lang w:eastAsia="ru-RU"/>
              </w:rPr>
              <w:noBreakHyphen/>
            </w:r>
            <w:r w:rsidRPr="002674DC">
              <w:rPr>
                <w:rFonts w:eastAsia="Calibri"/>
                <w:lang w:eastAsia="ru-RU"/>
              </w:rPr>
              <w:t>19 to administrations without assignments in the Appendix</w:t>
            </w:r>
            <w:r w:rsidR="00921069" w:rsidRPr="002674DC">
              <w:rPr>
                <w:rFonts w:eastAsia="Calibri"/>
                <w:lang w:eastAsia="ru-RU"/>
              </w:rPr>
              <w:t> </w:t>
            </w:r>
            <w:r w:rsidRPr="002674DC">
              <w:rPr>
                <w:rFonts w:eastAsia="Calibri"/>
                <w:b/>
                <w:lang w:eastAsia="ru-RU"/>
              </w:rPr>
              <w:t>30B</w:t>
            </w:r>
            <w:r w:rsidRPr="002674DC">
              <w:rPr>
                <w:rFonts w:eastAsia="Calibri"/>
                <w:lang w:eastAsia="ru-RU"/>
              </w:rPr>
              <w:t xml:space="preserve"> List to the RR or with assignments in the process of coordination.</w:t>
            </w:r>
          </w:p>
        </w:tc>
      </w:tr>
      <w:tr w:rsidR="00B4085B" w:rsidRPr="002674DC" w14:paraId="5610F3AE" w14:textId="77777777" w:rsidTr="008B1F69">
        <w:trPr>
          <w:jc w:val="center"/>
        </w:trPr>
        <w:tc>
          <w:tcPr>
            <w:tcW w:w="3114" w:type="dxa"/>
          </w:tcPr>
          <w:p w14:paraId="5BEAC90D" w14:textId="77777777" w:rsidR="00B4085B" w:rsidRPr="002674DC" w:rsidRDefault="00B4085B" w:rsidP="003B4D6E">
            <w:pPr>
              <w:tabs>
                <w:tab w:val="clear" w:pos="1134"/>
                <w:tab w:val="clear" w:pos="1871"/>
                <w:tab w:val="clear" w:pos="2268"/>
              </w:tabs>
              <w:overflowPunct/>
              <w:autoSpaceDE/>
              <w:autoSpaceDN/>
              <w:adjustRightInd/>
              <w:textAlignment w:val="auto"/>
              <w:rPr>
                <w:rFonts w:eastAsia="Calibri"/>
                <w:b/>
                <w:i/>
                <w:szCs w:val="24"/>
                <w:lang w:eastAsia="ru-RU"/>
              </w:rPr>
            </w:pPr>
            <w:r w:rsidRPr="002674DC">
              <w:rPr>
                <w:rFonts w:eastAsia="Calibri"/>
                <w:b/>
                <w:i/>
                <w:szCs w:val="24"/>
                <w:lang w:eastAsia="ru-RU"/>
              </w:rPr>
              <w:t>AI 7 (Topic G)</w:t>
            </w:r>
          </w:p>
          <w:p w14:paraId="592FE2DE" w14:textId="0D088BFC" w:rsidR="00B4085B" w:rsidRPr="002674DC" w:rsidRDefault="00B4085B" w:rsidP="003B4D6E">
            <w:pPr>
              <w:rPr>
                <w:rFonts w:eastAsia="Calibri"/>
                <w:b/>
                <w:i/>
                <w:lang w:eastAsia="ru-RU"/>
              </w:rPr>
            </w:pPr>
            <w:r w:rsidRPr="002674DC">
              <w:rPr>
                <w:rFonts w:eastAsia="Calibri"/>
                <w:lang w:eastAsia="ru-RU"/>
              </w:rPr>
              <w:t>Revisions to Resolution</w:t>
            </w:r>
            <w:r w:rsidR="00921069" w:rsidRPr="002674DC">
              <w:rPr>
                <w:rFonts w:eastAsia="Calibri"/>
                <w:lang w:eastAsia="ru-RU"/>
              </w:rPr>
              <w:t> </w:t>
            </w:r>
            <w:r w:rsidRPr="002674DC">
              <w:rPr>
                <w:rFonts w:eastAsia="Calibri"/>
                <w:b/>
                <w:lang w:eastAsia="ru-RU"/>
              </w:rPr>
              <w:t>770</w:t>
            </w:r>
            <w:r w:rsidRPr="002674DC">
              <w:rPr>
                <w:rFonts w:eastAsia="Calibri"/>
                <w:lang w:eastAsia="ru-RU"/>
              </w:rPr>
              <w:t xml:space="preserve"> </w:t>
            </w:r>
            <w:r w:rsidRPr="002674DC">
              <w:rPr>
                <w:rFonts w:eastAsia="Calibri"/>
                <w:b/>
                <w:lang w:eastAsia="ru-RU"/>
              </w:rPr>
              <w:t>(WRC</w:t>
            </w:r>
            <w:r w:rsidR="00921069" w:rsidRPr="002674DC">
              <w:rPr>
                <w:rFonts w:eastAsia="Calibri"/>
                <w:b/>
                <w:lang w:eastAsia="ru-RU"/>
              </w:rPr>
              <w:noBreakHyphen/>
            </w:r>
            <w:r w:rsidRPr="002674DC">
              <w:rPr>
                <w:rFonts w:eastAsia="Calibri"/>
                <w:b/>
                <w:lang w:eastAsia="ru-RU"/>
              </w:rPr>
              <w:t>19)</w:t>
            </w:r>
            <w:r w:rsidRPr="002674DC">
              <w:rPr>
                <w:rFonts w:eastAsia="Calibri"/>
                <w:lang w:eastAsia="ru-RU"/>
              </w:rPr>
              <w:t xml:space="preserve"> to allow its implementation.</w:t>
            </w:r>
          </w:p>
        </w:tc>
        <w:tc>
          <w:tcPr>
            <w:tcW w:w="6662" w:type="dxa"/>
          </w:tcPr>
          <w:p w14:paraId="1D1F551D" w14:textId="4F1D67F3" w:rsidR="00B4085B" w:rsidRPr="002674DC" w:rsidRDefault="00B4085B" w:rsidP="003B4D6E">
            <w:pPr>
              <w:rPr>
                <w:rFonts w:eastAsia="Calibri"/>
                <w:b/>
                <w:lang w:eastAsia="ru-RU"/>
              </w:rPr>
            </w:pPr>
            <w:r w:rsidRPr="002674DC">
              <w:rPr>
                <w:rFonts w:eastAsia="Calibri"/>
                <w:b/>
                <w:lang w:eastAsia="ru-RU"/>
              </w:rPr>
              <w:t>Support Method G2</w:t>
            </w:r>
            <w:r w:rsidRPr="002674DC">
              <w:rPr>
                <w:rFonts w:eastAsia="Calibri"/>
                <w:lang w:eastAsia="ru-RU"/>
              </w:rPr>
              <w:t xml:space="preserve"> - to amend Resolution</w:t>
            </w:r>
            <w:r w:rsidR="00921069" w:rsidRPr="002674DC">
              <w:rPr>
                <w:rFonts w:eastAsia="Calibri"/>
                <w:lang w:eastAsia="ru-RU"/>
              </w:rPr>
              <w:t> </w:t>
            </w:r>
            <w:r w:rsidRPr="002674DC">
              <w:rPr>
                <w:rFonts w:eastAsia="Calibri"/>
                <w:b/>
                <w:lang w:eastAsia="ru-RU"/>
              </w:rPr>
              <w:t>770</w:t>
            </w:r>
            <w:r w:rsidRPr="002674DC">
              <w:rPr>
                <w:rFonts w:eastAsia="Calibri"/>
                <w:lang w:eastAsia="ru-RU"/>
              </w:rPr>
              <w:t xml:space="preserve"> </w:t>
            </w:r>
            <w:r w:rsidRPr="002674DC">
              <w:rPr>
                <w:rFonts w:eastAsia="Calibri"/>
                <w:b/>
                <w:lang w:eastAsia="ru-RU"/>
              </w:rPr>
              <w:t>(WRC</w:t>
            </w:r>
            <w:r w:rsidR="00921069" w:rsidRPr="002674DC">
              <w:rPr>
                <w:rFonts w:eastAsia="Calibri"/>
                <w:b/>
                <w:lang w:eastAsia="ru-RU"/>
              </w:rPr>
              <w:noBreakHyphen/>
            </w:r>
            <w:r w:rsidRPr="002674DC">
              <w:rPr>
                <w:rFonts w:eastAsia="Calibri"/>
                <w:b/>
                <w:lang w:eastAsia="ru-RU"/>
              </w:rPr>
              <w:t>19)</w:t>
            </w:r>
            <w:r w:rsidRPr="002674DC">
              <w:rPr>
                <w:rFonts w:eastAsia="Calibri"/>
                <w:lang w:eastAsia="ru-RU"/>
              </w:rPr>
              <w:t xml:space="preserve"> to ensure its implementation.</w:t>
            </w:r>
          </w:p>
        </w:tc>
      </w:tr>
      <w:tr w:rsidR="00B4085B" w:rsidRPr="002674DC" w14:paraId="6B4CE2FC" w14:textId="77777777" w:rsidTr="008B1F69">
        <w:trPr>
          <w:jc w:val="center"/>
        </w:trPr>
        <w:tc>
          <w:tcPr>
            <w:tcW w:w="3114" w:type="dxa"/>
          </w:tcPr>
          <w:p w14:paraId="63613240" w14:textId="77777777" w:rsidR="00B4085B" w:rsidRPr="002674DC" w:rsidRDefault="00B4085B" w:rsidP="003B4D6E">
            <w:pPr>
              <w:tabs>
                <w:tab w:val="clear" w:pos="1134"/>
                <w:tab w:val="clear" w:pos="1871"/>
                <w:tab w:val="clear" w:pos="2268"/>
              </w:tabs>
              <w:overflowPunct/>
              <w:autoSpaceDE/>
              <w:autoSpaceDN/>
              <w:adjustRightInd/>
              <w:textAlignment w:val="auto"/>
              <w:rPr>
                <w:rFonts w:eastAsia="Calibri"/>
                <w:b/>
                <w:i/>
                <w:szCs w:val="24"/>
                <w:lang w:eastAsia="ru-RU"/>
              </w:rPr>
            </w:pPr>
            <w:r w:rsidRPr="002674DC">
              <w:rPr>
                <w:rFonts w:eastAsia="Calibri"/>
                <w:b/>
                <w:i/>
                <w:szCs w:val="24"/>
                <w:lang w:eastAsia="ru-RU"/>
              </w:rPr>
              <w:t>AI 7 (Topic H)</w:t>
            </w:r>
          </w:p>
          <w:p w14:paraId="22D1AB80" w14:textId="70CEF8F9" w:rsidR="00B4085B" w:rsidRPr="002674DC" w:rsidRDefault="00B4085B" w:rsidP="003B4D6E">
            <w:pPr>
              <w:rPr>
                <w:rFonts w:eastAsia="Calibri"/>
                <w:b/>
                <w:i/>
                <w:lang w:eastAsia="ru-RU"/>
              </w:rPr>
            </w:pPr>
            <w:r w:rsidRPr="002674DC">
              <w:rPr>
                <w:rFonts w:eastAsia="Calibri"/>
                <w:lang w:eastAsia="ru-RU"/>
              </w:rPr>
              <w:t>Enhanced protection of RR Appendices</w:t>
            </w:r>
            <w:r w:rsidR="00921069" w:rsidRPr="002674DC">
              <w:rPr>
                <w:rFonts w:eastAsia="Calibri"/>
                <w:lang w:eastAsia="ru-RU"/>
              </w:rPr>
              <w:t> </w:t>
            </w:r>
            <w:r w:rsidRPr="002674DC">
              <w:rPr>
                <w:rFonts w:eastAsia="Calibri"/>
                <w:b/>
                <w:lang w:eastAsia="ru-RU"/>
              </w:rPr>
              <w:t>30/30A</w:t>
            </w:r>
            <w:r w:rsidRPr="002674DC">
              <w:rPr>
                <w:rFonts w:eastAsia="Calibri"/>
                <w:lang w:eastAsia="ru-RU"/>
              </w:rPr>
              <w:t xml:space="preserve"> in Regions</w:t>
            </w:r>
            <w:r w:rsidR="00921069" w:rsidRPr="002674DC">
              <w:rPr>
                <w:rFonts w:eastAsia="Calibri"/>
                <w:lang w:eastAsia="ru-RU"/>
              </w:rPr>
              <w:t> </w:t>
            </w:r>
            <w:r w:rsidRPr="002674DC">
              <w:rPr>
                <w:rFonts w:eastAsia="Calibri"/>
                <w:lang w:eastAsia="ru-RU"/>
              </w:rPr>
              <w:t>1 and</w:t>
            </w:r>
            <w:r w:rsidR="00921069" w:rsidRPr="002674DC">
              <w:rPr>
                <w:rFonts w:eastAsia="Calibri"/>
                <w:lang w:eastAsia="ru-RU"/>
              </w:rPr>
              <w:t> </w:t>
            </w:r>
            <w:r w:rsidRPr="002674DC">
              <w:rPr>
                <w:rFonts w:eastAsia="Calibri"/>
                <w:lang w:eastAsia="ru-RU"/>
              </w:rPr>
              <w:t>3 and RR Appendix</w:t>
            </w:r>
            <w:r w:rsidR="00921069" w:rsidRPr="002674DC">
              <w:rPr>
                <w:rFonts w:eastAsia="Calibri"/>
                <w:lang w:eastAsia="ru-RU"/>
              </w:rPr>
              <w:t> </w:t>
            </w:r>
            <w:r w:rsidRPr="002674DC">
              <w:rPr>
                <w:rFonts w:eastAsia="Calibri"/>
                <w:b/>
                <w:lang w:eastAsia="ru-RU"/>
              </w:rPr>
              <w:t>30B</w:t>
            </w:r>
            <w:r w:rsidRPr="002674DC">
              <w:rPr>
                <w:rFonts w:eastAsia="Calibri"/>
                <w:lang w:eastAsia="ru-RU"/>
              </w:rPr>
              <w:t>.</w:t>
            </w:r>
          </w:p>
        </w:tc>
        <w:tc>
          <w:tcPr>
            <w:tcW w:w="6662" w:type="dxa"/>
          </w:tcPr>
          <w:p w14:paraId="60AD16B4" w14:textId="77777777" w:rsidR="00B4085B" w:rsidRPr="002674DC" w:rsidRDefault="00B4085B" w:rsidP="003B4D6E">
            <w:pPr>
              <w:rPr>
                <w:rFonts w:eastAsia="Calibri"/>
                <w:b/>
                <w:lang w:eastAsia="ru-RU"/>
              </w:rPr>
            </w:pPr>
            <w:r w:rsidRPr="002674DC">
              <w:rPr>
                <w:rFonts w:eastAsia="Calibri"/>
                <w:b/>
                <w:lang w:eastAsia="ru-RU"/>
              </w:rPr>
              <w:t>Support Method H2A</w:t>
            </w:r>
            <w:r w:rsidRPr="002674DC">
              <w:rPr>
                <w:rFonts w:eastAsia="Calibri"/>
                <w:lang w:eastAsia="ru-RU"/>
              </w:rPr>
              <w:t xml:space="preserve"> - not to change the Radio Regulations.</w:t>
            </w:r>
          </w:p>
        </w:tc>
      </w:tr>
      <w:tr w:rsidR="00B4085B" w:rsidRPr="002674DC" w14:paraId="6914AB3D" w14:textId="77777777" w:rsidTr="003B4D6E">
        <w:trPr>
          <w:cantSplit/>
          <w:jc w:val="center"/>
        </w:trPr>
        <w:tc>
          <w:tcPr>
            <w:tcW w:w="3114" w:type="dxa"/>
          </w:tcPr>
          <w:p w14:paraId="7FACD774" w14:textId="77777777" w:rsidR="00B4085B" w:rsidRPr="002674DC" w:rsidRDefault="00B4085B" w:rsidP="003B4D6E">
            <w:pPr>
              <w:tabs>
                <w:tab w:val="clear" w:pos="1134"/>
                <w:tab w:val="clear" w:pos="1871"/>
                <w:tab w:val="clear" w:pos="2268"/>
              </w:tabs>
              <w:overflowPunct/>
              <w:autoSpaceDE/>
              <w:autoSpaceDN/>
              <w:adjustRightInd/>
              <w:textAlignment w:val="auto"/>
              <w:rPr>
                <w:rFonts w:eastAsia="Calibri"/>
                <w:b/>
                <w:i/>
                <w:szCs w:val="24"/>
                <w:lang w:eastAsia="ru-RU"/>
              </w:rPr>
            </w:pPr>
            <w:r w:rsidRPr="002674DC">
              <w:rPr>
                <w:rFonts w:eastAsia="Calibri"/>
                <w:b/>
                <w:i/>
                <w:szCs w:val="24"/>
                <w:lang w:eastAsia="ru-RU"/>
              </w:rPr>
              <w:lastRenderedPageBreak/>
              <w:t>AI 7 (Topic I)</w:t>
            </w:r>
          </w:p>
          <w:p w14:paraId="24D26B5D" w14:textId="587374C5" w:rsidR="00B4085B" w:rsidRPr="002674DC" w:rsidRDefault="00B4085B" w:rsidP="003B4D6E">
            <w:pPr>
              <w:rPr>
                <w:rFonts w:eastAsia="Calibri"/>
                <w:b/>
                <w:i/>
                <w:lang w:eastAsia="ru-RU"/>
              </w:rPr>
            </w:pPr>
            <w:r w:rsidRPr="002674DC">
              <w:rPr>
                <w:rFonts w:eastAsia="Calibri"/>
                <w:lang w:eastAsia="ru-RU"/>
              </w:rPr>
              <w:t>Special agreements under RR Appendix</w:t>
            </w:r>
            <w:r w:rsidR="00921069" w:rsidRPr="002674DC">
              <w:rPr>
                <w:rFonts w:eastAsia="Calibri"/>
                <w:lang w:eastAsia="ru-RU"/>
              </w:rPr>
              <w:t> </w:t>
            </w:r>
            <w:r w:rsidRPr="002674DC">
              <w:rPr>
                <w:rFonts w:eastAsia="Calibri"/>
                <w:b/>
                <w:lang w:eastAsia="ru-RU"/>
              </w:rPr>
              <w:t>30B</w:t>
            </w:r>
            <w:r w:rsidRPr="002674DC">
              <w:rPr>
                <w:rFonts w:eastAsia="Calibri"/>
                <w:lang w:eastAsia="ru-RU"/>
              </w:rPr>
              <w:t>.</w:t>
            </w:r>
          </w:p>
        </w:tc>
        <w:tc>
          <w:tcPr>
            <w:tcW w:w="6662" w:type="dxa"/>
          </w:tcPr>
          <w:p w14:paraId="376D89C1" w14:textId="77777777" w:rsidR="00B4085B" w:rsidRPr="002674DC" w:rsidRDefault="00B4085B" w:rsidP="003B4D6E">
            <w:pPr>
              <w:rPr>
                <w:rFonts w:eastAsia="Calibri"/>
                <w:lang w:eastAsia="ru-RU"/>
              </w:rPr>
            </w:pPr>
            <w:r w:rsidRPr="002674DC">
              <w:rPr>
                <w:rFonts w:eastAsia="Calibri"/>
                <w:b/>
                <w:lang w:eastAsia="ru-RU"/>
              </w:rPr>
              <w:t>Support Method I2</w:t>
            </w:r>
            <w:r w:rsidRPr="002674DC">
              <w:rPr>
                <w:rFonts w:eastAsia="Calibri"/>
                <w:lang w:eastAsia="ru-RU"/>
              </w:rPr>
              <w:t>, which proposes to:</w:t>
            </w:r>
          </w:p>
          <w:p w14:paraId="004A8915" w14:textId="58B5A9D5" w:rsidR="00B4085B" w:rsidRPr="002674DC" w:rsidRDefault="00B4085B" w:rsidP="003B4D6E">
            <w:pPr>
              <w:pStyle w:val="enumlev1"/>
              <w:ind w:left="567" w:hanging="567"/>
              <w:rPr>
                <w:rFonts w:eastAsia="Calibri"/>
                <w:lang w:eastAsia="ru-RU"/>
              </w:rPr>
            </w:pPr>
            <w:r w:rsidRPr="002674DC">
              <w:rPr>
                <w:rFonts w:eastAsia="Calibri"/>
                <w:lang w:eastAsia="ru-RU"/>
              </w:rPr>
              <w:t>–</w:t>
            </w:r>
            <w:r w:rsidR="003B4D6E" w:rsidRPr="002674DC">
              <w:rPr>
                <w:rFonts w:eastAsia="Calibri"/>
                <w:lang w:eastAsia="ru-RU"/>
              </w:rPr>
              <w:tab/>
            </w:r>
            <w:r w:rsidRPr="002674DC">
              <w:rPr>
                <w:rFonts w:eastAsia="Calibri"/>
                <w:lang w:eastAsia="ru-RU"/>
              </w:rPr>
              <w:t>define a new type of agreement between notifying administrations of a national allotment and of an assignment, respectively. Under such an agreement, the administration of the national allotment allows the assignment to operate until the bringing into use of its national allotment. At that time (that is to say, from the moment that the national allotment is brought into use), the administration of the assignment commits to respect the section</w:t>
            </w:r>
            <w:r w:rsidR="00921069" w:rsidRPr="002674DC">
              <w:rPr>
                <w:rFonts w:eastAsia="Calibri"/>
                <w:lang w:eastAsia="ru-RU"/>
              </w:rPr>
              <w:t> </w:t>
            </w:r>
            <w:r w:rsidRPr="002674DC">
              <w:rPr>
                <w:rFonts w:eastAsia="Calibri"/>
                <w:lang w:eastAsia="ru-RU"/>
              </w:rPr>
              <w:t>2.2 of Annex</w:t>
            </w:r>
            <w:r w:rsidR="00921069" w:rsidRPr="002674DC">
              <w:rPr>
                <w:rFonts w:eastAsia="Calibri"/>
                <w:lang w:eastAsia="ru-RU"/>
              </w:rPr>
              <w:t> </w:t>
            </w:r>
            <w:r w:rsidRPr="002674DC">
              <w:rPr>
                <w:rFonts w:eastAsia="Calibri"/>
                <w:lang w:eastAsia="ru-RU"/>
              </w:rPr>
              <w:t>4 pfd levels over the territory of the national allotment. As the national allotment and the assignment will not operate simultaneously</w:t>
            </w:r>
            <w:r w:rsidR="00921069" w:rsidRPr="002674DC">
              <w:rPr>
                <w:rFonts w:eastAsia="Calibri"/>
                <w:lang w:eastAsia="ru-RU"/>
              </w:rPr>
              <w:t xml:space="preserve"> </w:t>
            </w:r>
            <w:r w:rsidRPr="002674DC">
              <w:rPr>
                <w:rFonts w:eastAsia="Calibri"/>
                <w:lang w:eastAsia="ru-RU"/>
              </w:rPr>
              <w:t>the same frequency over the same area, mutual interference is not considered;</w:t>
            </w:r>
          </w:p>
          <w:p w14:paraId="4679A78C" w14:textId="7A293B35" w:rsidR="00B4085B" w:rsidRPr="002674DC" w:rsidRDefault="00B4085B" w:rsidP="003B4D6E">
            <w:pPr>
              <w:pStyle w:val="enumlev1"/>
              <w:ind w:left="567" w:hanging="567"/>
              <w:rPr>
                <w:rFonts w:eastAsia="Calibri"/>
                <w:bCs/>
                <w:color w:val="000000"/>
                <w:szCs w:val="24"/>
                <w:lang w:eastAsia="ru-RU"/>
              </w:rPr>
            </w:pPr>
            <w:r w:rsidRPr="002674DC">
              <w:rPr>
                <w:rFonts w:eastAsia="Calibri"/>
                <w:bCs/>
                <w:color w:val="000000"/>
                <w:szCs w:val="24"/>
                <w:lang w:eastAsia="ru-RU"/>
              </w:rPr>
              <w:t>–</w:t>
            </w:r>
            <w:r w:rsidR="003B4D6E" w:rsidRPr="002674DC">
              <w:rPr>
                <w:rFonts w:eastAsia="Calibri"/>
                <w:bCs/>
                <w:color w:val="000000"/>
                <w:szCs w:val="24"/>
                <w:lang w:eastAsia="ru-RU"/>
              </w:rPr>
              <w:tab/>
            </w:r>
            <w:r w:rsidRPr="002674DC">
              <w:rPr>
                <w:rFonts w:eastAsia="Calibri"/>
                <w:lang w:eastAsia="ru-RU"/>
              </w:rPr>
              <w:t>develop</w:t>
            </w:r>
            <w:r w:rsidRPr="002674DC">
              <w:rPr>
                <w:rFonts w:eastAsia="Calibri"/>
                <w:bCs/>
                <w:color w:val="000000"/>
                <w:szCs w:val="24"/>
                <w:lang w:eastAsia="ru-RU"/>
              </w:rPr>
              <w:t xml:space="preserve"> a new Resolution allowing the notifying administration of a national allotment, subject to agreements under §</w:t>
            </w:r>
            <w:r w:rsidR="00921069" w:rsidRPr="002674DC">
              <w:rPr>
                <w:rFonts w:eastAsia="Calibri"/>
                <w:bCs/>
                <w:color w:val="000000"/>
                <w:szCs w:val="24"/>
                <w:lang w:eastAsia="ru-RU"/>
              </w:rPr>
              <w:t> </w:t>
            </w:r>
            <w:r w:rsidRPr="002674DC">
              <w:rPr>
                <w:rFonts w:eastAsia="Calibri"/>
                <w:bCs/>
                <w:color w:val="000000"/>
                <w:szCs w:val="24"/>
                <w:lang w:eastAsia="ru-RU"/>
              </w:rPr>
              <w:t>6.15 of RR Appendix</w:t>
            </w:r>
            <w:r w:rsidR="00921069" w:rsidRPr="002674DC">
              <w:rPr>
                <w:rFonts w:eastAsia="Calibri"/>
                <w:bCs/>
                <w:color w:val="000000"/>
                <w:szCs w:val="24"/>
                <w:lang w:eastAsia="ru-RU"/>
              </w:rPr>
              <w:t> </w:t>
            </w:r>
            <w:r w:rsidRPr="002674DC">
              <w:rPr>
                <w:rFonts w:eastAsia="Calibri"/>
                <w:b/>
                <w:color w:val="000000"/>
                <w:szCs w:val="24"/>
                <w:lang w:eastAsia="ru-RU"/>
              </w:rPr>
              <w:t>30B</w:t>
            </w:r>
            <w:r w:rsidRPr="002674DC">
              <w:rPr>
                <w:rFonts w:eastAsia="Calibri"/>
                <w:bCs/>
                <w:color w:val="000000"/>
                <w:szCs w:val="24"/>
                <w:lang w:eastAsia="ru-RU"/>
              </w:rPr>
              <w:t>:</w:t>
            </w:r>
          </w:p>
          <w:p w14:paraId="441D7330" w14:textId="398B9BFD" w:rsidR="00B4085B" w:rsidRPr="002674DC" w:rsidRDefault="00B4085B" w:rsidP="003B4D6E">
            <w:pPr>
              <w:pStyle w:val="enumlev2"/>
              <w:ind w:left="1134" w:hanging="567"/>
              <w:rPr>
                <w:rFonts w:eastAsia="Calibri"/>
                <w:lang w:eastAsia="ru-RU"/>
              </w:rPr>
            </w:pPr>
            <w:r w:rsidRPr="002674DC">
              <w:rPr>
                <w:rFonts w:eastAsia="Calibri"/>
                <w:lang w:eastAsia="ru-RU"/>
              </w:rPr>
              <w:t>•</w:t>
            </w:r>
            <w:r w:rsidRPr="002674DC">
              <w:rPr>
                <w:rFonts w:eastAsia="Calibri"/>
                <w:lang w:eastAsia="ru-RU"/>
              </w:rPr>
              <w:tab/>
              <w:t>to sign this new type of agreement with the notifying administration of the concerned assignments;</w:t>
            </w:r>
          </w:p>
          <w:p w14:paraId="38D8CBAF" w14:textId="3BEBFE25" w:rsidR="00B4085B" w:rsidRPr="002674DC" w:rsidRDefault="00B4085B" w:rsidP="003B4D6E">
            <w:pPr>
              <w:pStyle w:val="enumlev2"/>
              <w:ind w:left="1134" w:hanging="567"/>
              <w:rPr>
                <w:rFonts w:eastAsia="Calibri"/>
                <w:lang w:eastAsia="ru-RU"/>
              </w:rPr>
            </w:pPr>
            <w:r w:rsidRPr="002674DC">
              <w:rPr>
                <w:rFonts w:eastAsia="Calibri"/>
                <w:lang w:eastAsia="ru-RU"/>
              </w:rPr>
              <w:t>•</w:t>
            </w:r>
            <w:r w:rsidRPr="002674DC">
              <w:rPr>
                <w:rFonts w:eastAsia="Calibri"/>
                <w:lang w:eastAsia="ru-RU"/>
              </w:rPr>
              <w:tab/>
              <w:t>to request the Bureau to update the reference situation without reviewing the previous examinations;</w:t>
            </w:r>
          </w:p>
          <w:p w14:paraId="700ACAD8" w14:textId="13FB2A34" w:rsidR="00B4085B" w:rsidRPr="002674DC" w:rsidRDefault="00253C2C" w:rsidP="003B4D6E">
            <w:pPr>
              <w:pStyle w:val="enumlev1"/>
              <w:ind w:left="567" w:hanging="567"/>
              <w:rPr>
                <w:rFonts w:eastAsia="Calibri"/>
                <w:b/>
                <w:color w:val="000000"/>
                <w:szCs w:val="24"/>
                <w:lang w:eastAsia="ru-RU"/>
              </w:rPr>
            </w:pPr>
            <w:r w:rsidRPr="002674DC">
              <w:rPr>
                <w:rFonts w:eastAsia="Calibri"/>
                <w:bCs/>
                <w:color w:val="000000"/>
                <w:szCs w:val="24"/>
                <w:lang w:eastAsia="ru-RU"/>
              </w:rPr>
              <w:t>–</w:t>
            </w:r>
            <w:r w:rsidR="003B4D6E" w:rsidRPr="002674DC">
              <w:rPr>
                <w:rFonts w:eastAsia="Calibri"/>
                <w:bCs/>
                <w:color w:val="000000"/>
                <w:szCs w:val="24"/>
                <w:lang w:eastAsia="ru-RU"/>
              </w:rPr>
              <w:tab/>
            </w:r>
            <w:r w:rsidR="00B4085B" w:rsidRPr="002674DC">
              <w:rPr>
                <w:rFonts w:eastAsia="Calibri"/>
                <w:bCs/>
                <w:color w:val="000000"/>
                <w:szCs w:val="24"/>
                <w:lang w:eastAsia="ru-RU"/>
              </w:rPr>
              <w:t xml:space="preserve">to request the notifying administrations of assignments for which the </w:t>
            </w:r>
            <w:r w:rsidR="00B4085B" w:rsidRPr="002674DC">
              <w:rPr>
                <w:rFonts w:eastAsia="Calibri"/>
                <w:lang w:eastAsia="ru-RU"/>
              </w:rPr>
              <w:t>procedures</w:t>
            </w:r>
            <w:r w:rsidR="00B4085B" w:rsidRPr="002674DC">
              <w:rPr>
                <w:rFonts w:eastAsia="Calibri"/>
                <w:bCs/>
                <w:color w:val="000000"/>
                <w:szCs w:val="24"/>
                <w:lang w:eastAsia="ru-RU"/>
              </w:rPr>
              <w:t xml:space="preserve"> of Article</w:t>
            </w:r>
            <w:r w:rsidR="00921069" w:rsidRPr="002674DC">
              <w:rPr>
                <w:rFonts w:eastAsia="Calibri"/>
                <w:bCs/>
                <w:color w:val="000000"/>
                <w:szCs w:val="24"/>
                <w:lang w:eastAsia="ru-RU"/>
              </w:rPr>
              <w:t> </w:t>
            </w:r>
            <w:r w:rsidR="00B4085B" w:rsidRPr="002674DC">
              <w:rPr>
                <w:rFonts w:eastAsia="Calibri"/>
                <w:b/>
                <w:color w:val="000000"/>
                <w:szCs w:val="24"/>
                <w:lang w:eastAsia="ru-RU"/>
              </w:rPr>
              <w:t>6</w:t>
            </w:r>
            <w:r w:rsidR="00B4085B" w:rsidRPr="002674DC">
              <w:rPr>
                <w:rFonts w:eastAsia="Calibri"/>
                <w:bCs/>
                <w:color w:val="000000"/>
                <w:szCs w:val="24"/>
                <w:lang w:eastAsia="ru-RU"/>
              </w:rPr>
              <w:t xml:space="preserve"> of RR Appendix</w:t>
            </w:r>
            <w:r w:rsidR="00921069" w:rsidRPr="002674DC">
              <w:rPr>
                <w:rFonts w:eastAsia="Calibri"/>
                <w:bCs/>
                <w:color w:val="000000"/>
                <w:szCs w:val="24"/>
                <w:lang w:eastAsia="ru-RU"/>
              </w:rPr>
              <w:t> </w:t>
            </w:r>
            <w:r w:rsidR="00B4085B" w:rsidRPr="002674DC">
              <w:rPr>
                <w:rFonts w:eastAsia="Calibri"/>
                <w:b/>
                <w:color w:val="000000"/>
                <w:szCs w:val="24"/>
                <w:lang w:eastAsia="ru-RU"/>
              </w:rPr>
              <w:t>30B</w:t>
            </w:r>
            <w:r w:rsidR="00B4085B" w:rsidRPr="002674DC">
              <w:rPr>
                <w:rFonts w:eastAsia="Calibri"/>
                <w:bCs/>
                <w:color w:val="000000"/>
                <w:szCs w:val="24"/>
                <w:lang w:eastAsia="ru-RU"/>
              </w:rPr>
              <w:t xml:space="preserve"> have not yet been completed and which have been examined by the Bureau before the signature of such agreement to make their utmost efforts to </w:t>
            </w:r>
            <w:proofErr w:type="gramStart"/>
            <w:r w:rsidR="00B4085B" w:rsidRPr="002674DC">
              <w:rPr>
                <w:rFonts w:eastAsia="Calibri"/>
                <w:bCs/>
                <w:color w:val="000000"/>
                <w:szCs w:val="24"/>
                <w:lang w:eastAsia="ru-RU"/>
              </w:rPr>
              <w:t>take into account</w:t>
            </w:r>
            <w:proofErr w:type="gramEnd"/>
            <w:r w:rsidR="00B4085B" w:rsidRPr="002674DC">
              <w:rPr>
                <w:rFonts w:eastAsia="Calibri"/>
                <w:bCs/>
                <w:color w:val="000000"/>
                <w:szCs w:val="24"/>
                <w:lang w:eastAsia="ru-RU"/>
              </w:rPr>
              <w:t xml:space="preserve"> the new reference situation of this national allotment.</w:t>
            </w:r>
          </w:p>
        </w:tc>
      </w:tr>
    </w:tbl>
    <w:p w14:paraId="0125A952" w14:textId="77777777" w:rsidR="001F1E08" w:rsidRPr="002674DC" w:rsidRDefault="001F1E08" w:rsidP="00921069">
      <w:pPr>
        <w:jc w:val="center"/>
      </w:pPr>
    </w:p>
    <w:p w14:paraId="4E78275B" w14:textId="53BFD39A" w:rsidR="00B4085B" w:rsidRPr="00B4085B" w:rsidRDefault="00921069" w:rsidP="00921069">
      <w:pPr>
        <w:jc w:val="center"/>
        <w:rPr>
          <w:lang w:val="en-US"/>
        </w:rPr>
      </w:pPr>
      <w:r w:rsidRPr="002674DC">
        <w:t>_______________</w:t>
      </w:r>
    </w:p>
    <w:sectPr w:rsidR="00B4085B" w:rsidRPr="00B4085B" w:rsidSect="0039169B">
      <w:headerReference w:type="default" r:id="rId14"/>
      <w:footerReference w:type="even" r:id="rId15"/>
      <w:footerReference w:type="default" r:id="rId16"/>
      <w:footerReference w:type="first" r:id="rId17"/>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89C8A" w14:textId="77777777" w:rsidR="00EB2741" w:rsidRDefault="00EB2741">
      <w:r>
        <w:separator/>
      </w:r>
    </w:p>
  </w:endnote>
  <w:endnote w:type="continuationSeparator" w:id="0">
    <w:p w14:paraId="159D23A6" w14:textId="77777777" w:rsidR="00EB2741" w:rsidRDefault="00EB2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77CB6" w14:textId="77777777" w:rsidR="00E45D05" w:rsidRDefault="00E45D05">
    <w:pPr>
      <w:framePr w:wrap="around" w:vAnchor="text" w:hAnchor="margin" w:xAlign="right" w:y="1"/>
    </w:pPr>
    <w:r>
      <w:fldChar w:fldCharType="begin"/>
    </w:r>
    <w:r>
      <w:instrText xml:space="preserve">PAGE  </w:instrText>
    </w:r>
    <w:r>
      <w:fldChar w:fldCharType="end"/>
    </w:r>
  </w:p>
  <w:p w14:paraId="68480C7C" w14:textId="33F5C46D"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3B4D6E">
      <w:rPr>
        <w:noProof/>
      </w:rPr>
      <w:t>03.11.23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83729" w14:textId="06528D67" w:rsidR="00E45D05" w:rsidRDefault="00E45D05" w:rsidP="009B1EA1">
    <w:pPr>
      <w:pStyle w:val="Footer"/>
    </w:pPr>
    <w:r>
      <w:fldChar w:fldCharType="begin"/>
    </w:r>
    <w:r w:rsidRPr="0041348E">
      <w:rPr>
        <w:lang w:val="en-US"/>
      </w:rPr>
      <w:instrText xml:space="preserve"> FILENAME \p  \* MERGEFORMAT </w:instrText>
    </w:r>
    <w:r>
      <w:fldChar w:fldCharType="separate"/>
    </w:r>
    <w:r w:rsidR="00892DB2">
      <w:rPr>
        <w:lang w:val="en-US"/>
      </w:rPr>
      <w:t>P:\ENG\ITU-R\CONF-R\CMR23\100\194E.doc</w:t>
    </w:r>
    <w:r>
      <w:fldChar w:fldCharType="end"/>
    </w:r>
    <w:r w:rsidR="00892DB2">
      <w:t xml:space="preserve"> (530631)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211C2" w14:textId="183F74F0" w:rsidR="00892DB2" w:rsidRDefault="002674DC">
    <w:pPr>
      <w:pStyle w:val="Footer"/>
    </w:pPr>
    <w:r>
      <w:fldChar w:fldCharType="begin"/>
    </w:r>
    <w:r>
      <w:instrText xml:space="preserve"> FILENAME \p \* MERGEFORMAT </w:instrText>
    </w:r>
    <w:r>
      <w:fldChar w:fldCharType="separate"/>
    </w:r>
    <w:r w:rsidR="00892DB2">
      <w:t>P:\ENG\ITU-R\CONF-R\CMR23\100\194E.doc</w:t>
    </w:r>
    <w:r>
      <w:fldChar w:fldCharType="end"/>
    </w:r>
    <w:r w:rsidR="00892DB2">
      <w:t xml:space="preserve"> (530631)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A02A3" w14:textId="77777777" w:rsidR="00EB2741" w:rsidRDefault="00EB2741">
      <w:r>
        <w:rPr>
          <w:b/>
        </w:rPr>
        <w:t>_______________</w:t>
      </w:r>
    </w:p>
  </w:footnote>
  <w:footnote w:type="continuationSeparator" w:id="0">
    <w:p w14:paraId="47C09357" w14:textId="77777777" w:rsidR="00EB2741" w:rsidRDefault="00EB2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DC63E"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33DB34C1" w14:textId="77777777" w:rsidR="00A066F1" w:rsidRPr="00A066F1" w:rsidRDefault="00BC75DE" w:rsidP="00241FA2">
    <w:pPr>
      <w:pStyle w:val="Header"/>
    </w:pPr>
    <w:r>
      <w:t>WRC</w:t>
    </w:r>
    <w:r w:rsidR="006D70B0">
      <w:t>23</w:t>
    </w:r>
    <w:r w:rsidR="00A066F1">
      <w:t>/</w:t>
    </w:r>
    <w:bookmarkStart w:id="7" w:name="OLE_LINK1"/>
    <w:bookmarkStart w:id="8" w:name="OLE_LINK2"/>
    <w:bookmarkStart w:id="9" w:name="OLE_LINK3"/>
    <w:r w:rsidR="00EB55C6">
      <w:t>194</w:t>
    </w:r>
    <w:bookmarkEnd w:id="7"/>
    <w:bookmarkEnd w:id="8"/>
    <w:bookmarkEnd w:id="9"/>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232548127">
    <w:abstractNumId w:val="0"/>
  </w:num>
  <w:num w:numId="2" w16cid:durableId="33969854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66EE"/>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61F26"/>
    <w:rsid w:val="00187BD9"/>
    <w:rsid w:val="00190B55"/>
    <w:rsid w:val="001A03ED"/>
    <w:rsid w:val="001C3B5F"/>
    <w:rsid w:val="001D058F"/>
    <w:rsid w:val="001E605C"/>
    <w:rsid w:val="001F1E08"/>
    <w:rsid w:val="002009EA"/>
    <w:rsid w:val="00202756"/>
    <w:rsid w:val="00202CA0"/>
    <w:rsid w:val="002153A3"/>
    <w:rsid w:val="00216B6D"/>
    <w:rsid w:val="0022757F"/>
    <w:rsid w:val="00241FA2"/>
    <w:rsid w:val="00253986"/>
    <w:rsid w:val="00253C2C"/>
    <w:rsid w:val="002674DC"/>
    <w:rsid w:val="00271316"/>
    <w:rsid w:val="002B349C"/>
    <w:rsid w:val="002D58BE"/>
    <w:rsid w:val="002F4747"/>
    <w:rsid w:val="00302605"/>
    <w:rsid w:val="00361B37"/>
    <w:rsid w:val="00377BD3"/>
    <w:rsid w:val="00384088"/>
    <w:rsid w:val="003852CE"/>
    <w:rsid w:val="0039169B"/>
    <w:rsid w:val="003A7F8C"/>
    <w:rsid w:val="003B2284"/>
    <w:rsid w:val="003B4D6E"/>
    <w:rsid w:val="003B532E"/>
    <w:rsid w:val="003D0F8B"/>
    <w:rsid w:val="003E0DB6"/>
    <w:rsid w:val="0041348E"/>
    <w:rsid w:val="00420873"/>
    <w:rsid w:val="00492075"/>
    <w:rsid w:val="004969AD"/>
    <w:rsid w:val="004A26C4"/>
    <w:rsid w:val="004B13CB"/>
    <w:rsid w:val="004D26EA"/>
    <w:rsid w:val="004D2BFB"/>
    <w:rsid w:val="004D5D5C"/>
    <w:rsid w:val="004F3DC0"/>
    <w:rsid w:val="0050139F"/>
    <w:rsid w:val="005343F6"/>
    <w:rsid w:val="0055140B"/>
    <w:rsid w:val="005861D7"/>
    <w:rsid w:val="005964AB"/>
    <w:rsid w:val="005C099A"/>
    <w:rsid w:val="005C31A5"/>
    <w:rsid w:val="005E10C9"/>
    <w:rsid w:val="005E290B"/>
    <w:rsid w:val="005E61DD"/>
    <w:rsid w:val="005F04D8"/>
    <w:rsid w:val="006023DF"/>
    <w:rsid w:val="00615426"/>
    <w:rsid w:val="00616219"/>
    <w:rsid w:val="0063594D"/>
    <w:rsid w:val="00645B7D"/>
    <w:rsid w:val="00657DE0"/>
    <w:rsid w:val="00685313"/>
    <w:rsid w:val="00692833"/>
    <w:rsid w:val="006A140C"/>
    <w:rsid w:val="006A6E9B"/>
    <w:rsid w:val="006B7C2A"/>
    <w:rsid w:val="006C23DA"/>
    <w:rsid w:val="006D26B4"/>
    <w:rsid w:val="006D70B0"/>
    <w:rsid w:val="006E3D45"/>
    <w:rsid w:val="0070607A"/>
    <w:rsid w:val="007149F9"/>
    <w:rsid w:val="00733A30"/>
    <w:rsid w:val="00745AEE"/>
    <w:rsid w:val="00750F10"/>
    <w:rsid w:val="007742CA"/>
    <w:rsid w:val="00790D70"/>
    <w:rsid w:val="007A6F1F"/>
    <w:rsid w:val="007D5320"/>
    <w:rsid w:val="007E1E5F"/>
    <w:rsid w:val="007E4447"/>
    <w:rsid w:val="00800972"/>
    <w:rsid w:val="00804475"/>
    <w:rsid w:val="00811633"/>
    <w:rsid w:val="00814037"/>
    <w:rsid w:val="00841216"/>
    <w:rsid w:val="00842AF0"/>
    <w:rsid w:val="0086171E"/>
    <w:rsid w:val="0087299C"/>
    <w:rsid w:val="00872FC8"/>
    <w:rsid w:val="008845D0"/>
    <w:rsid w:val="00884D60"/>
    <w:rsid w:val="00892DB2"/>
    <w:rsid w:val="00896E56"/>
    <w:rsid w:val="008B1F69"/>
    <w:rsid w:val="008B43F2"/>
    <w:rsid w:val="008B6CFF"/>
    <w:rsid w:val="0090555E"/>
    <w:rsid w:val="00921069"/>
    <w:rsid w:val="009274B4"/>
    <w:rsid w:val="00934EA2"/>
    <w:rsid w:val="00944A5C"/>
    <w:rsid w:val="00952A66"/>
    <w:rsid w:val="00984674"/>
    <w:rsid w:val="009B1EA1"/>
    <w:rsid w:val="009B7C9A"/>
    <w:rsid w:val="009C56E5"/>
    <w:rsid w:val="009C7716"/>
    <w:rsid w:val="009E5FC8"/>
    <w:rsid w:val="009E687A"/>
    <w:rsid w:val="009F236F"/>
    <w:rsid w:val="00A05EC8"/>
    <w:rsid w:val="00A066F1"/>
    <w:rsid w:val="00A11114"/>
    <w:rsid w:val="00A141AF"/>
    <w:rsid w:val="00A16D29"/>
    <w:rsid w:val="00A30305"/>
    <w:rsid w:val="00A31D2D"/>
    <w:rsid w:val="00A4600A"/>
    <w:rsid w:val="00A538A6"/>
    <w:rsid w:val="00A54C25"/>
    <w:rsid w:val="00A710E7"/>
    <w:rsid w:val="00A7372E"/>
    <w:rsid w:val="00A8284C"/>
    <w:rsid w:val="00A93B85"/>
    <w:rsid w:val="00AA0B18"/>
    <w:rsid w:val="00AA3C65"/>
    <w:rsid w:val="00AA666F"/>
    <w:rsid w:val="00AD7914"/>
    <w:rsid w:val="00AE514B"/>
    <w:rsid w:val="00B4085B"/>
    <w:rsid w:val="00B40888"/>
    <w:rsid w:val="00B639E9"/>
    <w:rsid w:val="00B817CD"/>
    <w:rsid w:val="00B81A7D"/>
    <w:rsid w:val="00B91EF7"/>
    <w:rsid w:val="00B94AD0"/>
    <w:rsid w:val="00BB3A95"/>
    <w:rsid w:val="00BC75DE"/>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1BAC"/>
    <w:rsid w:val="00CB44E5"/>
    <w:rsid w:val="00CC247A"/>
    <w:rsid w:val="00CD7ABC"/>
    <w:rsid w:val="00CE388F"/>
    <w:rsid w:val="00CE5E47"/>
    <w:rsid w:val="00CF020F"/>
    <w:rsid w:val="00CF2B5B"/>
    <w:rsid w:val="00D14CE0"/>
    <w:rsid w:val="00D255D4"/>
    <w:rsid w:val="00D268B3"/>
    <w:rsid w:val="00D31249"/>
    <w:rsid w:val="00D52FD6"/>
    <w:rsid w:val="00D54009"/>
    <w:rsid w:val="00D5651D"/>
    <w:rsid w:val="00D57A34"/>
    <w:rsid w:val="00D74898"/>
    <w:rsid w:val="00D801ED"/>
    <w:rsid w:val="00D83A02"/>
    <w:rsid w:val="00D91BE5"/>
    <w:rsid w:val="00D936BC"/>
    <w:rsid w:val="00D96530"/>
    <w:rsid w:val="00DA1CB1"/>
    <w:rsid w:val="00DD1747"/>
    <w:rsid w:val="00DD44AF"/>
    <w:rsid w:val="00DE2AC3"/>
    <w:rsid w:val="00DE5692"/>
    <w:rsid w:val="00DE6300"/>
    <w:rsid w:val="00DF4BC6"/>
    <w:rsid w:val="00DF78E0"/>
    <w:rsid w:val="00E03C94"/>
    <w:rsid w:val="00E205BC"/>
    <w:rsid w:val="00E26226"/>
    <w:rsid w:val="00E45D05"/>
    <w:rsid w:val="00E466A3"/>
    <w:rsid w:val="00E55816"/>
    <w:rsid w:val="00E55AEF"/>
    <w:rsid w:val="00E976C1"/>
    <w:rsid w:val="00EA12E5"/>
    <w:rsid w:val="00EB0812"/>
    <w:rsid w:val="00EB2741"/>
    <w:rsid w:val="00EB54B2"/>
    <w:rsid w:val="00EB55C6"/>
    <w:rsid w:val="00EF1932"/>
    <w:rsid w:val="00EF71B6"/>
    <w:rsid w:val="00F02766"/>
    <w:rsid w:val="00F05BD4"/>
    <w:rsid w:val="00F06473"/>
    <w:rsid w:val="00F22138"/>
    <w:rsid w:val="00F320AA"/>
    <w:rsid w:val="00F6155B"/>
    <w:rsid w:val="00F65C19"/>
    <w:rsid w:val="00F822B0"/>
    <w:rsid w:val="00FC0127"/>
    <w:rsid w:val="00FD08E2"/>
    <w:rsid w:val="00FD18DA"/>
    <w:rsid w:val="00FD2546"/>
    <w:rsid w:val="00FD772E"/>
    <w:rsid w:val="00FE03DB"/>
    <w:rsid w:val="00FE78C7"/>
    <w:rsid w:val="00FE790C"/>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D4224D"/>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DD1747"/>
    <w:rPr>
      <w:rFonts w:ascii="Times New Roman" w:hAnsi="Times New Roman"/>
      <w:sz w:val="24"/>
      <w:lang w:val="en-GB" w:eastAsia="en-US"/>
    </w:rPr>
  </w:style>
  <w:style w:type="character" w:styleId="CommentReference">
    <w:name w:val="annotation reference"/>
    <w:basedOn w:val="DefaultParagraphFont"/>
    <w:semiHidden/>
    <w:unhideWhenUsed/>
    <w:rsid w:val="00892DB2"/>
    <w:rPr>
      <w:sz w:val="16"/>
      <w:szCs w:val="16"/>
    </w:rPr>
  </w:style>
  <w:style w:type="paragraph" w:styleId="CommentText">
    <w:name w:val="annotation text"/>
    <w:basedOn w:val="Normal"/>
    <w:link w:val="CommentTextChar"/>
    <w:unhideWhenUsed/>
    <w:rsid w:val="00892DB2"/>
    <w:rPr>
      <w:sz w:val="20"/>
    </w:rPr>
  </w:style>
  <w:style w:type="character" w:customStyle="1" w:styleId="CommentTextChar">
    <w:name w:val="Comment Text Char"/>
    <w:basedOn w:val="DefaultParagraphFont"/>
    <w:link w:val="CommentText"/>
    <w:rsid w:val="00892DB2"/>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892DB2"/>
    <w:rPr>
      <w:b/>
      <w:bCs/>
    </w:rPr>
  </w:style>
  <w:style w:type="character" w:customStyle="1" w:styleId="CommentSubjectChar">
    <w:name w:val="Comment Subject Char"/>
    <w:basedOn w:val="CommentTextChar"/>
    <w:link w:val="CommentSubject"/>
    <w:semiHidden/>
    <w:rsid w:val="00892DB2"/>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R23-WRC23-C-0194!!MSW-E</DPM_x0020_File_x0020_name>
    <DPM_x0020_Author xmlns="76b7d054-b29f-418b-b414-6b742f999448">DPM</DPM_x0020_Author>
    <DPM_x0020_Version xmlns="76b7d054-b29f-418b-b414-6b742f999448">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323A2-3147-4FA1-B6C1-9CA8B5121760}">
  <ds:schemaRefs>
    <ds:schemaRef ds:uri="http://schemas.microsoft.com/office/2006/metadata/properties"/>
    <ds:schemaRef ds:uri="http://schemas.microsoft.com/office/infopath/2007/PartnerControls"/>
    <ds:schemaRef ds:uri="76b7d054-b29f-418b-b414-6b742f999448"/>
  </ds:schemaRefs>
</ds:datastoreItem>
</file>

<file path=customXml/itemProps2.xml><?xml version="1.0" encoding="utf-8"?>
<ds:datastoreItem xmlns:ds="http://schemas.openxmlformats.org/officeDocument/2006/customXml" ds:itemID="{382C5094-BF26-4769-9E82-BFC80A2DC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008C8E-B188-4B00-9683-9FF7D22B38D8}">
  <ds:schemaRefs>
    <ds:schemaRef ds:uri="http://schemas.microsoft.com/sharepoint/events"/>
  </ds:schemaRefs>
</ds:datastoreItem>
</file>

<file path=customXml/itemProps4.xml><?xml version="1.0" encoding="utf-8"?>
<ds:datastoreItem xmlns:ds="http://schemas.openxmlformats.org/officeDocument/2006/customXml" ds:itemID="{CBC11730-B67E-487D-9356-464F95F59E19}">
  <ds:schemaRefs>
    <ds:schemaRef ds:uri="http://schemas.microsoft.com/sharepoint/v3/contenttype/forms"/>
  </ds:schemaRefs>
</ds:datastoreItem>
</file>

<file path=customXml/itemProps5.xml><?xml version="1.0" encoding="utf-8"?>
<ds:datastoreItem xmlns:ds="http://schemas.openxmlformats.org/officeDocument/2006/customXml" ds:itemID="{BD0BCF4A-BEDC-474B-A39C-36457154E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5</Pages>
  <Words>1225</Words>
  <Characters>7001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R23-WRC23-C-0194!!MSW-E</vt:lpstr>
    </vt:vector>
  </TitlesOfParts>
  <Manager>General Secretariat - Pool</Manager>
  <Company>International Telecommunication Union (ITU)</Company>
  <LinksUpToDate>false</LinksUpToDate>
  <CharactersWithSpaces>8210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R23-WRC23-C-0194!!MSW-E</dc:title>
  <dc:subject>World Radiocommunication Conference - 2023</dc:subject>
  <dc:creator>Documents Proposals Manager (DPM)</dc:creator>
  <cp:keywords>DPM_v2023.8.1.1_prod</cp:keywords>
  <dc:description>Uploaded on 2015.07.06</dc:description>
  <cp:lastModifiedBy>TPU E RR</cp:lastModifiedBy>
  <cp:revision>5</cp:revision>
  <cp:lastPrinted>2017-02-10T08:23:00Z</cp:lastPrinted>
  <dcterms:created xsi:type="dcterms:W3CDTF">2023-11-03T09:39:00Z</dcterms:created>
  <dcterms:modified xsi:type="dcterms:W3CDTF">2023-11-05T16:19:00Z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