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543BA" w14:paraId="391D499B" w14:textId="77777777" w:rsidTr="00C1305F">
        <w:trPr>
          <w:cantSplit/>
        </w:trPr>
        <w:tc>
          <w:tcPr>
            <w:tcW w:w="1418" w:type="dxa"/>
            <w:vAlign w:val="center"/>
          </w:tcPr>
          <w:p w14:paraId="3DDC1932" w14:textId="77777777" w:rsidR="00C1305F" w:rsidRPr="006543BA" w:rsidRDefault="00C1305F" w:rsidP="00197A4A">
            <w:pPr>
              <w:spacing w:before="0"/>
              <w:rPr>
                <w:rFonts w:ascii="Verdana" w:hAnsi="Verdana"/>
                <w:b/>
                <w:bCs/>
                <w:noProof/>
                <w:sz w:val="20"/>
              </w:rPr>
            </w:pPr>
            <w:r w:rsidRPr="006543BA">
              <w:rPr>
                <w:noProof/>
              </w:rPr>
              <w:drawing>
                <wp:inline distT="0" distB="0" distL="0" distR="0" wp14:anchorId="75BB6390" wp14:editId="30E7721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FBF5C98" w14:textId="22CAF778" w:rsidR="00C1305F" w:rsidRPr="006543BA" w:rsidRDefault="00C1305F" w:rsidP="00197A4A">
            <w:pPr>
              <w:spacing w:before="400" w:after="48"/>
              <w:rPr>
                <w:rFonts w:ascii="Verdana" w:hAnsi="Verdana"/>
                <w:b/>
                <w:bCs/>
                <w:noProof/>
                <w:sz w:val="20"/>
              </w:rPr>
            </w:pPr>
            <w:r w:rsidRPr="006543BA">
              <w:rPr>
                <w:rFonts w:ascii="Verdana" w:hAnsi="Verdana"/>
                <w:b/>
                <w:bCs/>
                <w:noProof/>
                <w:sz w:val="20"/>
              </w:rPr>
              <w:t>Conférence mondiale des radiocommunications (CMR-23)</w:t>
            </w:r>
            <w:r w:rsidRPr="006543BA">
              <w:rPr>
                <w:rFonts w:ascii="Verdana" w:hAnsi="Verdana"/>
                <w:b/>
                <w:bCs/>
                <w:noProof/>
                <w:sz w:val="20"/>
              </w:rPr>
              <w:br/>
            </w:r>
            <w:r w:rsidRPr="006543B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Dubaï, 20 novembre </w:t>
            </w:r>
            <w:r w:rsidR="001D4B19" w:rsidRPr="006543B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–</w:t>
            </w:r>
            <w:r w:rsidRPr="006543B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2B500D5C" w14:textId="77777777" w:rsidR="00C1305F" w:rsidRPr="006543BA" w:rsidRDefault="00C1305F" w:rsidP="00197A4A">
            <w:pPr>
              <w:spacing w:before="0"/>
              <w:rPr>
                <w:noProof/>
              </w:rPr>
            </w:pPr>
            <w:bookmarkStart w:id="0" w:name="ditulogo"/>
            <w:bookmarkEnd w:id="0"/>
            <w:r w:rsidRPr="006543BA">
              <w:rPr>
                <w:noProof/>
              </w:rPr>
              <w:drawing>
                <wp:inline distT="0" distB="0" distL="0" distR="0" wp14:anchorId="3A11A478" wp14:editId="51DF529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543BA" w14:paraId="5DD35E6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39D8837" w14:textId="77777777" w:rsidR="00BB1D82" w:rsidRPr="006543BA" w:rsidRDefault="00BB1D82" w:rsidP="00197A4A">
            <w:pPr>
              <w:spacing w:before="0" w:after="48"/>
              <w:rPr>
                <w:b/>
                <w:smallCaps/>
                <w:noProof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D7F75B4" w14:textId="77777777" w:rsidR="00BB1D82" w:rsidRPr="006543BA" w:rsidRDefault="00BB1D82" w:rsidP="00197A4A">
            <w:pPr>
              <w:spacing w:before="0"/>
              <w:rPr>
                <w:rFonts w:ascii="Verdana" w:hAnsi="Verdana"/>
                <w:noProof/>
                <w:szCs w:val="24"/>
              </w:rPr>
            </w:pPr>
          </w:p>
        </w:tc>
      </w:tr>
      <w:tr w:rsidR="00BB1D82" w:rsidRPr="006543BA" w14:paraId="3647945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0DA1B85" w14:textId="77777777" w:rsidR="00BB1D82" w:rsidRPr="006543BA" w:rsidRDefault="00BB1D82" w:rsidP="00197A4A">
            <w:pPr>
              <w:spacing w:before="0" w:after="48"/>
              <w:rPr>
                <w:rFonts w:ascii="Verdana" w:hAnsi="Verdana"/>
                <w:b/>
                <w:smallCaps/>
                <w:noProof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A5E7F55" w14:textId="77777777" w:rsidR="00BB1D82" w:rsidRPr="006543BA" w:rsidRDefault="00BB1D82" w:rsidP="00197A4A">
            <w:pPr>
              <w:spacing w:before="0"/>
              <w:rPr>
                <w:rFonts w:ascii="Verdana" w:hAnsi="Verdana"/>
                <w:noProof/>
                <w:sz w:val="20"/>
              </w:rPr>
            </w:pPr>
          </w:p>
        </w:tc>
      </w:tr>
      <w:tr w:rsidR="00BB1D82" w:rsidRPr="006543BA" w14:paraId="3393472A" w14:textId="77777777" w:rsidTr="00BB1D82">
        <w:trPr>
          <w:cantSplit/>
        </w:trPr>
        <w:tc>
          <w:tcPr>
            <w:tcW w:w="6911" w:type="dxa"/>
            <w:gridSpan w:val="2"/>
          </w:tcPr>
          <w:p w14:paraId="73123A0C" w14:textId="77777777" w:rsidR="00BB1D82" w:rsidRPr="006543BA" w:rsidRDefault="006D4724" w:rsidP="00197A4A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  <w:r w:rsidRPr="006543BA">
              <w:rPr>
                <w:rFonts w:ascii="Verdana" w:hAnsi="Verdana"/>
                <w:b/>
                <w:noProof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D49CEE7" w14:textId="77777777" w:rsidR="00BB1D82" w:rsidRPr="006543BA" w:rsidRDefault="006D4724" w:rsidP="00197A4A">
            <w:pPr>
              <w:spacing w:before="0"/>
              <w:rPr>
                <w:rFonts w:ascii="Verdana" w:hAnsi="Verdana"/>
                <w:noProof/>
                <w:sz w:val="20"/>
              </w:rPr>
            </w:pPr>
            <w:r w:rsidRPr="006543BA">
              <w:rPr>
                <w:rFonts w:ascii="Verdana" w:hAnsi="Verdana"/>
                <w:b/>
                <w:noProof/>
                <w:sz w:val="20"/>
              </w:rPr>
              <w:t>Document 188</w:t>
            </w:r>
            <w:r w:rsidR="00BB1D82" w:rsidRPr="006543BA">
              <w:rPr>
                <w:rFonts w:ascii="Verdana" w:hAnsi="Verdana"/>
                <w:b/>
                <w:noProof/>
                <w:sz w:val="20"/>
              </w:rPr>
              <w:t>-</w:t>
            </w:r>
            <w:r w:rsidRPr="006543BA">
              <w:rPr>
                <w:rFonts w:ascii="Verdana" w:hAnsi="Verdana"/>
                <w:b/>
                <w:noProof/>
                <w:sz w:val="20"/>
              </w:rPr>
              <w:t>F</w:t>
            </w:r>
          </w:p>
        </w:tc>
      </w:tr>
      <w:bookmarkEnd w:id="1"/>
      <w:tr w:rsidR="00690C7B" w:rsidRPr="006543BA" w14:paraId="7977BE8B" w14:textId="77777777" w:rsidTr="00BB1D82">
        <w:trPr>
          <w:cantSplit/>
        </w:trPr>
        <w:tc>
          <w:tcPr>
            <w:tcW w:w="6911" w:type="dxa"/>
            <w:gridSpan w:val="2"/>
          </w:tcPr>
          <w:p w14:paraId="341DE888" w14:textId="77777777" w:rsidR="00690C7B" w:rsidRPr="006543BA" w:rsidRDefault="00690C7B" w:rsidP="00197A4A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</w:p>
        </w:tc>
        <w:tc>
          <w:tcPr>
            <w:tcW w:w="3120" w:type="dxa"/>
            <w:gridSpan w:val="2"/>
          </w:tcPr>
          <w:p w14:paraId="7A6E6DD0" w14:textId="77777777" w:rsidR="00690C7B" w:rsidRPr="006543BA" w:rsidRDefault="00690C7B" w:rsidP="00197A4A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  <w:r w:rsidRPr="006543BA">
              <w:rPr>
                <w:rFonts w:ascii="Verdana" w:hAnsi="Verdana"/>
                <w:b/>
                <w:noProof/>
                <w:sz w:val="20"/>
              </w:rPr>
              <w:t>25 octobre 2023</w:t>
            </w:r>
          </w:p>
        </w:tc>
      </w:tr>
      <w:tr w:rsidR="00690C7B" w:rsidRPr="006543BA" w14:paraId="130E127A" w14:textId="77777777" w:rsidTr="00BB1D82">
        <w:trPr>
          <w:cantSplit/>
        </w:trPr>
        <w:tc>
          <w:tcPr>
            <w:tcW w:w="6911" w:type="dxa"/>
            <w:gridSpan w:val="2"/>
          </w:tcPr>
          <w:p w14:paraId="01D5CF9D" w14:textId="77777777" w:rsidR="00690C7B" w:rsidRPr="006543BA" w:rsidRDefault="00690C7B" w:rsidP="00197A4A">
            <w:pPr>
              <w:spacing w:before="0" w:after="48"/>
              <w:rPr>
                <w:rFonts w:ascii="Verdana" w:hAnsi="Verdana"/>
                <w:b/>
                <w:smallCaps/>
                <w:noProof/>
                <w:sz w:val="20"/>
              </w:rPr>
            </w:pPr>
          </w:p>
        </w:tc>
        <w:tc>
          <w:tcPr>
            <w:tcW w:w="3120" w:type="dxa"/>
            <w:gridSpan w:val="2"/>
          </w:tcPr>
          <w:p w14:paraId="028A69EB" w14:textId="77777777" w:rsidR="00690C7B" w:rsidRPr="006543BA" w:rsidRDefault="00690C7B" w:rsidP="00197A4A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  <w:r w:rsidRPr="006543BA">
              <w:rPr>
                <w:rFonts w:ascii="Verdana" w:hAnsi="Verdana"/>
                <w:b/>
                <w:noProof/>
                <w:sz w:val="20"/>
              </w:rPr>
              <w:t>Original: anglais</w:t>
            </w:r>
          </w:p>
        </w:tc>
      </w:tr>
      <w:tr w:rsidR="00690C7B" w:rsidRPr="006543BA" w14:paraId="548BF7BC" w14:textId="77777777" w:rsidTr="00C11970">
        <w:trPr>
          <w:cantSplit/>
        </w:trPr>
        <w:tc>
          <w:tcPr>
            <w:tcW w:w="10031" w:type="dxa"/>
            <w:gridSpan w:val="4"/>
          </w:tcPr>
          <w:p w14:paraId="1DE77BFA" w14:textId="77777777" w:rsidR="00690C7B" w:rsidRPr="006543BA" w:rsidRDefault="00690C7B" w:rsidP="00197A4A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</w:p>
        </w:tc>
      </w:tr>
      <w:tr w:rsidR="00690C7B" w:rsidRPr="006543BA" w14:paraId="120017AA" w14:textId="77777777" w:rsidTr="0050008E">
        <w:trPr>
          <w:cantSplit/>
        </w:trPr>
        <w:tc>
          <w:tcPr>
            <w:tcW w:w="10031" w:type="dxa"/>
            <w:gridSpan w:val="4"/>
          </w:tcPr>
          <w:p w14:paraId="18ABCDBA" w14:textId="0241F1D2" w:rsidR="00690C7B" w:rsidRPr="006543BA" w:rsidRDefault="00690C7B" w:rsidP="00197A4A">
            <w:pPr>
              <w:pStyle w:val="Source"/>
              <w:rPr>
                <w:noProof/>
              </w:rPr>
            </w:pPr>
            <w:bookmarkStart w:id="2" w:name="dsource" w:colFirst="0" w:colLast="0"/>
            <w:r w:rsidRPr="006543BA">
              <w:rPr>
                <w:noProof/>
              </w:rPr>
              <w:t>Iran (République islamique d</w:t>
            </w:r>
            <w:r w:rsidR="009A3A62" w:rsidRPr="006543BA">
              <w:rPr>
                <w:noProof/>
              </w:rPr>
              <w:t>'</w:t>
            </w:r>
            <w:r w:rsidRPr="006543BA">
              <w:rPr>
                <w:noProof/>
              </w:rPr>
              <w:t>)</w:t>
            </w:r>
          </w:p>
        </w:tc>
      </w:tr>
      <w:tr w:rsidR="00690C7B" w:rsidRPr="006543BA" w14:paraId="7E58FB58" w14:textId="77777777" w:rsidTr="0050008E">
        <w:trPr>
          <w:cantSplit/>
        </w:trPr>
        <w:tc>
          <w:tcPr>
            <w:tcW w:w="10031" w:type="dxa"/>
            <w:gridSpan w:val="4"/>
          </w:tcPr>
          <w:p w14:paraId="289885FD" w14:textId="3A6A0300" w:rsidR="00690C7B" w:rsidRPr="006543BA" w:rsidRDefault="00BE167D" w:rsidP="00197A4A">
            <w:pPr>
              <w:pStyle w:val="Title1"/>
              <w:rPr>
                <w:noProof/>
              </w:rPr>
            </w:pPr>
            <w:bookmarkStart w:id="3" w:name="dtitle1" w:colFirst="0" w:colLast="0"/>
            <w:bookmarkEnd w:id="2"/>
            <w:r w:rsidRPr="006543BA">
              <w:rPr>
                <w:noProof/>
              </w:rPr>
              <w:t>manière de procéder</w:t>
            </w:r>
            <w:r w:rsidR="0051097A" w:rsidRPr="006543BA">
              <w:rPr>
                <w:noProof/>
              </w:rPr>
              <w:t xml:space="preserve"> POU</w:t>
            </w:r>
            <w:r w:rsidR="00DF42F7" w:rsidRPr="006543BA">
              <w:rPr>
                <w:noProof/>
              </w:rPr>
              <w:t>r</w:t>
            </w:r>
            <w:r w:rsidR="0051097A" w:rsidRPr="006543BA">
              <w:rPr>
                <w:noProof/>
              </w:rPr>
              <w:t xml:space="preserve"> DONNER SUITE AUX QUESTIONS SOULEVÉES DANS LES DOCUMENTS 4 ET 50 DE LA CMR-23</w:t>
            </w:r>
          </w:p>
        </w:tc>
      </w:tr>
      <w:tr w:rsidR="00690C7B" w:rsidRPr="006543BA" w14:paraId="02195EC5" w14:textId="77777777" w:rsidTr="0050008E">
        <w:trPr>
          <w:cantSplit/>
        </w:trPr>
        <w:tc>
          <w:tcPr>
            <w:tcW w:w="10031" w:type="dxa"/>
            <w:gridSpan w:val="4"/>
          </w:tcPr>
          <w:p w14:paraId="36AF6744" w14:textId="77777777" w:rsidR="00690C7B" w:rsidRPr="006543BA" w:rsidRDefault="00690C7B" w:rsidP="00197A4A">
            <w:pPr>
              <w:pStyle w:val="Title2"/>
              <w:rPr>
                <w:noProof/>
              </w:rPr>
            </w:pPr>
            <w:bookmarkStart w:id="4" w:name="dtitle2" w:colFirst="0" w:colLast="0"/>
            <w:bookmarkEnd w:id="3"/>
          </w:p>
        </w:tc>
      </w:tr>
      <w:tr w:rsidR="00690C7B" w:rsidRPr="006543BA" w14:paraId="3DB0B740" w14:textId="77777777" w:rsidTr="0050008E">
        <w:trPr>
          <w:cantSplit/>
        </w:trPr>
        <w:tc>
          <w:tcPr>
            <w:tcW w:w="10031" w:type="dxa"/>
            <w:gridSpan w:val="4"/>
          </w:tcPr>
          <w:p w14:paraId="22554E7C" w14:textId="77777777" w:rsidR="00690C7B" w:rsidRPr="006543BA" w:rsidRDefault="00690C7B" w:rsidP="00197A4A">
            <w:pPr>
              <w:pStyle w:val="Agendaitem"/>
              <w:rPr>
                <w:noProof/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3F72F8AD" w14:textId="732DF1C7" w:rsidR="003A583E" w:rsidRPr="006543BA" w:rsidRDefault="004A068C" w:rsidP="009A3A62">
      <w:pPr>
        <w:pStyle w:val="Headingb"/>
        <w:rPr>
          <w:noProof/>
        </w:rPr>
      </w:pPr>
      <w:r w:rsidRPr="006543BA">
        <w:rPr>
          <w:noProof/>
        </w:rPr>
        <w:t>Introduction</w:t>
      </w:r>
    </w:p>
    <w:p w14:paraId="44A14BDD" w14:textId="73B66A33" w:rsidR="004A068C" w:rsidRPr="006543BA" w:rsidRDefault="0051097A" w:rsidP="00197A4A">
      <w:pPr>
        <w:rPr>
          <w:noProof/>
        </w:rPr>
      </w:pPr>
      <w:r w:rsidRPr="006543BA">
        <w:rPr>
          <w:noProof/>
        </w:rPr>
        <w:t>L</w:t>
      </w:r>
      <w:r w:rsidR="009A3A62" w:rsidRPr="006543BA">
        <w:rPr>
          <w:noProof/>
        </w:rPr>
        <w:t>'</w:t>
      </w:r>
      <w:r w:rsidRPr="006543BA">
        <w:rPr>
          <w:noProof/>
        </w:rPr>
        <w:t>Administration de la République islamique d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Iran </w:t>
      </w:r>
      <w:r w:rsidR="004D6E04" w:rsidRPr="006543BA">
        <w:rPr>
          <w:noProof/>
        </w:rPr>
        <w:t>prend note</w:t>
      </w:r>
      <w:r w:rsidR="00D10389" w:rsidRPr="006543BA">
        <w:rPr>
          <w:noProof/>
        </w:rPr>
        <w:t xml:space="preserve"> </w:t>
      </w:r>
      <w:r w:rsidR="004D6E04" w:rsidRPr="006543BA">
        <w:rPr>
          <w:noProof/>
        </w:rPr>
        <w:t xml:space="preserve">du </w:t>
      </w:r>
      <w:r w:rsidRPr="006543BA">
        <w:rPr>
          <w:noProof/>
        </w:rPr>
        <w:t>Rapport du Directeur soumis au titre du point 9.2 de l</w:t>
      </w:r>
      <w:r w:rsidR="009A3A62" w:rsidRPr="006543BA">
        <w:rPr>
          <w:noProof/>
        </w:rPr>
        <w:t>'</w:t>
      </w:r>
      <w:r w:rsidRPr="006543BA">
        <w:rPr>
          <w:noProof/>
        </w:rPr>
        <w:t>ordre du jour, tel qu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il figure dans le Document 4, et </w:t>
      </w:r>
      <w:r w:rsidR="004D6E04" w:rsidRPr="006543BA">
        <w:rPr>
          <w:noProof/>
        </w:rPr>
        <w:t xml:space="preserve">du </w:t>
      </w:r>
      <w:r w:rsidRPr="006543BA">
        <w:rPr>
          <w:noProof/>
        </w:rPr>
        <w:t xml:space="preserve">Rapport du RRB sur la Résolution </w:t>
      </w:r>
      <w:r w:rsidRPr="006543BA">
        <w:rPr>
          <w:b/>
          <w:bCs/>
          <w:noProof/>
        </w:rPr>
        <w:t>80 (Rév.CMR-07)</w:t>
      </w:r>
      <w:r w:rsidRPr="006543BA">
        <w:rPr>
          <w:noProof/>
        </w:rPr>
        <w:t xml:space="preserve"> (Document 50) soumis au titre du point 9.3 de l</w:t>
      </w:r>
      <w:r w:rsidR="009A3A62" w:rsidRPr="006543BA">
        <w:rPr>
          <w:noProof/>
        </w:rPr>
        <w:t>'</w:t>
      </w:r>
      <w:r w:rsidRPr="006543BA">
        <w:rPr>
          <w:noProof/>
        </w:rPr>
        <w:t>ordre du jour</w:t>
      </w:r>
      <w:r w:rsidR="004D6E04" w:rsidRPr="006543BA">
        <w:rPr>
          <w:noProof/>
        </w:rPr>
        <w:t>, et accueille favorablement ces documents</w:t>
      </w:r>
      <w:r w:rsidR="004A068C" w:rsidRPr="006543BA">
        <w:rPr>
          <w:noProof/>
        </w:rPr>
        <w:t>.</w:t>
      </w:r>
    </w:p>
    <w:p w14:paraId="612117C1" w14:textId="5788C95F" w:rsidR="00DF42F7" w:rsidRPr="006543BA" w:rsidRDefault="00DF42F7" w:rsidP="009A3A62">
      <w:pPr>
        <w:pStyle w:val="Headingb"/>
        <w:rPr>
          <w:noProof/>
        </w:rPr>
      </w:pPr>
      <w:r w:rsidRPr="006543BA">
        <w:rPr>
          <w:noProof/>
        </w:rPr>
        <w:t>Examen</w:t>
      </w:r>
    </w:p>
    <w:p w14:paraId="4A70F783" w14:textId="2A81021B" w:rsidR="00DF42F7" w:rsidRPr="006543BA" w:rsidRDefault="00DF42F7" w:rsidP="00197A4A">
      <w:pPr>
        <w:rPr>
          <w:noProof/>
        </w:rPr>
      </w:pPr>
      <w:r w:rsidRPr="006543BA">
        <w:rPr>
          <w:noProof/>
        </w:rPr>
        <w:t xml:space="preserve">Les documents </w:t>
      </w:r>
      <w:r w:rsidR="00AD2C74" w:rsidRPr="006543BA">
        <w:rPr>
          <w:noProof/>
        </w:rPr>
        <w:t>précités</w:t>
      </w:r>
      <w:r w:rsidRPr="006543BA">
        <w:rPr>
          <w:noProof/>
        </w:rPr>
        <w:t>, en particulier l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Addendum 2 </w:t>
      </w:r>
      <w:r w:rsidR="007C5077" w:rsidRPr="006543BA">
        <w:rPr>
          <w:noProof/>
        </w:rPr>
        <w:t xml:space="preserve">au </w:t>
      </w:r>
      <w:r w:rsidRPr="006543BA">
        <w:rPr>
          <w:noProof/>
        </w:rPr>
        <w:t xml:space="preserve">Rapport du Directeur et le Rapport du RRB sur la Résolution </w:t>
      </w:r>
      <w:r w:rsidRPr="006543BA">
        <w:rPr>
          <w:b/>
          <w:bCs/>
          <w:noProof/>
        </w:rPr>
        <w:t>80 (Rév.CMR-07)</w:t>
      </w:r>
      <w:r w:rsidRPr="006543BA">
        <w:rPr>
          <w:noProof/>
        </w:rPr>
        <w:t xml:space="preserve"> soumis au titre du point 9.3 de l</w:t>
      </w:r>
      <w:r w:rsidR="009A3A62" w:rsidRPr="006543BA">
        <w:rPr>
          <w:noProof/>
        </w:rPr>
        <w:t>'</w:t>
      </w:r>
      <w:r w:rsidRPr="006543BA">
        <w:rPr>
          <w:noProof/>
        </w:rPr>
        <w:t>ordre du jour contiennent de nombreuses questions, dont certaines remontent à la CMR-03, à la CMR-07, à la CMR-12, à la</w:t>
      </w:r>
      <w:r w:rsidR="009A3A62" w:rsidRPr="006543BA">
        <w:rPr>
          <w:noProof/>
        </w:rPr>
        <w:t> </w:t>
      </w:r>
      <w:r w:rsidRPr="006543BA">
        <w:rPr>
          <w:noProof/>
        </w:rPr>
        <w:t>CMR-15 et à la CMR-19, qui n</w:t>
      </w:r>
      <w:r w:rsidR="009A3A62" w:rsidRPr="006543BA">
        <w:rPr>
          <w:noProof/>
        </w:rPr>
        <w:t>'</w:t>
      </w:r>
      <w:r w:rsidRPr="006543BA">
        <w:rPr>
          <w:noProof/>
        </w:rPr>
        <w:t>ont pas été traitées du tout ou n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ont pas été traitées de manière adéquate et claire par les CMR précédentes, </w:t>
      </w:r>
      <w:r w:rsidR="00AD2C74" w:rsidRPr="006543BA">
        <w:rPr>
          <w:noProof/>
        </w:rPr>
        <w:t>ainsi que</w:t>
      </w:r>
      <w:r w:rsidRPr="006543BA">
        <w:rPr>
          <w:noProof/>
        </w:rPr>
        <w:t xml:space="preserve"> de nombreuses autres questions récemment identifiées qui appellent une décision de la CMR-23.</w:t>
      </w:r>
    </w:p>
    <w:p w14:paraId="66D40585" w14:textId="374C4ECC" w:rsidR="00CF70DA" w:rsidRPr="006543BA" w:rsidRDefault="00CF70DA" w:rsidP="00197A4A">
      <w:pPr>
        <w:rPr>
          <w:noProof/>
        </w:rPr>
      </w:pPr>
      <w:r w:rsidRPr="006543BA">
        <w:rPr>
          <w:noProof/>
        </w:rPr>
        <w:t>L</w:t>
      </w:r>
      <w:r w:rsidR="009A3A62" w:rsidRPr="006543BA">
        <w:rPr>
          <w:noProof/>
        </w:rPr>
        <w:t>'</w:t>
      </w:r>
      <w:r w:rsidRPr="006543BA">
        <w:rPr>
          <w:noProof/>
        </w:rPr>
        <w:t>Administration de l</w:t>
      </w:r>
      <w:r w:rsidR="009A3A62" w:rsidRPr="006543BA">
        <w:rPr>
          <w:noProof/>
        </w:rPr>
        <w:t>'</w:t>
      </w:r>
      <w:r w:rsidRPr="006543BA">
        <w:rPr>
          <w:noProof/>
        </w:rPr>
        <w:t>Iran estime que</w:t>
      </w:r>
      <w:r w:rsidR="00973627" w:rsidRPr="006543BA">
        <w:rPr>
          <w:noProof/>
        </w:rPr>
        <w:t>,</w:t>
      </w:r>
      <w:r w:rsidRPr="006543BA">
        <w:rPr>
          <w:noProof/>
        </w:rPr>
        <w:t xml:space="preserve"> </w:t>
      </w:r>
      <w:r w:rsidR="00973627" w:rsidRPr="006543BA">
        <w:rPr>
          <w:noProof/>
        </w:rPr>
        <w:t>dans le cadre de l</w:t>
      </w:r>
      <w:r w:rsidR="009A3A62" w:rsidRPr="006543BA">
        <w:rPr>
          <w:noProof/>
        </w:rPr>
        <w:t>'</w:t>
      </w:r>
      <w:r w:rsidR="00973627" w:rsidRPr="006543BA">
        <w:rPr>
          <w:noProof/>
        </w:rPr>
        <w:t>examen du</w:t>
      </w:r>
      <w:r w:rsidRPr="006543BA">
        <w:rPr>
          <w:noProof/>
        </w:rPr>
        <w:t xml:space="preserve"> Document 4 et </w:t>
      </w:r>
      <w:r w:rsidR="00973627" w:rsidRPr="006543BA">
        <w:rPr>
          <w:noProof/>
        </w:rPr>
        <w:t xml:space="preserve">du </w:t>
      </w:r>
      <w:r w:rsidRPr="006543BA">
        <w:rPr>
          <w:noProof/>
        </w:rPr>
        <w:t>Rapport du</w:t>
      </w:r>
      <w:r w:rsidR="009A3A62" w:rsidRPr="006543BA">
        <w:rPr>
          <w:noProof/>
        </w:rPr>
        <w:t> </w:t>
      </w:r>
      <w:r w:rsidRPr="006543BA">
        <w:rPr>
          <w:noProof/>
        </w:rPr>
        <w:t xml:space="preserve">RRB </w:t>
      </w:r>
      <w:r w:rsidR="00973627" w:rsidRPr="006543BA">
        <w:rPr>
          <w:noProof/>
        </w:rPr>
        <w:t>sur</w:t>
      </w:r>
      <w:r w:rsidRPr="006543BA">
        <w:rPr>
          <w:noProof/>
        </w:rPr>
        <w:t xml:space="preserve"> la Résolution </w:t>
      </w:r>
      <w:r w:rsidRPr="006543BA">
        <w:rPr>
          <w:b/>
          <w:bCs/>
          <w:noProof/>
        </w:rPr>
        <w:t>80 (Rév.CMR-07)</w:t>
      </w:r>
      <w:r w:rsidR="00973627" w:rsidRPr="006543BA">
        <w:rPr>
          <w:noProof/>
        </w:rPr>
        <w:t>, la CMR n</w:t>
      </w:r>
      <w:r w:rsidR="009A3A62" w:rsidRPr="006543BA">
        <w:rPr>
          <w:noProof/>
        </w:rPr>
        <w:t>'</w:t>
      </w:r>
      <w:r w:rsidR="00973627" w:rsidRPr="006543BA">
        <w:rPr>
          <w:noProof/>
        </w:rPr>
        <w:t xml:space="preserve">a pas suffisamment pris en compte </w:t>
      </w:r>
      <w:r w:rsidRPr="006543BA">
        <w:rPr>
          <w:noProof/>
        </w:rPr>
        <w:t xml:space="preserve">ces questions et que les nouveaux cas signalés dans les documents précités appellent une réponse appropriée de la part de la CMR-23 et de la CMR-27. </w:t>
      </w:r>
      <w:r w:rsidR="00973627" w:rsidRPr="006543BA">
        <w:rPr>
          <w:noProof/>
        </w:rPr>
        <w:t>Dans certains cas</w:t>
      </w:r>
      <w:r w:rsidRPr="006543BA">
        <w:rPr>
          <w:noProof/>
        </w:rPr>
        <w:t xml:space="preserve">, </w:t>
      </w:r>
      <w:r w:rsidR="00AD2C74" w:rsidRPr="006543BA">
        <w:rPr>
          <w:noProof/>
        </w:rPr>
        <w:t>l</w:t>
      </w:r>
      <w:r w:rsidR="009A3A62" w:rsidRPr="006543BA">
        <w:rPr>
          <w:noProof/>
        </w:rPr>
        <w:t>'</w:t>
      </w:r>
      <w:r w:rsidR="00AD2C74" w:rsidRPr="006543BA">
        <w:rPr>
          <w:noProof/>
        </w:rPr>
        <w:t>attribution de</w:t>
      </w:r>
      <w:r w:rsidR="00973627" w:rsidRPr="006543BA">
        <w:rPr>
          <w:noProof/>
        </w:rPr>
        <w:t>s</w:t>
      </w:r>
      <w:r w:rsidR="00AD2C74" w:rsidRPr="006543BA">
        <w:rPr>
          <w:noProof/>
        </w:rPr>
        <w:t xml:space="preserve"> </w:t>
      </w:r>
      <w:r w:rsidRPr="006543BA">
        <w:rPr>
          <w:noProof/>
        </w:rPr>
        <w:t xml:space="preserve">diverses parties de </w:t>
      </w:r>
      <w:r w:rsidR="00973627" w:rsidRPr="006543BA">
        <w:rPr>
          <w:noProof/>
        </w:rPr>
        <w:t xml:space="preserve">ces </w:t>
      </w:r>
      <w:r w:rsidRPr="006543BA">
        <w:rPr>
          <w:noProof/>
        </w:rPr>
        <w:t xml:space="preserve">documents aux Commissions 4, 5 et 6 </w:t>
      </w:r>
      <w:r w:rsidR="00973627" w:rsidRPr="006543BA">
        <w:rPr>
          <w:noProof/>
        </w:rPr>
        <w:t>était, et pourrait encore être à la présente CMR</w:t>
      </w:r>
      <w:r w:rsidR="008759EF" w:rsidRPr="006543BA">
        <w:rPr>
          <w:noProof/>
        </w:rPr>
        <w:t xml:space="preserve">, </w:t>
      </w:r>
      <w:r w:rsidR="00973627" w:rsidRPr="006543BA">
        <w:rPr>
          <w:noProof/>
        </w:rPr>
        <w:t>une tâche si complexe que le risque est</w:t>
      </w:r>
      <w:r w:rsidR="004D6E04" w:rsidRPr="006543BA">
        <w:rPr>
          <w:noProof/>
        </w:rPr>
        <w:t xml:space="preserve"> que</w:t>
      </w:r>
      <w:r w:rsidRPr="006543BA">
        <w:rPr>
          <w:noProof/>
        </w:rPr>
        <w:t xml:space="preserve"> certaines parties </w:t>
      </w:r>
      <w:r w:rsidR="004D6E04" w:rsidRPr="006543BA">
        <w:rPr>
          <w:noProof/>
        </w:rPr>
        <w:t xml:space="preserve">des documents ne soient </w:t>
      </w:r>
      <w:r w:rsidRPr="006543BA">
        <w:rPr>
          <w:noProof/>
        </w:rPr>
        <w:t xml:space="preserve">examinées par </w:t>
      </w:r>
      <w:r w:rsidR="00973627" w:rsidRPr="006543BA">
        <w:rPr>
          <w:noProof/>
        </w:rPr>
        <w:t xml:space="preserve">aucune </w:t>
      </w:r>
      <w:r w:rsidR="008759EF" w:rsidRPr="006543BA">
        <w:rPr>
          <w:noProof/>
        </w:rPr>
        <w:t>de ces</w:t>
      </w:r>
      <w:r w:rsidRPr="006543BA">
        <w:rPr>
          <w:noProof/>
        </w:rPr>
        <w:t xml:space="preserve"> </w:t>
      </w:r>
      <w:r w:rsidR="008759EF" w:rsidRPr="006543BA">
        <w:rPr>
          <w:noProof/>
        </w:rPr>
        <w:t>C</w:t>
      </w:r>
      <w:r w:rsidRPr="006543BA">
        <w:rPr>
          <w:noProof/>
        </w:rPr>
        <w:t>ommission</w:t>
      </w:r>
      <w:r w:rsidR="008759EF" w:rsidRPr="006543BA">
        <w:rPr>
          <w:noProof/>
        </w:rPr>
        <w:t>s</w:t>
      </w:r>
      <w:r w:rsidRPr="006543BA">
        <w:rPr>
          <w:noProof/>
        </w:rPr>
        <w:t>.</w:t>
      </w:r>
    </w:p>
    <w:p w14:paraId="494F378A" w14:textId="5CF3E8FC" w:rsidR="00996D1D" w:rsidRPr="006543BA" w:rsidRDefault="00996D1D" w:rsidP="00197A4A">
      <w:pPr>
        <w:rPr>
          <w:noProof/>
        </w:rPr>
      </w:pPr>
      <w:r w:rsidRPr="006543BA">
        <w:rPr>
          <w:noProof/>
        </w:rPr>
        <w:t>De plus, ces documents faisaient référence à des textes issus de décisions de CMR antérieures figurant dans les procès-verbaux des</w:t>
      </w:r>
      <w:r w:rsidR="0012715B" w:rsidRPr="006543BA">
        <w:rPr>
          <w:noProof/>
        </w:rPr>
        <w:t xml:space="preserve"> séances</w:t>
      </w:r>
      <w:r w:rsidRPr="006543BA">
        <w:rPr>
          <w:noProof/>
        </w:rPr>
        <w:t xml:space="preserve"> plénières de ces CMR ou</w:t>
      </w:r>
      <w:r w:rsidR="004D6E04" w:rsidRPr="006543BA">
        <w:rPr>
          <w:noProof/>
        </w:rPr>
        <w:t>,</w:t>
      </w:r>
      <w:r w:rsidRPr="006543BA">
        <w:rPr>
          <w:noProof/>
        </w:rPr>
        <w:t xml:space="preserve"> dans certains cas, </w:t>
      </w:r>
      <w:r w:rsidR="0012715B" w:rsidRPr="006543BA">
        <w:rPr>
          <w:noProof/>
        </w:rPr>
        <w:t xml:space="preserve">découlaient </w:t>
      </w:r>
      <w:r w:rsidR="004058C2" w:rsidRPr="006543BA">
        <w:rPr>
          <w:noProof/>
        </w:rPr>
        <w:t>de</w:t>
      </w:r>
      <w:r w:rsidR="0012715B" w:rsidRPr="006543BA">
        <w:rPr>
          <w:noProof/>
        </w:rPr>
        <w:t>s</w:t>
      </w:r>
      <w:r w:rsidR="004058C2" w:rsidRPr="006543BA">
        <w:rPr>
          <w:noProof/>
        </w:rPr>
        <w:t xml:space="preserve"> </w:t>
      </w:r>
      <w:r w:rsidRPr="006543BA">
        <w:rPr>
          <w:noProof/>
        </w:rPr>
        <w:t>Règles de procédure en vigueur et/ou de la pratique suivie par le Bureau</w:t>
      </w:r>
      <w:r w:rsidR="0012715B" w:rsidRPr="006543BA">
        <w:rPr>
          <w:noProof/>
        </w:rPr>
        <w:t>, qui sont</w:t>
      </w:r>
      <w:r w:rsidR="00AD2C74" w:rsidRPr="006543BA">
        <w:rPr>
          <w:noProof/>
        </w:rPr>
        <w:t xml:space="preserve"> de</w:t>
      </w:r>
      <w:r w:rsidR="0012715B" w:rsidRPr="006543BA">
        <w:rPr>
          <w:noProof/>
        </w:rPr>
        <w:t>s</w:t>
      </w:r>
      <w:r w:rsidR="00AD2C74" w:rsidRPr="006543BA">
        <w:rPr>
          <w:noProof/>
        </w:rPr>
        <w:t xml:space="preserve"> textes</w:t>
      </w:r>
      <w:r w:rsidRPr="006543BA">
        <w:rPr>
          <w:noProof/>
        </w:rPr>
        <w:t xml:space="preserve"> volumineux </w:t>
      </w:r>
      <w:r w:rsidR="00AD2C74" w:rsidRPr="006543BA">
        <w:rPr>
          <w:noProof/>
        </w:rPr>
        <w:t xml:space="preserve">auxquels </w:t>
      </w:r>
      <w:r w:rsidRPr="006543BA">
        <w:rPr>
          <w:noProof/>
        </w:rPr>
        <w:t xml:space="preserve">il est parfois difficile </w:t>
      </w:r>
      <w:r w:rsidR="0012715B" w:rsidRPr="006543BA">
        <w:rPr>
          <w:noProof/>
        </w:rPr>
        <w:t>d</w:t>
      </w:r>
      <w:r w:rsidR="009A3A62" w:rsidRPr="006543BA">
        <w:rPr>
          <w:noProof/>
        </w:rPr>
        <w:t>'</w:t>
      </w:r>
      <w:r w:rsidR="0012715B" w:rsidRPr="006543BA">
        <w:rPr>
          <w:noProof/>
        </w:rPr>
        <w:t>apporter une réponse</w:t>
      </w:r>
      <w:r w:rsidRPr="006543BA">
        <w:rPr>
          <w:noProof/>
        </w:rPr>
        <w:t>.</w:t>
      </w:r>
    </w:p>
    <w:p w14:paraId="67D85774" w14:textId="275C0434" w:rsidR="005C0D72" w:rsidRPr="006543BA" w:rsidRDefault="005C0D72" w:rsidP="009A3A62">
      <w:pPr>
        <w:keepLines/>
        <w:rPr>
          <w:noProof/>
        </w:rPr>
      </w:pPr>
      <w:r w:rsidRPr="006543BA">
        <w:rPr>
          <w:noProof/>
        </w:rPr>
        <w:lastRenderedPageBreak/>
        <w:t xml:space="preserve">En outre, les documents </w:t>
      </w:r>
      <w:r w:rsidR="004058C2" w:rsidRPr="006543BA">
        <w:rPr>
          <w:noProof/>
        </w:rPr>
        <w:t>précités</w:t>
      </w:r>
      <w:r w:rsidRPr="006543BA">
        <w:rPr>
          <w:noProof/>
        </w:rPr>
        <w:t xml:space="preserve"> décrivent parfois </w:t>
      </w:r>
      <w:r w:rsidR="004058C2" w:rsidRPr="006543BA">
        <w:rPr>
          <w:noProof/>
        </w:rPr>
        <w:t>l</w:t>
      </w:r>
      <w:r w:rsidR="009A3A62" w:rsidRPr="006543BA">
        <w:rPr>
          <w:noProof/>
        </w:rPr>
        <w:t>'</w:t>
      </w:r>
      <w:r w:rsidR="004058C2" w:rsidRPr="006543BA">
        <w:rPr>
          <w:noProof/>
        </w:rPr>
        <w:t xml:space="preserve">interprétation </w:t>
      </w:r>
      <w:r w:rsidRPr="006543BA">
        <w:rPr>
          <w:noProof/>
        </w:rPr>
        <w:t xml:space="preserve">et les points de vue du RRB et du Bureau concernant certaines mesures prises </w:t>
      </w:r>
      <w:r w:rsidR="004058C2" w:rsidRPr="006543BA">
        <w:rPr>
          <w:noProof/>
        </w:rPr>
        <w:t xml:space="preserve">afin de </w:t>
      </w:r>
      <w:r w:rsidRPr="006543BA">
        <w:rPr>
          <w:noProof/>
        </w:rPr>
        <w:t xml:space="preserve">traiter les fiches de notification ou les questions soumises au RRB. Toutefois, aucune étude </w:t>
      </w:r>
      <w:r w:rsidR="00880D1C" w:rsidRPr="006543BA">
        <w:rPr>
          <w:noProof/>
        </w:rPr>
        <w:t>n</w:t>
      </w:r>
      <w:r w:rsidR="009A3A62" w:rsidRPr="006543BA">
        <w:rPr>
          <w:noProof/>
        </w:rPr>
        <w:t>'</w:t>
      </w:r>
      <w:r w:rsidR="00880D1C" w:rsidRPr="006543BA">
        <w:rPr>
          <w:noProof/>
        </w:rPr>
        <w:t xml:space="preserve">est menée par </w:t>
      </w:r>
      <w:r w:rsidRPr="006543BA">
        <w:rPr>
          <w:noProof/>
        </w:rPr>
        <w:t>l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UIT-R </w:t>
      </w:r>
      <w:r w:rsidR="00880D1C" w:rsidRPr="006543BA">
        <w:rPr>
          <w:noProof/>
        </w:rPr>
        <w:t>en vue d</w:t>
      </w:r>
      <w:r w:rsidR="009A3A62" w:rsidRPr="006543BA">
        <w:rPr>
          <w:noProof/>
        </w:rPr>
        <w:t>'</w:t>
      </w:r>
      <w:r w:rsidR="0036215B" w:rsidRPr="006543BA">
        <w:rPr>
          <w:noProof/>
        </w:rPr>
        <w:t>appu</w:t>
      </w:r>
      <w:r w:rsidR="00880D1C" w:rsidRPr="006543BA">
        <w:rPr>
          <w:noProof/>
        </w:rPr>
        <w:t>yer</w:t>
      </w:r>
      <w:r w:rsidR="0036215B" w:rsidRPr="006543BA">
        <w:rPr>
          <w:noProof/>
        </w:rPr>
        <w:t xml:space="preserve"> </w:t>
      </w:r>
      <w:r w:rsidRPr="006543BA">
        <w:rPr>
          <w:noProof/>
        </w:rPr>
        <w:t>ces suggestions, interprétations et points de vue/avis.</w:t>
      </w:r>
    </w:p>
    <w:p w14:paraId="3FB3106B" w14:textId="544A8E92" w:rsidR="005C0D72" w:rsidRPr="006543BA" w:rsidRDefault="005C0D72" w:rsidP="00197A4A">
      <w:pPr>
        <w:rPr>
          <w:noProof/>
        </w:rPr>
      </w:pPr>
      <w:r w:rsidRPr="006543BA">
        <w:rPr>
          <w:noProof/>
        </w:rPr>
        <w:t xml:space="preserve">Très souvent, le Bureau présente </w:t>
      </w:r>
      <w:r w:rsidR="0036215B" w:rsidRPr="006543BA">
        <w:rPr>
          <w:noProof/>
        </w:rPr>
        <w:t>l</w:t>
      </w:r>
      <w:r w:rsidRPr="006543BA">
        <w:rPr>
          <w:noProof/>
        </w:rPr>
        <w:t xml:space="preserve">es difficultés </w:t>
      </w:r>
      <w:r w:rsidR="0036215B" w:rsidRPr="006543BA">
        <w:rPr>
          <w:noProof/>
        </w:rPr>
        <w:t>qu</w:t>
      </w:r>
      <w:r w:rsidR="009A3A62" w:rsidRPr="006543BA">
        <w:rPr>
          <w:noProof/>
        </w:rPr>
        <w:t>'</w:t>
      </w:r>
      <w:r w:rsidR="0036215B" w:rsidRPr="006543BA">
        <w:rPr>
          <w:noProof/>
        </w:rPr>
        <w:t>il a rencontrée</w:t>
      </w:r>
      <w:r w:rsidR="00AD2C74" w:rsidRPr="006543BA">
        <w:rPr>
          <w:noProof/>
        </w:rPr>
        <w:t>s</w:t>
      </w:r>
      <w:r w:rsidR="0036215B" w:rsidRPr="006543BA">
        <w:rPr>
          <w:noProof/>
        </w:rPr>
        <w:t xml:space="preserve"> </w:t>
      </w:r>
      <w:r w:rsidRPr="006543BA">
        <w:rPr>
          <w:noProof/>
        </w:rPr>
        <w:t>et</w:t>
      </w:r>
      <w:r w:rsidR="0036215B" w:rsidRPr="006543BA">
        <w:rPr>
          <w:noProof/>
        </w:rPr>
        <w:t>,</w:t>
      </w:r>
      <w:r w:rsidRPr="006543BA">
        <w:rPr>
          <w:noProof/>
        </w:rPr>
        <w:t xml:space="preserve"> pour </w:t>
      </w:r>
      <w:r w:rsidR="0075696F" w:rsidRPr="006543BA">
        <w:rPr>
          <w:noProof/>
        </w:rPr>
        <w:t xml:space="preserve">répondre à </w:t>
      </w:r>
      <w:r w:rsidRPr="006543BA">
        <w:rPr>
          <w:noProof/>
        </w:rPr>
        <w:t>certaines d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entre elles, </w:t>
      </w:r>
      <w:r w:rsidR="0036215B" w:rsidRPr="006543BA">
        <w:rPr>
          <w:noProof/>
        </w:rPr>
        <w:t xml:space="preserve">soumet </w:t>
      </w:r>
      <w:r w:rsidRPr="006543BA">
        <w:rPr>
          <w:noProof/>
        </w:rPr>
        <w:t xml:space="preserve">des propositions de </w:t>
      </w:r>
      <w:r w:rsidR="00880D1C" w:rsidRPr="006543BA">
        <w:rPr>
          <w:noProof/>
        </w:rPr>
        <w:t>nature réglementaire</w:t>
      </w:r>
      <w:r w:rsidR="00AD2C74" w:rsidRPr="006543BA">
        <w:rPr>
          <w:noProof/>
        </w:rPr>
        <w:t>,</w:t>
      </w:r>
      <w:r w:rsidRPr="006543BA">
        <w:rPr>
          <w:noProof/>
        </w:rPr>
        <w:t xml:space="preserve"> </w:t>
      </w:r>
      <w:r w:rsidR="0036215B" w:rsidRPr="006543BA">
        <w:rPr>
          <w:noProof/>
        </w:rPr>
        <w:t xml:space="preserve">qui doivent faire </w:t>
      </w:r>
      <w:r w:rsidR="009A3A62" w:rsidRPr="006543BA">
        <w:rPr>
          <w:noProof/>
        </w:rPr>
        <w:t>l'</w:t>
      </w:r>
      <w:r w:rsidR="0036215B" w:rsidRPr="006543BA">
        <w:rPr>
          <w:noProof/>
        </w:rPr>
        <w:t xml:space="preserve">objet </w:t>
      </w:r>
      <w:r w:rsidRPr="006543BA">
        <w:rPr>
          <w:noProof/>
        </w:rPr>
        <w:t>d</w:t>
      </w:r>
      <w:r w:rsidR="009A3A62" w:rsidRPr="006543BA">
        <w:rPr>
          <w:noProof/>
        </w:rPr>
        <w:t>'</w:t>
      </w:r>
      <w:r w:rsidRPr="006543BA">
        <w:rPr>
          <w:noProof/>
        </w:rPr>
        <w:t>une vérification minutieuse et d</w:t>
      </w:r>
      <w:r w:rsidR="009A3A62" w:rsidRPr="006543BA">
        <w:rPr>
          <w:noProof/>
        </w:rPr>
        <w:t>'</w:t>
      </w:r>
      <w:r w:rsidRPr="006543BA">
        <w:rPr>
          <w:noProof/>
        </w:rPr>
        <w:t>une analyse approfondie.</w:t>
      </w:r>
    </w:p>
    <w:p w14:paraId="2805C037" w14:textId="10CC240F" w:rsidR="0036215B" w:rsidRPr="006543BA" w:rsidRDefault="0036215B" w:rsidP="00197A4A">
      <w:pPr>
        <w:rPr>
          <w:noProof/>
        </w:rPr>
      </w:pPr>
      <w:r w:rsidRPr="006543BA">
        <w:rPr>
          <w:noProof/>
        </w:rPr>
        <w:t>Dans l</w:t>
      </w:r>
      <w:r w:rsidR="009A3A62" w:rsidRPr="006543BA">
        <w:rPr>
          <w:noProof/>
        </w:rPr>
        <w:t>'</w:t>
      </w:r>
      <w:r w:rsidRPr="006543BA">
        <w:rPr>
          <w:noProof/>
        </w:rPr>
        <w:t>Addendum 2, il est fait mention, entre autres choses, de l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interprétation du Bureau concernant la manière de traiter les soumissions des </w:t>
      </w:r>
      <w:r w:rsidR="00197A4A" w:rsidRPr="006543BA">
        <w:rPr>
          <w:noProof/>
        </w:rPr>
        <w:t>États</w:t>
      </w:r>
      <w:r w:rsidRPr="006543BA">
        <w:rPr>
          <w:noProof/>
        </w:rPr>
        <w:t xml:space="preserve"> Membres, mais </w:t>
      </w:r>
      <w:r w:rsidR="00880D1C" w:rsidRPr="006543BA">
        <w:rPr>
          <w:noProof/>
        </w:rPr>
        <w:t>on ne sait pas</w:t>
      </w:r>
      <w:r w:rsidR="0075696F" w:rsidRPr="006543BA">
        <w:rPr>
          <w:noProof/>
        </w:rPr>
        <w:t xml:space="preserve"> </w:t>
      </w:r>
      <w:r w:rsidRPr="006543BA">
        <w:rPr>
          <w:noProof/>
        </w:rPr>
        <w:t xml:space="preserve">si cette interprétation </w:t>
      </w:r>
      <w:r w:rsidR="00880D1C" w:rsidRPr="006543BA">
        <w:rPr>
          <w:noProof/>
        </w:rPr>
        <w:t xml:space="preserve">découle </w:t>
      </w:r>
      <w:r w:rsidR="0075696F" w:rsidRPr="006543BA">
        <w:rPr>
          <w:noProof/>
        </w:rPr>
        <w:t>d</w:t>
      </w:r>
      <w:r w:rsidR="009A3A62" w:rsidRPr="006543BA">
        <w:rPr>
          <w:noProof/>
        </w:rPr>
        <w:t>'</w:t>
      </w:r>
      <w:r w:rsidR="0075696F" w:rsidRPr="006543BA">
        <w:rPr>
          <w:noProof/>
        </w:rPr>
        <w:t xml:space="preserve">une pratique officielle </w:t>
      </w:r>
      <w:r w:rsidR="00880D1C" w:rsidRPr="006543BA">
        <w:rPr>
          <w:noProof/>
        </w:rPr>
        <w:t xml:space="preserve">connue </w:t>
      </w:r>
      <w:r w:rsidR="0075696F" w:rsidRPr="006543BA">
        <w:rPr>
          <w:noProof/>
        </w:rPr>
        <w:t xml:space="preserve">du </w:t>
      </w:r>
      <w:r w:rsidRPr="006543BA">
        <w:rPr>
          <w:noProof/>
        </w:rPr>
        <w:t xml:space="preserve">Bureau </w:t>
      </w:r>
      <w:r w:rsidR="006C79A0" w:rsidRPr="006543BA">
        <w:rPr>
          <w:noProof/>
        </w:rPr>
        <w:t xml:space="preserve">ou si elle </w:t>
      </w:r>
      <w:r w:rsidR="00880D1C" w:rsidRPr="006543BA">
        <w:rPr>
          <w:noProof/>
        </w:rPr>
        <w:t xml:space="preserve">ne fait </w:t>
      </w:r>
      <w:r w:rsidR="0075696F" w:rsidRPr="006543BA">
        <w:rPr>
          <w:noProof/>
        </w:rPr>
        <w:t xml:space="preserve">pas encore </w:t>
      </w:r>
      <w:r w:rsidR="00880D1C" w:rsidRPr="006543BA">
        <w:rPr>
          <w:noProof/>
        </w:rPr>
        <w:t>l</w:t>
      </w:r>
      <w:r w:rsidR="009A3A62" w:rsidRPr="006543BA">
        <w:rPr>
          <w:noProof/>
        </w:rPr>
        <w:t>'</w:t>
      </w:r>
      <w:r w:rsidR="00880D1C" w:rsidRPr="006543BA">
        <w:rPr>
          <w:noProof/>
        </w:rPr>
        <w:t>objet</w:t>
      </w:r>
      <w:r w:rsidR="0075696F" w:rsidRPr="006543BA">
        <w:rPr>
          <w:noProof/>
        </w:rPr>
        <w:t xml:space="preserve"> </w:t>
      </w:r>
      <w:r w:rsidR="00880D1C" w:rsidRPr="006543BA">
        <w:rPr>
          <w:noProof/>
        </w:rPr>
        <w:t>d</w:t>
      </w:r>
      <w:r w:rsidR="009A3A62" w:rsidRPr="006543BA">
        <w:rPr>
          <w:noProof/>
        </w:rPr>
        <w:t>'</w:t>
      </w:r>
      <w:r w:rsidR="0075696F" w:rsidRPr="006543BA">
        <w:rPr>
          <w:noProof/>
        </w:rPr>
        <w:t xml:space="preserve">un </w:t>
      </w:r>
      <w:r w:rsidR="006C79A0" w:rsidRPr="006543BA">
        <w:rPr>
          <w:noProof/>
        </w:rPr>
        <w:t>document</w:t>
      </w:r>
      <w:r w:rsidR="00880D1C" w:rsidRPr="006543BA">
        <w:rPr>
          <w:noProof/>
        </w:rPr>
        <w:t xml:space="preserve"> décrivant cette pratique</w:t>
      </w:r>
      <w:r w:rsidR="006C79A0" w:rsidRPr="006543BA">
        <w:rPr>
          <w:noProof/>
        </w:rPr>
        <w:t xml:space="preserve"> établi</w:t>
      </w:r>
      <w:r w:rsidR="00880D1C" w:rsidRPr="006543BA">
        <w:rPr>
          <w:noProof/>
        </w:rPr>
        <w:t>e</w:t>
      </w:r>
      <w:r w:rsidR="006C79A0" w:rsidRPr="006543BA">
        <w:rPr>
          <w:noProof/>
        </w:rPr>
        <w:t xml:space="preserve"> et</w:t>
      </w:r>
      <w:r w:rsidR="00880D1C" w:rsidRPr="006543BA">
        <w:rPr>
          <w:noProof/>
        </w:rPr>
        <w:t xml:space="preserve"> connue</w:t>
      </w:r>
      <w:r w:rsidR="006C79A0" w:rsidRPr="006543BA">
        <w:rPr>
          <w:noProof/>
        </w:rPr>
        <w:t xml:space="preserve">. En outre, les pratiques suivies par le Bureau auraient dû </w:t>
      </w:r>
      <w:r w:rsidR="00101295" w:rsidRPr="006543BA">
        <w:rPr>
          <w:noProof/>
        </w:rPr>
        <w:t>faire l</w:t>
      </w:r>
      <w:r w:rsidR="009A3A62" w:rsidRPr="006543BA">
        <w:rPr>
          <w:noProof/>
        </w:rPr>
        <w:t>'</w:t>
      </w:r>
      <w:r w:rsidR="00101295" w:rsidRPr="006543BA">
        <w:rPr>
          <w:noProof/>
        </w:rPr>
        <w:t xml:space="preserve">objet de publications et de </w:t>
      </w:r>
      <w:r w:rsidR="006C79A0" w:rsidRPr="006543BA">
        <w:rPr>
          <w:noProof/>
        </w:rPr>
        <w:t>mises à jour régulière</w:t>
      </w:r>
      <w:r w:rsidR="00101295" w:rsidRPr="006543BA">
        <w:rPr>
          <w:noProof/>
        </w:rPr>
        <w:t>s</w:t>
      </w:r>
      <w:r w:rsidR="006C79A0" w:rsidRPr="006543BA">
        <w:rPr>
          <w:noProof/>
        </w:rPr>
        <w:t>.</w:t>
      </w:r>
    </w:p>
    <w:p w14:paraId="13370C60" w14:textId="777C7751" w:rsidR="006C79A0" w:rsidRPr="006543BA" w:rsidRDefault="006C79A0" w:rsidP="00197A4A">
      <w:pPr>
        <w:rPr>
          <w:noProof/>
        </w:rPr>
      </w:pPr>
      <w:r w:rsidRPr="006543BA">
        <w:rPr>
          <w:noProof/>
        </w:rPr>
        <w:t>De l</w:t>
      </w:r>
      <w:r w:rsidR="009A3A62" w:rsidRPr="006543BA">
        <w:rPr>
          <w:noProof/>
        </w:rPr>
        <w:t>'</w:t>
      </w:r>
      <w:r w:rsidRPr="006543BA">
        <w:rPr>
          <w:noProof/>
        </w:rPr>
        <w:t>avis de l</w:t>
      </w:r>
      <w:r w:rsidR="009A3A62" w:rsidRPr="006543BA">
        <w:rPr>
          <w:noProof/>
        </w:rPr>
        <w:t>'</w:t>
      </w:r>
      <w:r w:rsidRPr="006543BA">
        <w:rPr>
          <w:noProof/>
        </w:rPr>
        <w:t>Administration de l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Iran, il est difficile de savoir où </w:t>
      </w:r>
      <w:r w:rsidR="00D0249B" w:rsidRPr="006543BA">
        <w:rPr>
          <w:noProof/>
        </w:rPr>
        <w:t>trouver</w:t>
      </w:r>
      <w:r w:rsidRPr="006543BA">
        <w:rPr>
          <w:noProof/>
        </w:rPr>
        <w:t xml:space="preserve"> toutes ces pratiques. Le Bureau a aussi implicitement fait référence à ses pratiques passées et actuelles, dont certaines sont réparties dans diverses </w:t>
      </w:r>
      <w:r w:rsidR="009A3A62" w:rsidRPr="006543BA">
        <w:rPr>
          <w:noProof/>
        </w:rPr>
        <w:t>l</w:t>
      </w:r>
      <w:r w:rsidRPr="006543BA">
        <w:rPr>
          <w:noProof/>
        </w:rPr>
        <w:t>ettres circulaires et d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autres ne </w:t>
      </w:r>
      <w:r w:rsidR="00880D1C" w:rsidRPr="006543BA">
        <w:rPr>
          <w:noProof/>
        </w:rPr>
        <w:t xml:space="preserve">figurent dans aucun </w:t>
      </w:r>
      <w:r w:rsidRPr="006543BA">
        <w:rPr>
          <w:noProof/>
        </w:rPr>
        <w:t>document. Ces pratiques comprennent également des éléments réglementaires et techniques qui doivent faire l</w:t>
      </w:r>
      <w:r w:rsidR="009A3A62" w:rsidRPr="006543BA">
        <w:rPr>
          <w:noProof/>
        </w:rPr>
        <w:t>'</w:t>
      </w:r>
      <w:r w:rsidRPr="006543BA">
        <w:rPr>
          <w:noProof/>
        </w:rPr>
        <w:t>objet d</w:t>
      </w:r>
      <w:r w:rsidR="009A3A62" w:rsidRPr="006543BA">
        <w:rPr>
          <w:noProof/>
        </w:rPr>
        <w:t>'</w:t>
      </w:r>
      <w:r w:rsidRPr="006543BA">
        <w:rPr>
          <w:noProof/>
        </w:rPr>
        <w:t>un examen attentif.</w:t>
      </w:r>
    </w:p>
    <w:p w14:paraId="14420EBE" w14:textId="14AFCEFD" w:rsidR="006C79A0" w:rsidRPr="006543BA" w:rsidRDefault="006C79A0" w:rsidP="00197A4A">
      <w:pPr>
        <w:rPr>
          <w:noProof/>
        </w:rPr>
      </w:pPr>
      <w:r w:rsidRPr="006543BA">
        <w:rPr>
          <w:noProof/>
        </w:rPr>
        <w:t xml:space="preserve">Il convient de souligner que les textes réglementaires devraient être inclus </w:t>
      </w:r>
      <w:r w:rsidR="00880D1C" w:rsidRPr="006543BA">
        <w:rPr>
          <w:noProof/>
        </w:rPr>
        <w:t xml:space="preserve">provisoirement </w:t>
      </w:r>
      <w:r w:rsidRPr="006543BA">
        <w:rPr>
          <w:noProof/>
        </w:rPr>
        <w:t xml:space="preserve">dans les Règles de procédure entre les deux CMR, puis transférés dans le Règlement des radiocommunications (RR), comme indiqué dans les numéros </w:t>
      </w:r>
      <w:r w:rsidRPr="006543BA">
        <w:rPr>
          <w:b/>
          <w:bCs/>
          <w:noProof/>
        </w:rPr>
        <w:t>13.01</w:t>
      </w:r>
      <w:r w:rsidRPr="006543BA">
        <w:rPr>
          <w:noProof/>
        </w:rPr>
        <w:t xml:space="preserve"> et </w:t>
      </w:r>
      <w:r w:rsidRPr="006543BA">
        <w:rPr>
          <w:b/>
          <w:bCs/>
          <w:noProof/>
        </w:rPr>
        <w:t>13.02</w:t>
      </w:r>
      <w:r w:rsidRPr="006543BA">
        <w:rPr>
          <w:noProof/>
        </w:rPr>
        <w:t xml:space="preserve"> du RR ou dans le Règlement des radiocommunications.</w:t>
      </w:r>
    </w:p>
    <w:p w14:paraId="7A2608A0" w14:textId="22CEAC37" w:rsidR="006C79A0" w:rsidRPr="006543BA" w:rsidRDefault="006C79A0" w:rsidP="00197A4A">
      <w:pPr>
        <w:rPr>
          <w:noProof/>
        </w:rPr>
      </w:pPr>
      <w:r w:rsidRPr="006543BA">
        <w:rPr>
          <w:noProof/>
        </w:rPr>
        <w:t xml:space="preserve">En ce qui concerne le Rapport du RRB </w:t>
      </w:r>
      <w:r w:rsidR="00880D1C" w:rsidRPr="006543BA">
        <w:rPr>
          <w:noProof/>
        </w:rPr>
        <w:t>sur</w:t>
      </w:r>
      <w:r w:rsidRPr="006543BA">
        <w:rPr>
          <w:noProof/>
        </w:rPr>
        <w:t xml:space="preserve"> la Résolution </w:t>
      </w:r>
      <w:r w:rsidRPr="006543BA">
        <w:rPr>
          <w:b/>
          <w:bCs/>
          <w:noProof/>
        </w:rPr>
        <w:t>80 (Rév.CMR-07)</w:t>
      </w:r>
      <w:r w:rsidRPr="006543BA">
        <w:rPr>
          <w:noProof/>
        </w:rPr>
        <w:t xml:space="preserve">, </w:t>
      </w:r>
      <w:r w:rsidR="00BD6160" w:rsidRPr="006543BA">
        <w:rPr>
          <w:noProof/>
        </w:rPr>
        <w:t>la manière de procéder devrait être presque identique</w:t>
      </w:r>
      <w:r w:rsidRPr="006543BA">
        <w:rPr>
          <w:noProof/>
        </w:rPr>
        <w:t>, c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est-à-dire </w:t>
      </w:r>
      <w:r w:rsidR="00D87EDD" w:rsidRPr="006543BA">
        <w:rPr>
          <w:noProof/>
        </w:rPr>
        <w:t>qu</w:t>
      </w:r>
      <w:r w:rsidR="009A3A62" w:rsidRPr="006543BA">
        <w:rPr>
          <w:noProof/>
        </w:rPr>
        <w:t>'</w:t>
      </w:r>
      <w:r w:rsidR="00D87EDD" w:rsidRPr="006543BA">
        <w:rPr>
          <w:noProof/>
        </w:rPr>
        <w:t xml:space="preserve">il convient de classer par </w:t>
      </w:r>
      <w:r w:rsidRPr="006543BA">
        <w:rPr>
          <w:noProof/>
        </w:rPr>
        <w:t>ordre de priorité les points de ce Rapport</w:t>
      </w:r>
      <w:r w:rsidR="00101295" w:rsidRPr="006543BA">
        <w:rPr>
          <w:noProof/>
        </w:rPr>
        <w:t>, en distinguant</w:t>
      </w:r>
      <w:r w:rsidRPr="006543BA">
        <w:rPr>
          <w:noProof/>
        </w:rPr>
        <w:t xml:space="preserve"> a) les points</w:t>
      </w:r>
      <w:r w:rsidR="00D87EDD" w:rsidRPr="006543BA">
        <w:rPr>
          <w:noProof/>
        </w:rPr>
        <w:t xml:space="preserve"> et les </w:t>
      </w:r>
      <w:r w:rsidRPr="006543BA">
        <w:rPr>
          <w:noProof/>
        </w:rPr>
        <w:t xml:space="preserve">questions importants sur lesquels la Conférence </w:t>
      </w:r>
      <w:r w:rsidR="00BD6160" w:rsidRPr="006543BA">
        <w:rPr>
          <w:noProof/>
        </w:rPr>
        <w:t>doit d</w:t>
      </w:r>
      <w:r w:rsidR="009A3A62" w:rsidRPr="006543BA">
        <w:rPr>
          <w:noProof/>
        </w:rPr>
        <w:t>'</w:t>
      </w:r>
      <w:r w:rsidR="00BD6160" w:rsidRPr="006543BA">
        <w:rPr>
          <w:noProof/>
        </w:rPr>
        <w:t>urgence prendre</w:t>
      </w:r>
      <w:r w:rsidRPr="006543BA">
        <w:rPr>
          <w:noProof/>
        </w:rPr>
        <w:t xml:space="preserve"> une décision</w:t>
      </w:r>
      <w:r w:rsidR="00D87EDD" w:rsidRPr="006543BA">
        <w:rPr>
          <w:noProof/>
        </w:rPr>
        <w:t xml:space="preserve"> </w:t>
      </w:r>
      <w:r w:rsidRPr="006543BA">
        <w:rPr>
          <w:noProof/>
        </w:rPr>
        <w:t xml:space="preserve">et </w:t>
      </w:r>
      <w:r w:rsidR="00D87EDD" w:rsidRPr="006543BA">
        <w:rPr>
          <w:noProof/>
        </w:rPr>
        <w:t xml:space="preserve">qui ne nécessitent pas de mener des </w:t>
      </w:r>
      <w:r w:rsidRPr="006543BA">
        <w:rPr>
          <w:noProof/>
        </w:rPr>
        <w:t>études techniques ou réglementaires et b) les points/</w:t>
      </w:r>
      <w:r w:rsidR="00D87EDD" w:rsidRPr="006543BA">
        <w:rPr>
          <w:noProof/>
        </w:rPr>
        <w:t>questions</w:t>
      </w:r>
      <w:r w:rsidRPr="006543BA">
        <w:rPr>
          <w:noProof/>
        </w:rPr>
        <w:t xml:space="preserve"> appelant de nouvelles études techniques et/ou réglementaires de la part de l</w:t>
      </w:r>
      <w:r w:rsidR="009A3A62" w:rsidRPr="006543BA">
        <w:rPr>
          <w:noProof/>
        </w:rPr>
        <w:t>'</w:t>
      </w:r>
      <w:r w:rsidRPr="006543BA">
        <w:rPr>
          <w:noProof/>
        </w:rPr>
        <w:t>UIT-R.</w:t>
      </w:r>
    </w:p>
    <w:p w14:paraId="5BF592F2" w14:textId="603E82BE" w:rsidR="00D87EDD" w:rsidRPr="006543BA" w:rsidRDefault="00D87EDD" w:rsidP="00197A4A">
      <w:pPr>
        <w:rPr>
          <w:noProof/>
        </w:rPr>
      </w:pPr>
      <w:r w:rsidRPr="006543BA">
        <w:rPr>
          <w:noProof/>
        </w:rPr>
        <w:t>Il convient de souligner qu</w:t>
      </w:r>
      <w:r w:rsidR="009A3A62" w:rsidRPr="006543BA">
        <w:rPr>
          <w:noProof/>
        </w:rPr>
        <w:t>'</w:t>
      </w:r>
      <w:r w:rsidR="00101295" w:rsidRPr="006543BA">
        <w:rPr>
          <w:noProof/>
        </w:rPr>
        <w:t>à</w:t>
      </w:r>
      <w:r w:rsidRPr="006543BA">
        <w:rPr>
          <w:noProof/>
        </w:rPr>
        <w:t xml:space="preserve"> la CMR-23, </w:t>
      </w:r>
      <w:r w:rsidR="00101295" w:rsidRPr="006543BA">
        <w:rPr>
          <w:noProof/>
        </w:rPr>
        <w:t xml:space="preserve">compte tenu du </w:t>
      </w:r>
      <w:r w:rsidRPr="006543BA">
        <w:rPr>
          <w:noProof/>
        </w:rPr>
        <w:t>grand nombre de points de l</w:t>
      </w:r>
      <w:r w:rsidR="009A3A62" w:rsidRPr="006543BA">
        <w:rPr>
          <w:noProof/>
        </w:rPr>
        <w:t>'</w:t>
      </w:r>
      <w:r w:rsidRPr="006543BA">
        <w:rPr>
          <w:noProof/>
        </w:rPr>
        <w:t>ordre du jour</w:t>
      </w:r>
      <w:r w:rsidR="00101295" w:rsidRPr="006543BA">
        <w:rPr>
          <w:noProof/>
        </w:rPr>
        <w:t xml:space="preserve"> à traiter</w:t>
      </w:r>
      <w:r w:rsidRPr="006543BA">
        <w:rPr>
          <w:noProof/>
        </w:rPr>
        <w:t xml:space="preserve"> </w:t>
      </w:r>
      <w:r w:rsidR="00101295" w:rsidRPr="006543BA">
        <w:rPr>
          <w:noProof/>
        </w:rPr>
        <w:t>et de la complexité de certains de ces points</w:t>
      </w:r>
      <w:r w:rsidRPr="006543BA">
        <w:rPr>
          <w:noProof/>
        </w:rPr>
        <w:t xml:space="preserve">, la Conférence ne disposera </w:t>
      </w:r>
      <w:r w:rsidR="00D0249B" w:rsidRPr="006543BA">
        <w:rPr>
          <w:noProof/>
        </w:rPr>
        <w:t xml:space="preserve">pas </w:t>
      </w:r>
      <w:r w:rsidRPr="006543BA">
        <w:rPr>
          <w:noProof/>
        </w:rPr>
        <w:t xml:space="preserve">de suffisamment de temps ni des études techniques et réglementaires </w:t>
      </w:r>
      <w:r w:rsidR="00BD6160" w:rsidRPr="006543BA">
        <w:rPr>
          <w:noProof/>
        </w:rPr>
        <w:t>sur lesquelles s</w:t>
      </w:r>
      <w:r w:rsidR="009A3A62" w:rsidRPr="006543BA">
        <w:rPr>
          <w:noProof/>
        </w:rPr>
        <w:t>'</w:t>
      </w:r>
      <w:r w:rsidR="00BD6160" w:rsidRPr="006543BA">
        <w:rPr>
          <w:noProof/>
        </w:rPr>
        <w:t>appuyer</w:t>
      </w:r>
      <w:r w:rsidRPr="006543BA">
        <w:rPr>
          <w:noProof/>
        </w:rPr>
        <w:t xml:space="preserve"> pour prendre de telles mesures et </w:t>
      </w:r>
      <w:r w:rsidR="00BD6160" w:rsidRPr="006543BA">
        <w:rPr>
          <w:noProof/>
        </w:rPr>
        <w:t>formuler les</w:t>
      </w:r>
      <w:r w:rsidR="00E81491" w:rsidRPr="006543BA">
        <w:rPr>
          <w:noProof/>
        </w:rPr>
        <w:t xml:space="preserve"> </w:t>
      </w:r>
      <w:r w:rsidRPr="006543BA">
        <w:rPr>
          <w:noProof/>
        </w:rPr>
        <w:t xml:space="preserve">orientations </w:t>
      </w:r>
      <w:r w:rsidR="00A92D0F" w:rsidRPr="006543BA">
        <w:rPr>
          <w:noProof/>
        </w:rPr>
        <w:t xml:space="preserve">demandées </w:t>
      </w:r>
      <w:r w:rsidRPr="006543BA">
        <w:rPr>
          <w:noProof/>
        </w:rPr>
        <w:t>par le Bureau.</w:t>
      </w:r>
    </w:p>
    <w:p w14:paraId="63D3CC1B" w14:textId="34A68BC1" w:rsidR="004A068C" w:rsidRPr="006543BA" w:rsidRDefault="004A068C" w:rsidP="009A3A62">
      <w:pPr>
        <w:pStyle w:val="Headingb"/>
        <w:rPr>
          <w:noProof/>
        </w:rPr>
      </w:pPr>
      <w:r w:rsidRPr="006543BA">
        <w:rPr>
          <w:noProof/>
        </w:rPr>
        <w:t>Propositions</w:t>
      </w:r>
    </w:p>
    <w:p w14:paraId="744C3E5B" w14:textId="245D921F" w:rsidR="004A068C" w:rsidRPr="006543BA" w:rsidRDefault="00A92D0F" w:rsidP="00197A4A">
      <w:pPr>
        <w:rPr>
          <w:noProof/>
        </w:rPr>
      </w:pPr>
      <w:r w:rsidRPr="006543BA">
        <w:rPr>
          <w:noProof/>
          <w:color w:val="000000"/>
          <w:szCs w:val="24"/>
        </w:rPr>
        <w:t>En ce qui concerne l</w:t>
      </w:r>
      <w:r w:rsidR="009A3A62" w:rsidRPr="006543BA">
        <w:rPr>
          <w:noProof/>
          <w:color w:val="000000"/>
          <w:szCs w:val="24"/>
        </w:rPr>
        <w:t>'</w:t>
      </w:r>
      <w:r w:rsidRPr="006543BA">
        <w:rPr>
          <w:noProof/>
          <w:color w:val="000000"/>
          <w:szCs w:val="24"/>
        </w:rPr>
        <w:t>examen du Document 4, l</w:t>
      </w:r>
      <w:r w:rsidR="009A3A62" w:rsidRPr="006543BA">
        <w:rPr>
          <w:noProof/>
          <w:color w:val="000000"/>
          <w:szCs w:val="24"/>
        </w:rPr>
        <w:t>'</w:t>
      </w:r>
      <w:r w:rsidRPr="006543BA">
        <w:rPr>
          <w:noProof/>
          <w:color w:val="000000"/>
          <w:szCs w:val="24"/>
        </w:rPr>
        <w:t>Administration de la République islamique d</w:t>
      </w:r>
      <w:r w:rsidR="009A3A62" w:rsidRPr="006543BA">
        <w:rPr>
          <w:noProof/>
          <w:color w:val="000000"/>
          <w:szCs w:val="24"/>
        </w:rPr>
        <w:t>'</w:t>
      </w:r>
      <w:r w:rsidRPr="006543BA">
        <w:rPr>
          <w:noProof/>
          <w:color w:val="000000"/>
          <w:szCs w:val="24"/>
        </w:rPr>
        <w:t xml:space="preserve">Iran a </w:t>
      </w:r>
      <w:r w:rsidR="00101295" w:rsidRPr="006543BA">
        <w:rPr>
          <w:noProof/>
          <w:color w:val="000000"/>
          <w:szCs w:val="24"/>
        </w:rPr>
        <w:t>formulé</w:t>
      </w:r>
      <w:r w:rsidRPr="006543BA">
        <w:rPr>
          <w:noProof/>
          <w:color w:val="000000"/>
          <w:szCs w:val="24"/>
        </w:rPr>
        <w:t xml:space="preserve"> les suggestions suivantes</w:t>
      </w:r>
      <w:r w:rsidR="004A068C" w:rsidRPr="006543BA">
        <w:rPr>
          <w:noProof/>
          <w:szCs w:val="24"/>
        </w:rPr>
        <w:t>:</w:t>
      </w:r>
    </w:p>
    <w:p w14:paraId="546F6243" w14:textId="672F2FAC" w:rsidR="004A068C" w:rsidRPr="006543BA" w:rsidRDefault="004A068C" w:rsidP="00197A4A">
      <w:pPr>
        <w:rPr>
          <w:noProof/>
        </w:rPr>
      </w:pPr>
      <w:r w:rsidRPr="006543BA">
        <w:rPr>
          <w:noProof/>
        </w:rPr>
        <w:t>1</w:t>
      </w:r>
      <w:r w:rsidR="009A3A62" w:rsidRPr="006543BA">
        <w:rPr>
          <w:noProof/>
        </w:rPr>
        <w:t>)</w:t>
      </w:r>
      <w:r w:rsidRPr="006543BA">
        <w:rPr>
          <w:noProof/>
        </w:rPr>
        <w:tab/>
      </w:r>
      <w:r w:rsidR="00BD6160" w:rsidRPr="006543BA">
        <w:rPr>
          <w:noProof/>
        </w:rPr>
        <w:t xml:space="preserve">Répartir </w:t>
      </w:r>
      <w:r w:rsidR="00A92D0F" w:rsidRPr="006543BA">
        <w:rPr>
          <w:noProof/>
        </w:rPr>
        <w:t>les éléments de l</w:t>
      </w:r>
      <w:r w:rsidR="009A3A62" w:rsidRPr="006543BA">
        <w:rPr>
          <w:noProof/>
        </w:rPr>
        <w:t>'</w:t>
      </w:r>
      <w:r w:rsidR="00A92D0F" w:rsidRPr="006543BA">
        <w:rPr>
          <w:noProof/>
        </w:rPr>
        <w:t>Addendum 2 en catégories distinctes et traiter</w:t>
      </w:r>
      <w:r w:rsidR="00BD6160" w:rsidRPr="006543BA">
        <w:rPr>
          <w:noProof/>
        </w:rPr>
        <w:t xml:space="preserve"> chacune de</w:t>
      </w:r>
      <w:r w:rsidR="00A92D0F" w:rsidRPr="006543BA">
        <w:rPr>
          <w:noProof/>
        </w:rPr>
        <w:t xml:space="preserve"> ces catégories de manière différente. Tous ces éléments doivent faire l</w:t>
      </w:r>
      <w:r w:rsidR="009A3A62" w:rsidRPr="006543BA">
        <w:rPr>
          <w:noProof/>
        </w:rPr>
        <w:t>'</w:t>
      </w:r>
      <w:r w:rsidR="00A92D0F" w:rsidRPr="006543BA">
        <w:rPr>
          <w:noProof/>
        </w:rPr>
        <w:t>objet</w:t>
      </w:r>
      <w:r w:rsidR="00BD6160" w:rsidRPr="006543BA">
        <w:rPr>
          <w:noProof/>
        </w:rPr>
        <w:t xml:space="preserve"> d</w:t>
      </w:r>
      <w:r w:rsidR="009A3A62" w:rsidRPr="006543BA">
        <w:rPr>
          <w:noProof/>
        </w:rPr>
        <w:t>'</w:t>
      </w:r>
      <w:r w:rsidR="00BD6160" w:rsidRPr="006543BA">
        <w:rPr>
          <w:noProof/>
        </w:rPr>
        <w:t>un examen méticuleux et</w:t>
      </w:r>
      <w:r w:rsidR="00A92D0F" w:rsidRPr="006543BA">
        <w:rPr>
          <w:noProof/>
        </w:rPr>
        <w:t xml:space="preserve"> </w:t>
      </w:r>
      <w:r w:rsidR="00BD6160" w:rsidRPr="006543BA">
        <w:rPr>
          <w:noProof/>
        </w:rPr>
        <w:t xml:space="preserve">de </w:t>
      </w:r>
      <w:r w:rsidR="00A92D0F" w:rsidRPr="006543BA">
        <w:rPr>
          <w:noProof/>
        </w:rPr>
        <w:t>vérification</w:t>
      </w:r>
      <w:r w:rsidR="00BD6160" w:rsidRPr="006543BA">
        <w:rPr>
          <w:noProof/>
        </w:rPr>
        <w:t>s</w:t>
      </w:r>
      <w:r w:rsidR="00A92D0F" w:rsidRPr="006543BA">
        <w:rPr>
          <w:noProof/>
        </w:rPr>
        <w:t xml:space="preserve"> approfondie</w:t>
      </w:r>
      <w:r w:rsidR="00BD6160" w:rsidRPr="006543BA">
        <w:rPr>
          <w:noProof/>
        </w:rPr>
        <w:t>s</w:t>
      </w:r>
      <w:r w:rsidRPr="006543BA">
        <w:rPr>
          <w:noProof/>
        </w:rPr>
        <w:t>.</w:t>
      </w:r>
    </w:p>
    <w:p w14:paraId="72A0681A" w14:textId="2DAA2D97" w:rsidR="004A068C" w:rsidRPr="006543BA" w:rsidRDefault="00A92D0F" w:rsidP="00197A4A">
      <w:pPr>
        <w:rPr>
          <w:noProof/>
        </w:rPr>
      </w:pPr>
      <w:r w:rsidRPr="006543BA">
        <w:rPr>
          <w:noProof/>
        </w:rPr>
        <w:t>Les catégories suivantes peuvent être utilisées comme subdivision préliminaire</w:t>
      </w:r>
      <w:r w:rsidR="006543BA" w:rsidRPr="006543BA">
        <w:rPr>
          <w:noProof/>
        </w:rPr>
        <w:t>.</w:t>
      </w:r>
    </w:p>
    <w:p w14:paraId="2E5659D7" w14:textId="207844B3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1</w:t>
      </w:r>
    </w:p>
    <w:p w14:paraId="5E49371A" w14:textId="029B80D5" w:rsidR="004A068C" w:rsidRPr="006543BA" w:rsidRDefault="003F38EC" w:rsidP="00197A4A">
      <w:pPr>
        <w:rPr>
          <w:noProof/>
        </w:rPr>
      </w:pPr>
      <w:r w:rsidRPr="006543BA">
        <w:rPr>
          <w:noProof/>
        </w:rPr>
        <w:t>Disposition purement réglementaire à inclure dans le Règlement des radiocommunications</w:t>
      </w:r>
      <w:r w:rsidR="00D0249B" w:rsidRPr="006543BA">
        <w:rPr>
          <w:noProof/>
        </w:rPr>
        <w:t>,</w:t>
      </w:r>
      <w:r w:rsidRPr="006543BA">
        <w:rPr>
          <w:noProof/>
        </w:rPr>
        <w:t xml:space="preserve"> pour l</w:t>
      </w:r>
      <w:r w:rsidR="00D0249B" w:rsidRPr="006543BA">
        <w:rPr>
          <w:noProof/>
        </w:rPr>
        <w:t>a</w:t>
      </w:r>
      <w:r w:rsidRPr="006543BA">
        <w:rPr>
          <w:noProof/>
        </w:rPr>
        <w:t>quel</w:t>
      </w:r>
      <w:r w:rsidR="00D0249B" w:rsidRPr="006543BA">
        <w:rPr>
          <w:noProof/>
        </w:rPr>
        <w:t>le</w:t>
      </w:r>
      <w:r w:rsidRPr="006543BA">
        <w:rPr>
          <w:noProof/>
        </w:rPr>
        <w:t xml:space="preserve"> un projet de texte est proposé et pourrait être approuvé par la Conférence</w:t>
      </w:r>
      <w:r w:rsidR="0034129D" w:rsidRPr="006543BA">
        <w:rPr>
          <w:noProof/>
        </w:rPr>
        <w:t>;</w:t>
      </w:r>
      <w:r w:rsidR="000C556F" w:rsidRPr="006543BA">
        <w:rPr>
          <w:noProof/>
        </w:rPr>
        <w:t xml:space="preserve"> si elle n</w:t>
      </w:r>
      <w:r w:rsidR="009A3A62" w:rsidRPr="006543BA">
        <w:rPr>
          <w:noProof/>
        </w:rPr>
        <w:t>'</w:t>
      </w:r>
      <w:r w:rsidR="000C556F" w:rsidRPr="006543BA">
        <w:rPr>
          <w:noProof/>
        </w:rPr>
        <w:t>est pas approuvée,</w:t>
      </w:r>
      <w:r w:rsidR="00D0249B" w:rsidRPr="006543BA">
        <w:rPr>
          <w:noProof/>
        </w:rPr>
        <w:t xml:space="preserve"> </w:t>
      </w:r>
      <w:r w:rsidR="000C556F" w:rsidRPr="006543BA">
        <w:rPr>
          <w:noProof/>
        </w:rPr>
        <w:t xml:space="preserve">la </w:t>
      </w:r>
      <w:r w:rsidRPr="006543BA">
        <w:rPr>
          <w:noProof/>
        </w:rPr>
        <w:t xml:space="preserve">disposition figurerait dans un autre document </w:t>
      </w:r>
      <w:r w:rsidR="000C556F" w:rsidRPr="006543BA">
        <w:rPr>
          <w:noProof/>
        </w:rPr>
        <w:t>afin que</w:t>
      </w:r>
      <w:r w:rsidRPr="006543BA">
        <w:rPr>
          <w:noProof/>
        </w:rPr>
        <w:t xml:space="preserve"> l</w:t>
      </w:r>
      <w:r w:rsidR="009A3A62" w:rsidRPr="006543BA">
        <w:rPr>
          <w:noProof/>
        </w:rPr>
        <w:t>'</w:t>
      </w:r>
      <w:r w:rsidRPr="006543BA">
        <w:rPr>
          <w:noProof/>
        </w:rPr>
        <w:t>UIT-R</w:t>
      </w:r>
      <w:r w:rsidR="000C556F" w:rsidRPr="006543BA">
        <w:rPr>
          <w:noProof/>
        </w:rPr>
        <w:t xml:space="preserve"> mène les études correspondantes</w:t>
      </w:r>
      <w:r w:rsidRPr="006543BA">
        <w:rPr>
          <w:noProof/>
        </w:rPr>
        <w:t>.</w:t>
      </w:r>
    </w:p>
    <w:p w14:paraId="703D64A3" w14:textId="749DF903" w:rsidR="004A068C" w:rsidRPr="006543BA" w:rsidRDefault="00A92D0F" w:rsidP="009A3A62">
      <w:pPr>
        <w:pStyle w:val="Headingb"/>
        <w:keepLines/>
        <w:rPr>
          <w:noProof/>
        </w:rPr>
      </w:pPr>
      <w:r w:rsidRPr="006543BA">
        <w:rPr>
          <w:noProof/>
        </w:rPr>
        <w:lastRenderedPageBreak/>
        <w:t>Catégorie 2</w:t>
      </w:r>
    </w:p>
    <w:p w14:paraId="12BA70C4" w14:textId="04AFFA68" w:rsidR="004A068C" w:rsidRPr="006543BA" w:rsidRDefault="00E03DE5" w:rsidP="009A3A62">
      <w:pPr>
        <w:keepLines/>
        <w:rPr>
          <w:noProof/>
        </w:rPr>
      </w:pPr>
      <w:r w:rsidRPr="006543BA">
        <w:rPr>
          <w:noProof/>
        </w:rPr>
        <w:t xml:space="preserve">Disposition purement réglementaire </w:t>
      </w:r>
      <w:r w:rsidR="000C556F" w:rsidRPr="006543BA">
        <w:rPr>
          <w:noProof/>
        </w:rPr>
        <w:t xml:space="preserve">provenant </w:t>
      </w:r>
      <w:r w:rsidRPr="006543BA">
        <w:rPr>
          <w:noProof/>
        </w:rPr>
        <w:t>d</w:t>
      </w:r>
      <w:r w:rsidR="009A3A62" w:rsidRPr="006543BA">
        <w:rPr>
          <w:noProof/>
        </w:rPr>
        <w:t>'</w:t>
      </w:r>
      <w:r w:rsidRPr="006543BA">
        <w:rPr>
          <w:noProof/>
        </w:rPr>
        <w:t>un texte ou d</w:t>
      </w:r>
      <w:r w:rsidR="009A3A62" w:rsidRPr="006543BA">
        <w:rPr>
          <w:noProof/>
        </w:rPr>
        <w:t>'</w:t>
      </w:r>
      <w:r w:rsidRPr="006543BA">
        <w:rPr>
          <w:noProof/>
        </w:rPr>
        <w:t>une Résolution d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une CMR précédente figurant actuellement dans le RR, mais devant être modifiée et pour laquelle un ou plusieurs projets de modification sont proposés: </w:t>
      </w:r>
      <w:r w:rsidR="000C556F" w:rsidRPr="006543BA">
        <w:rPr>
          <w:noProof/>
        </w:rPr>
        <w:t xml:space="preserve">les dispositions entrant dans </w:t>
      </w:r>
      <w:r w:rsidR="00D0249B" w:rsidRPr="006543BA">
        <w:rPr>
          <w:noProof/>
        </w:rPr>
        <w:t>c</w:t>
      </w:r>
      <w:r w:rsidRPr="006543BA">
        <w:rPr>
          <w:noProof/>
        </w:rPr>
        <w:t>ette catégorie pourrai</w:t>
      </w:r>
      <w:r w:rsidR="000C556F" w:rsidRPr="006543BA">
        <w:rPr>
          <w:noProof/>
        </w:rPr>
        <w:t>en</w:t>
      </w:r>
      <w:r w:rsidRPr="006543BA">
        <w:rPr>
          <w:noProof/>
        </w:rPr>
        <w:t>t être examinée</w:t>
      </w:r>
      <w:r w:rsidR="000C556F" w:rsidRPr="006543BA">
        <w:rPr>
          <w:noProof/>
        </w:rPr>
        <w:t>s</w:t>
      </w:r>
      <w:r w:rsidRPr="006543BA">
        <w:rPr>
          <w:noProof/>
        </w:rPr>
        <w:t xml:space="preserve"> et approuvée</w:t>
      </w:r>
      <w:r w:rsidR="000C556F" w:rsidRPr="006543BA">
        <w:rPr>
          <w:noProof/>
        </w:rPr>
        <w:t>s</w:t>
      </w:r>
      <w:r w:rsidRPr="006543BA">
        <w:rPr>
          <w:noProof/>
        </w:rPr>
        <w:t xml:space="preserve">. </w:t>
      </w:r>
      <w:r w:rsidR="000C556F" w:rsidRPr="006543BA">
        <w:rPr>
          <w:noProof/>
        </w:rPr>
        <w:t>Si tel n</w:t>
      </w:r>
      <w:r w:rsidR="009A3A62" w:rsidRPr="006543BA">
        <w:rPr>
          <w:noProof/>
        </w:rPr>
        <w:t>'</w:t>
      </w:r>
      <w:r w:rsidR="000C556F" w:rsidRPr="006543BA">
        <w:rPr>
          <w:noProof/>
        </w:rPr>
        <w:t>est pas le cas</w:t>
      </w:r>
      <w:r w:rsidR="003F38EC" w:rsidRPr="006543BA">
        <w:rPr>
          <w:noProof/>
        </w:rPr>
        <w:t>, elle</w:t>
      </w:r>
      <w:r w:rsidR="000C556F" w:rsidRPr="006543BA">
        <w:rPr>
          <w:noProof/>
        </w:rPr>
        <w:t>s</w:t>
      </w:r>
      <w:r w:rsidR="003F38EC" w:rsidRPr="006543BA">
        <w:rPr>
          <w:noProof/>
        </w:rPr>
        <w:t xml:space="preserve"> pourrai</w:t>
      </w:r>
      <w:r w:rsidR="000C556F" w:rsidRPr="006543BA">
        <w:rPr>
          <w:noProof/>
        </w:rPr>
        <w:t>en</w:t>
      </w:r>
      <w:r w:rsidR="003F38EC" w:rsidRPr="006543BA">
        <w:rPr>
          <w:noProof/>
        </w:rPr>
        <w:t>t être incluse</w:t>
      </w:r>
      <w:r w:rsidR="000C556F" w:rsidRPr="006543BA">
        <w:rPr>
          <w:noProof/>
        </w:rPr>
        <w:t>s</w:t>
      </w:r>
      <w:r w:rsidR="003F38EC" w:rsidRPr="006543BA">
        <w:rPr>
          <w:noProof/>
        </w:rPr>
        <w:t xml:space="preserve"> dans un document spécial </w:t>
      </w:r>
      <w:r w:rsidR="000C556F" w:rsidRPr="006543BA">
        <w:rPr>
          <w:noProof/>
        </w:rPr>
        <w:t>afin que</w:t>
      </w:r>
      <w:r w:rsidR="003F38EC" w:rsidRPr="006543BA">
        <w:rPr>
          <w:noProof/>
        </w:rPr>
        <w:t xml:space="preserve"> l</w:t>
      </w:r>
      <w:r w:rsidR="009A3A62" w:rsidRPr="006543BA">
        <w:rPr>
          <w:noProof/>
        </w:rPr>
        <w:t>'</w:t>
      </w:r>
      <w:r w:rsidR="003F38EC" w:rsidRPr="006543BA">
        <w:rPr>
          <w:noProof/>
        </w:rPr>
        <w:t>UIT-R</w:t>
      </w:r>
      <w:r w:rsidR="000C556F" w:rsidRPr="006543BA">
        <w:rPr>
          <w:noProof/>
        </w:rPr>
        <w:t xml:space="preserve"> mène les études correspondantes</w:t>
      </w:r>
      <w:r w:rsidR="004A068C" w:rsidRPr="006543BA">
        <w:rPr>
          <w:noProof/>
        </w:rPr>
        <w:t>.</w:t>
      </w:r>
    </w:p>
    <w:p w14:paraId="1BD0A0FE" w14:textId="393888CE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3</w:t>
      </w:r>
    </w:p>
    <w:p w14:paraId="44B054F2" w14:textId="443EA3B0" w:rsidR="004A068C" w:rsidRPr="006543BA" w:rsidRDefault="00E03DE5" w:rsidP="00197A4A">
      <w:pPr>
        <w:rPr>
          <w:noProof/>
        </w:rPr>
      </w:pPr>
      <w:r w:rsidRPr="006543BA">
        <w:rPr>
          <w:noProof/>
        </w:rPr>
        <w:t>Disposition purement réglementaire à inclure dans le Règlement des radiocommunications pour laquelle aucun projet de texte n</w:t>
      </w:r>
      <w:r w:rsidR="009A3A62" w:rsidRPr="006543BA">
        <w:rPr>
          <w:noProof/>
        </w:rPr>
        <w:t>'</w:t>
      </w:r>
      <w:r w:rsidRPr="006543BA">
        <w:rPr>
          <w:noProof/>
        </w:rPr>
        <w:t>est proposé</w:t>
      </w:r>
      <w:r w:rsidR="004A068C" w:rsidRPr="006543BA">
        <w:rPr>
          <w:noProof/>
        </w:rPr>
        <w:t>.</w:t>
      </w:r>
    </w:p>
    <w:p w14:paraId="68F23A23" w14:textId="0AD9BBB1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4</w:t>
      </w:r>
    </w:p>
    <w:p w14:paraId="179579B5" w14:textId="4A601461" w:rsidR="00964856" w:rsidRPr="006543BA" w:rsidRDefault="00E03DE5" w:rsidP="00197A4A">
      <w:pPr>
        <w:rPr>
          <w:noProof/>
        </w:rPr>
      </w:pPr>
      <w:r w:rsidRPr="006543BA">
        <w:rPr>
          <w:noProof/>
        </w:rPr>
        <w:t xml:space="preserve">Disposition purement réglementaire </w:t>
      </w:r>
      <w:r w:rsidR="000C556F" w:rsidRPr="006543BA">
        <w:rPr>
          <w:noProof/>
        </w:rPr>
        <w:t>provenant d</w:t>
      </w:r>
      <w:r w:rsidR="009A3A62" w:rsidRPr="006543BA">
        <w:rPr>
          <w:noProof/>
        </w:rPr>
        <w:t>'</w:t>
      </w:r>
      <w:r w:rsidR="000C556F" w:rsidRPr="006543BA">
        <w:rPr>
          <w:noProof/>
        </w:rPr>
        <w:t xml:space="preserve">un </w:t>
      </w:r>
      <w:r w:rsidRPr="006543BA">
        <w:rPr>
          <w:noProof/>
        </w:rPr>
        <w:t xml:space="preserve">texte </w:t>
      </w:r>
      <w:r w:rsidR="000C556F" w:rsidRPr="006543BA">
        <w:rPr>
          <w:noProof/>
        </w:rPr>
        <w:t>ou d</w:t>
      </w:r>
      <w:r w:rsidR="009A3A62" w:rsidRPr="006543BA">
        <w:rPr>
          <w:noProof/>
        </w:rPr>
        <w:t>'</w:t>
      </w:r>
      <w:r w:rsidR="000C556F" w:rsidRPr="006543BA">
        <w:rPr>
          <w:noProof/>
        </w:rPr>
        <w:t xml:space="preserve">une </w:t>
      </w:r>
      <w:r w:rsidRPr="006543BA">
        <w:rPr>
          <w:noProof/>
        </w:rPr>
        <w:t xml:space="preserve">Résolution </w:t>
      </w:r>
      <w:r w:rsidR="000C556F" w:rsidRPr="006543BA">
        <w:rPr>
          <w:noProof/>
        </w:rPr>
        <w:t>d</w:t>
      </w:r>
      <w:r w:rsidR="009A3A62" w:rsidRPr="006543BA">
        <w:rPr>
          <w:noProof/>
        </w:rPr>
        <w:t>'</w:t>
      </w:r>
      <w:r w:rsidR="000C556F" w:rsidRPr="006543BA">
        <w:rPr>
          <w:noProof/>
        </w:rPr>
        <w:t xml:space="preserve">une </w:t>
      </w:r>
      <w:r w:rsidRPr="006543BA">
        <w:rPr>
          <w:noProof/>
        </w:rPr>
        <w:t xml:space="preserve">CMR précédente </w:t>
      </w:r>
      <w:r w:rsidR="000C556F" w:rsidRPr="006543BA">
        <w:rPr>
          <w:noProof/>
        </w:rPr>
        <w:t xml:space="preserve">devant être </w:t>
      </w:r>
      <w:r w:rsidRPr="006543BA">
        <w:rPr>
          <w:noProof/>
        </w:rPr>
        <w:t>modifi</w:t>
      </w:r>
      <w:r w:rsidR="000C556F" w:rsidRPr="006543BA">
        <w:rPr>
          <w:noProof/>
        </w:rPr>
        <w:t>é</w:t>
      </w:r>
      <w:r w:rsidRPr="006543BA">
        <w:rPr>
          <w:noProof/>
        </w:rPr>
        <w:t xml:space="preserve">e et pour laquelle il </w:t>
      </w:r>
      <w:r w:rsidR="00E440CB" w:rsidRPr="006543BA">
        <w:rPr>
          <w:noProof/>
        </w:rPr>
        <w:t>n</w:t>
      </w:r>
      <w:r w:rsidR="009A3A62" w:rsidRPr="006543BA">
        <w:rPr>
          <w:noProof/>
        </w:rPr>
        <w:t>'</w:t>
      </w:r>
      <w:r w:rsidR="00E440CB" w:rsidRPr="006543BA">
        <w:rPr>
          <w:noProof/>
        </w:rPr>
        <w:t>existe pas de projet</w:t>
      </w:r>
      <w:r w:rsidRPr="006543BA">
        <w:rPr>
          <w:noProof/>
        </w:rPr>
        <w:t xml:space="preserve"> de modification </w:t>
      </w:r>
      <w:r w:rsidR="00E440CB" w:rsidRPr="006543BA">
        <w:rPr>
          <w:noProof/>
        </w:rPr>
        <w:t>du</w:t>
      </w:r>
      <w:r w:rsidRPr="006543BA">
        <w:rPr>
          <w:noProof/>
        </w:rPr>
        <w:t xml:space="preserve"> RR ou </w:t>
      </w:r>
      <w:r w:rsidR="00E440CB" w:rsidRPr="006543BA">
        <w:rPr>
          <w:noProof/>
        </w:rPr>
        <w:t>d</w:t>
      </w:r>
      <w:r w:rsidR="009A3A62" w:rsidRPr="006543BA">
        <w:rPr>
          <w:noProof/>
        </w:rPr>
        <w:t>'</w:t>
      </w:r>
      <w:r w:rsidR="00E440CB" w:rsidRPr="006543BA">
        <w:rPr>
          <w:noProof/>
        </w:rPr>
        <w:t>une</w:t>
      </w:r>
      <w:r w:rsidRPr="006543BA">
        <w:rPr>
          <w:noProof/>
        </w:rPr>
        <w:t xml:space="preserve"> </w:t>
      </w:r>
      <w:r w:rsidR="006543BA" w:rsidRPr="006543BA">
        <w:rPr>
          <w:noProof/>
        </w:rPr>
        <w:t>r</w:t>
      </w:r>
      <w:r w:rsidRPr="006543BA">
        <w:rPr>
          <w:noProof/>
        </w:rPr>
        <w:t>ésolution ou</w:t>
      </w:r>
      <w:r w:rsidR="00E440CB" w:rsidRPr="006543BA">
        <w:rPr>
          <w:noProof/>
        </w:rPr>
        <w:t xml:space="preserve"> de projet de nouvelle </w:t>
      </w:r>
      <w:r w:rsidR="006543BA" w:rsidRPr="006543BA">
        <w:rPr>
          <w:noProof/>
        </w:rPr>
        <w:t>r</w:t>
      </w:r>
      <w:r w:rsidR="00E440CB" w:rsidRPr="006543BA">
        <w:rPr>
          <w:noProof/>
        </w:rPr>
        <w:t>ésolution</w:t>
      </w:r>
      <w:r w:rsidR="004A068C" w:rsidRPr="006543BA">
        <w:rPr>
          <w:noProof/>
        </w:rPr>
        <w:t>.</w:t>
      </w:r>
    </w:p>
    <w:p w14:paraId="72448655" w14:textId="1AE72CFF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5</w:t>
      </w:r>
    </w:p>
    <w:p w14:paraId="0DDF7A34" w14:textId="2C979C50" w:rsidR="004A068C" w:rsidRPr="006543BA" w:rsidRDefault="00776716" w:rsidP="00197A4A">
      <w:pPr>
        <w:rPr>
          <w:noProof/>
        </w:rPr>
      </w:pPr>
      <w:r w:rsidRPr="006543BA">
        <w:rPr>
          <w:noProof/>
        </w:rPr>
        <w:t>D</w:t>
      </w:r>
      <w:r w:rsidR="00E03DE5" w:rsidRPr="006543BA">
        <w:rPr>
          <w:noProof/>
        </w:rPr>
        <w:t>ifficultés pour lesquel</w:t>
      </w:r>
      <w:r w:rsidRPr="006543BA">
        <w:rPr>
          <w:noProof/>
        </w:rPr>
        <w:t>le</w:t>
      </w:r>
      <w:r w:rsidR="00E03DE5" w:rsidRPr="006543BA">
        <w:rPr>
          <w:noProof/>
        </w:rPr>
        <w:t>s il n</w:t>
      </w:r>
      <w:r w:rsidR="009A3A62" w:rsidRPr="006543BA">
        <w:rPr>
          <w:noProof/>
        </w:rPr>
        <w:t>'</w:t>
      </w:r>
      <w:r w:rsidR="00E03DE5" w:rsidRPr="006543BA">
        <w:rPr>
          <w:noProof/>
        </w:rPr>
        <w:t xml:space="preserve">existe aucune disposition réglementaire ni aucune Règle de procédure correspondante, mais </w:t>
      </w:r>
      <w:r w:rsidR="00E440CB" w:rsidRPr="006543BA">
        <w:rPr>
          <w:noProof/>
        </w:rPr>
        <w:t>il existe une</w:t>
      </w:r>
      <w:r w:rsidR="00E03DE5" w:rsidRPr="006543BA">
        <w:rPr>
          <w:noProof/>
        </w:rPr>
        <w:t xml:space="preserve"> pratique suivie par le Bureau.</w:t>
      </w:r>
    </w:p>
    <w:p w14:paraId="36C3688C" w14:textId="765DC1FB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6</w:t>
      </w:r>
    </w:p>
    <w:p w14:paraId="574C4EA1" w14:textId="2B186C37" w:rsidR="004A068C" w:rsidRPr="006543BA" w:rsidRDefault="00776716" w:rsidP="00197A4A">
      <w:pPr>
        <w:rPr>
          <w:noProof/>
        </w:rPr>
      </w:pPr>
      <w:r w:rsidRPr="006543BA">
        <w:rPr>
          <w:noProof/>
        </w:rPr>
        <w:t>D</w:t>
      </w:r>
      <w:r w:rsidR="00E03DE5" w:rsidRPr="006543BA">
        <w:rPr>
          <w:noProof/>
        </w:rPr>
        <w:t>ifficultés pour lesquelles il n</w:t>
      </w:r>
      <w:r w:rsidR="009A3A62" w:rsidRPr="006543BA">
        <w:rPr>
          <w:noProof/>
        </w:rPr>
        <w:t>'</w:t>
      </w:r>
      <w:r w:rsidR="00E03DE5" w:rsidRPr="006543BA">
        <w:rPr>
          <w:noProof/>
        </w:rPr>
        <w:t xml:space="preserve">existe </w:t>
      </w:r>
      <w:r w:rsidRPr="006543BA">
        <w:rPr>
          <w:noProof/>
        </w:rPr>
        <w:t>aucune</w:t>
      </w:r>
      <w:r w:rsidR="00E03DE5" w:rsidRPr="006543BA">
        <w:rPr>
          <w:noProof/>
        </w:rPr>
        <w:t xml:space="preserve"> disposition réglementaire ni Règle de procédure correspondante, mais qui </w:t>
      </w:r>
      <w:r w:rsidR="00E440CB" w:rsidRPr="006543BA">
        <w:rPr>
          <w:noProof/>
        </w:rPr>
        <w:t>concernent des</w:t>
      </w:r>
      <w:r w:rsidRPr="006543BA">
        <w:rPr>
          <w:noProof/>
        </w:rPr>
        <w:t xml:space="preserve"> pratiques </w:t>
      </w:r>
      <w:r w:rsidR="00E03DE5" w:rsidRPr="006543BA">
        <w:rPr>
          <w:noProof/>
        </w:rPr>
        <w:t>non publiées par le Bureau et pour lesquelles le Bureau recherch</w:t>
      </w:r>
      <w:r w:rsidR="00E440CB" w:rsidRPr="006543BA">
        <w:rPr>
          <w:noProof/>
        </w:rPr>
        <w:t>e</w:t>
      </w:r>
      <w:r w:rsidR="00E03DE5" w:rsidRPr="006543BA">
        <w:rPr>
          <w:noProof/>
        </w:rPr>
        <w:t xml:space="preserve"> l</w:t>
      </w:r>
      <w:r w:rsidR="009A3A62" w:rsidRPr="006543BA">
        <w:rPr>
          <w:noProof/>
        </w:rPr>
        <w:t>'</w:t>
      </w:r>
      <w:r w:rsidR="00E03DE5" w:rsidRPr="006543BA">
        <w:rPr>
          <w:noProof/>
        </w:rPr>
        <w:t>accord de la Conférence.</w:t>
      </w:r>
    </w:p>
    <w:p w14:paraId="6A7383F3" w14:textId="63190310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7</w:t>
      </w:r>
    </w:p>
    <w:p w14:paraId="68F8B738" w14:textId="03A4626D" w:rsidR="004A068C" w:rsidRPr="006543BA" w:rsidRDefault="00776716" w:rsidP="00197A4A">
      <w:pPr>
        <w:rPr>
          <w:noProof/>
        </w:rPr>
      </w:pPr>
      <w:r w:rsidRPr="006543BA">
        <w:rPr>
          <w:noProof/>
        </w:rPr>
        <w:t>D</w:t>
      </w:r>
      <w:r w:rsidR="00C33C70" w:rsidRPr="006543BA">
        <w:rPr>
          <w:noProof/>
        </w:rPr>
        <w:t>ifficultés pour lesquel</w:t>
      </w:r>
      <w:r w:rsidRPr="006543BA">
        <w:rPr>
          <w:noProof/>
        </w:rPr>
        <w:t>le</w:t>
      </w:r>
      <w:r w:rsidR="00C33C70" w:rsidRPr="006543BA">
        <w:rPr>
          <w:noProof/>
        </w:rPr>
        <w:t>s il n</w:t>
      </w:r>
      <w:r w:rsidR="009A3A62" w:rsidRPr="006543BA">
        <w:rPr>
          <w:noProof/>
        </w:rPr>
        <w:t>'</w:t>
      </w:r>
      <w:r w:rsidR="00C33C70" w:rsidRPr="006543BA">
        <w:rPr>
          <w:noProof/>
        </w:rPr>
        <w:t xml:space="preserve">existe </w:t>
      </w:r>
      <w:r w:rsidRPr="006543BA">
        <w:rPr>
          <w:noProof/>
        </w:rPr>
        <w:t>aucune</w:t>
      </w:r>
      <w:r w:rsidR="00C33C70" w:rsidRPr="006543BA">
        <w:rPr>
          <w:noProof/>
        </w:rPr>
        <w:t xml:space="preserve"> disposition réglementaire ni Règle de procédure correspondante, mais qui reposent sur une certaine </w:t>
      </w:r>
      <w:r w:rsidRPr="006543BA">
        <w:rPr>
          <w:noProof/>
        </w:rPr>
        <w:t>interprétation</w:t>
      </w:r>
      <w:r w:rsidR="00C33C70" w:rsidRPr="006543BA">
        <w:rPr>
          <w:noProof/>
        </w:rPr>
        <w:t xml:space="preserve"> du Bureau pour laquelle </w:t>
      </w:r>
      <w:r w:rsidR="00E440CB" w:rsidRPr="006543BA">
        <w:rPr>
          <w:noProof/>
        </w:rPr>
        <w:t>une</w:t>
      </w:r>
      <w:r w:rsidR="00C33C70" w:rsidRPr="006543BA">
        <w:rPr>
          <w:noProof/>
        </w:rPr>
        <w:t xml:space="preserve"> confirmation</w:t>
      </w:r>
      <w:r w:rsidR="00E440CB" w:rsidRPr="006543BA">
        <w:rPr>
          <w:noProof/>
        </w:rPr>
        <w:t xml:space="preserve"> de la CMR est demandée</w:t>
      </w:r>
      <w:r w:rsidR="004A068C" w:rsidRPr="006543BA">
        <w:rPr>
          <w:noProof/>
        </w:rPr>
        <w:t>.</w:t>
      </w:r>
    </w:p>
    <w:p w14:paraId="646C9319" w14:textId="605759F1" w:rsidR="004A068C" w:rsidRPr="006543BA" w:rsidRDefault="00A92D0F" w:rsidP="00197A4A">
      <w:pPr>
        <w:pStyle w:val="Headingb"/>
        <w:rPr>
          <w:noProof/>
        </w:rPr>
      </w:pPr>
      <w:r w:rsidRPr="006543BA">
        <w:rPr>
          <w:noProof/>
        </w:rPr>
        <w:t>Catégorie 8</w:t>
      </w:r>
    </w:p>
    <w:p w14:paraId="1603AD1B" w14:textId="6B527E0C" w:rsidR="004A068C" w:rsidRPr="006543BA" w:rsidRDefault="00776716" w:rsidP="008E0BB5">
      <w:pPr>
        <w:rPr>
          <w:noProof/>
        </w:rPr>
      </w:pPr>
      <w:r w:rsidRPr="006543BA">
        <w:rPr>
          <w:noProof/>
        </w:rPr>
        <w:t>I</w:t>
      </w:r>
      <w:r w:rsidR="00C33C70" w:rsidRPr="006543BA">
        <w:rPr>
          <w:noProof/>
        </w:rPr>
        <w:t xml:space="preserve">ncohérence ou utilisation abusive </w:t>
      </w:r>
      <w:r w:rsidR="00E440CB" w:rsidRPr="006543BA">
        <w:rPr>
          <w:noProof/>
        </w:rPr>
        <w:t xml:space="preserve">au sujet de </w:t>
      </w:r>
      <w:r w:rsidRPr="006543BA">
        <w:rPr>
          <w:noProof/>
        </w:rPr>
        <w:t>laquelle</w:t>
      </w:r>
      <w:r w:rsidR="00C33C70" w:rsidRPr="006543BA">
        <w:rPr>
          <w:noProof/>
        </w:rPr>
        <w:t xml:space="preserve"> le Bureau n</w:t>
      </w:r>
      <w:r w:rsidR="009A3A62" w:rsidRPr="006543BA">
        <w:rPr>
          <w:noProof/>
        </w:rPr>
        <w:t>'</w:t>
      </w:r>
      <w:r w:rsidR="00C33C70" w:rsidRPr="006543BA">
        <w:rPr>
          <w:noProof/>
        </w:rPr>
        <w:t xml:space="preserve">a </w:t>
      </w:r>
      <w:r w:rsidR="00E440CB" w:rsidRPr="006543BA">
        <w:rPr>
          <w:noProof/>
        </w:rPr>
        <w:t>pas relevé de problème</w:t>
      </w:r>
      <w:r w:rsidR="00C33C70" w:rsidRPr="006543BA">
        <w:rPr>
          <w:noProof/>
        </w:rPr>
        <w:t xml:space="preserve"> </w:t>
      </w:r>
      <w:r w:rsidRPr="006543BA">
        <w:rPr>
          <w:noProof/>
        </w:rPr>
        <w:t>et n</w:t>
      </w:r>
      <w:r w:rsidR="009A3A62" w:rsidRPr="006543BA">
        <w:rPr>
          <w:noProof/>
        </w:rPr>
        <w:t>'</w:t>
      </w:r>
      <w:r w:rsidRPr="006543BA">
        <w:rPr>
          <w:noProof/>
        </w:rPr>
        <w:t xml:space="preserve">a pas </w:t>
      </w:r>
      <w:r w:rsidR="0034129D" w:rsidRPr="006543BA">
        <w:rPr>
          <w:noProof/>
        </w:rPr>
        <w:t xml:space="preserve">formulé </w:t>
      </w:r>
      <w:r w:rsidR="00C33C70" w:rsidRPr="006543BA">
        <w:rPr>
          <w:noProof/>
        </w:rPr>
        <w:t>de suggestion</w:t>
      </w:r>
      <w:r w:rsidR="004A068C" w:rsidRPr="006543BA">
        <w:rPr>
          <w:noProof/>
        </w:rPr>
        <w:t>.</w:t>
      </w:r>
    </w:p>
    <w:p w14:paraId="3838C28B" w14:textId="76504C55" w:rsidR="004A068C" w:rsidRPr="006543BA" w:rsidRDefault="004A068C" w:rsidP="008E0BB5">
      <w:pPr>
        <w:rPr>
          <w:noProof/>
        </w:rPr>
      </w:pPr>
      <w:r w:rsidRPr="006543BA">
        <w:rPr>
          <w:noProof/>
        </w:rPr>
        <w:t>2</w:t>
      </w:r>
      <w:r w:rsidR="006543BA" w:rsidRPr="006543BA">
        <w:rPr>
          <w:noProof/>
        </w:rPr>
        <w:t>)</w:t>
      </w:r>
      <w:r w:rsidRPr="006543BA">
        <w:rPr>
          <w:noProof/>
        </w:rPr>
        <w:tab/>
      </w:r>
      <w:r w:rsidR="00776716" w:rsidRPr="006543BA">
        <w:rPr>
          <w:noProof/>
        </w:rPr>
        <w:t>À</w:t>
      </w:r>
      <w:r w:rsidR="00C33C70" w:rsidRPr="006543BA">
        <w:rPr>
          <w:noProof/>
        </w:rPr>
        <w:t xml:space="preserve"> cette fin, la Conférence est invitée à charger l</w:t>
      </w:r>
      <w:r w:rsidR="009A3A62" w:rsidRPr="006543BA">
        <w:rPr>
          <w:noProof/>
        </w:rPr>
        <w:t>'</w:t>
      </w:r>
      <w:r w:rsidR="00C33C70" w:rsidRPr="006543BA">
        <w:rPr>
          <w:noProof/>
        </w:rPr>
        <w:t>UIT-R de prendre les mesures nécessaires immédiatement après la fin de la CMR-23</w:t>
      </w:r>
      <w:r w:rsidRPr="006543BA">
        <w:rPr>
          <w:noProof/>
        </w:rPr>
        <w:t>.</w:t>
      </w:r>
    </w:p>
    <w:p w14:paraId="0B0C202D" w14:textId="77777777" w:rsidR="007C212F" w:rsidRPr="006543BA" w:rsidRDefault="007C212F" w:rsidP="00197A4A">
      <w:pPr>
        <w:pStyle w:val="Reasons"/>
        <w:rPr>
          <w:noProof/>
        </w:rPr>
      </w:pPr>
    </w:p>
    <w:p w14:paraId="748C1E5E" w14:textId="77777777" w:rsidR="004A068C" w:rsidRPr="006543BA" w:rsidRDefault="004A068C" w:rsidP="00197A4A">
      <w:pPr>
        <w:jc w:val="center"/>
        <w:rPr>
          <w:noProof/>
        </w:rPr>
      </w:pPr>
      <w:r w:rsidRPr="006543BA">
        <w:rPr>
          <w:noProof/>
        </w:rPr>
        <w:t>______________</w:t>
      </w:r>
    </w:p>
    <w:sectPr w:rsidR="004A068C" w:rsidRPr="006543B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01FC" w14:textId="77777777" w:rsidR="007D0A34" w:rsidRDefault="007D0A34">
      <w:r>
        <w:separator/>
      </w:r>
    </w:p>
  </w:endnote>
  <w:endnote w:type="continuationSeparator" w:id="0">
    <w:p w14:paraId="09B93962" w14:textId="77777777" w:rsidR="007D0A34" w:rsidRDefault="007D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E505" w14:textId="370C9B2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3A62">
      <w:rPr>
        <w:noProof/>
      </w:rPr>
      <w:t>14.11.23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48DA" w14:textId="1D9261B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4856">
      <w:rPr>
        <w:lang w:val="en-US"/>
      </w:rPr>
      <w:t>P:\FRA\ITU-R\CONF-R\CMR23\100\188F.docx</w:t>
    </w:r>
    <w:r>
      <w:fldChar w:fldCharType="end"/>
    </w:r>
    <w:r w:rsidR="007B4869" w:rsidRPr="009A3A62">
      <w:rPr>
        <w:lang w:val="en-GB"/>
      </w:rPr>
      <w:t xml:space="preserve"> (530523)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93FA" w14:textId="7BB98A78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97A4A">
      <w:rPr>
        <w:lang w:val="en-US"/>
      </w:rPr>
      <w:t>P:\FRA\ITU-R\CONF-R\CMR23\100\188F.docx</w:t>
    </w:r>
    <w:r>
      <w:fldChar w:fldCharType="end"/>
    </w:r>
    <w:r w:rsidR="007C212F" w:rsidRPr="009A3A62">
      <w:rPr>
        <w:lang w:val="en-GB"/>
      </w:rPr>
      <w:t xml:space="preserve"> (530523)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021" w14:textId="77777777" w:rsidR="007D0A34" w:rsidRDefault="007D0A34">
      <w:r>
        <w:rPr>
          <w:b/>
        </w:rPr>
        <w:t>_______________</w:t>
      </w:r>
    </w:p>
  </w:footnote>
  <w:footnote w:type="continuationSeparator" w:id="0">
    <w:p w14:paraId="473EEBBF" w14:textId="77777777" w:rsidR="007D0A34" w:rsidRDefault="007D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17C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217AB0B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188-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19267114">
    <w:abstractNumId w:val="0"/>
  </w:num>
  <w:num w:numId="2" w16cid:durableId="136671050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9B5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556F"/>
    <w:rsid w:val="00101295"/>
    <w:rsid w:val="001167B9"/>
    <w:rsid w:val="00122BFA"/>
    <w:rsid w:val="001267A0"/>
    <w:rsid w:val="0012715B"/>
    <w:rsid w:val="0015203F"/>
    <w:rsid w:val="00160C64"/>
    <w:rsid w:val="0018169B"/>
    <w:rsid w:val="0019352B"/>
    <w:rsid w:val="001960D0"/>
    <w:rsid w:val="00197A4A"/>
    <w:rsid w:val="001A11F6"/>
    <w:rsid w:val="001D4B19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4129D"/>
    <w:rsid w:val="003606A6"/>
    <w:rsid w:val="0036215B"/>
    <w:rsid w:val="0036650C"/>
    <w:rsid w:val="00393ACD"/>
    <w:rsid w:val="003A583E"/>
    <w:rsid w:val="003E112B"/>
    <w:rsid w:val="003E1D1C"/>
    <w:rsid w:val="003E7B05"/>
    <w:rsid w:val="003F3719"/>
    <w:rsid w:val="003F38EC"/>
    <w:rsid w:val="003F6F2D"/>
    <w:rsid w:val="004058C2"/>
    <w:rsid w:val="00466211"/>
    <w:rsid w:val="00483196"/>
    <w:rsid w:val="004834A9"/>
    <w:rsid w:val="004A068C"/>
    <w:rsid w:val="004D01FC"/>
    <w:rsid w:val="004D6E04"/>
    <w:rsid w:val="004E28C3"/>
    <w:rsid w:val="004F1F8E"/>
    <w:rsid w:val="00500C71"/>
    <w:rsid w:val="0051097A"/>
    <w:rsid w:val="00512A32"/>
    <w:rsid w:val="005343DA"/>
    <w:rsid w:val="00560874"/>
    <w:rsid w:val="00586CF2"/>
    <w:rsid w:val="005A7C75"/>
    <w:rsid w:val="005C0D72"/>
    <w:rsid w:val="005C3768"/>
    <w:rsid w:val="005C6C3F"/>
    <w:rsid w:val="00613635"/>
    <w:rsid w:val="0062093D"/>
    <w:rsid w:val="00637ECF"/>
    <w:rsid w:val="00647B59"/>
    <w:rsid w:val="006543BA"/>
    <w:rsid w:val="00690C7B"/>
    <w:rsid w:val="006A4B45"/>
    <w:rsid w:val="006C79A0"/>
    <w:rsid w:val="006D2C63"/>
    <w:rsid w:val="006D4724"/>
    <w:rsid w:val="006F5FA2"/>
    <w:rsid w:val="0070076C"/>
    <w:rsid w:val="00701BAE"/>
    <w:rsid w:val="00721F04"/>
    <w:rsid w:val="00730E95"/>
    <w:rsid w:val="007426B9"/>
    <w:rsid w:val="0075696F"/>
    <w:rsid w:val="00764342"/>
    <w:rsid w:val="00774362"/>
    <w:rsid w:val="00776716"/>
    <w:rsid w:val="00786598"/>
    <w:rsid w:val="00790C74"/>
    <w:rsid w:val="007A04E8"/>
    <w:rsid w:val="007B2C34"/>
    <w:rsid w:val="007B4869"/>
    <w:rsid w:val="007C212F"/>
    <w:rsid w:val="007C5077"/>
    <w:rsid w:val="007D0A34"/>
    <w:rsid w:val="007F282B"/>
    <w:rsid w:val="00830086"/>
    <w:rsid w:val="00851625"/>
    <w:rsid w:val="00863C0A"/>
    <w:rsid w:val="008759EF"/>
    <w:rsid w:val="00880D1C"/>
    <w:rsid w:val="008A3120"/>
    <w:rsid w:val="008A4B97"/>
    <w:rsid w:val="008C5B8E"/>
    <w:rsid w:val="008C5DD5"/>
    <w:rsid w:val="008C7123"/>
    <w:rsid w:val="008D41BE"/>
    <w:rsid w:val="008D58D3"/>
    <w:rsid w:val="008E0BB5"/>
    <w:rsid w:val="008E3BC9"/>
    <w:rsid w:val="00923064"/>
    <w:rsid w:val="00930FFD"/>
    <w:rsid w:val="00936D25"/>
    <w:rsid w:val="00941EA5"/>
    <w:rsid w:val="00964700"/>
    <w:rsid w:val="00964856"/>
    <w:rsid w:val="00966C16"/>
    <w:rsid w:val="00973627"/>
    <w:rsid w:val="0098732F"/>
    <w:rsid w:val="00996D1D"/>
    <w:rsid w:val="009A045F"/>
    <w:rsid w:val="009A3A62"/>
    <w:rsid w:val="009A6A2B"/>
    <w:rsid w:val="009C7E7C"/>
    <w:rsid w:val="00A00473"/>
    <w:rsid w:val="00A03C9B"/>
    <w:rsid w:val="00A24A0D"/>
    <w:rsid w:val="00A37105"/>
    <w:rsid w:val="00A606C3"/>
    <w:rsid w:val="00A83B09"/>
    <w:rsid w:val="00A84541"/>
    <w:rsid w:val="00A92D0F"/>
    <w:rsid w:val="00AD2C74"/>
    <w:rsid w:val="00AE36A0"/>
    <w:rsid w:val="00B00294"/>
    <w:rsid w:val="00B3749C"/>
    <w:rsid w:val="00B64FD0"/>
    <w:rsid w:val="00BA5BD0"/>
    <w:rsid w:val="00BB1D82"/>
    <w:rsid w:val="00BC217E"/>
    <w:rsid w:val="00BD51C5"/>
    <w:rsid w:val="00BD6160"/>
    <w:rsid w:val="00BE167D"/>
    <w:rsid w:val="00BF26E7"/>
    <w:rsid w:val="00C1305F"/>
    <w:rsid w:val="00C33C70"/>
    <w:rsid w:val="00C53FCA"/>
    <w:rsid w:val="00C71DEB"/>
    <w:rsid w:val="00C76BAF"/>
    <w:rsid w:val="00C814B9"/>
    <w:rsid w:val="00CB685A"/>
    <w:rsid w:val="00CD516F"/>
    <w:rsid w:val="00CF5073"/>
    <w:rsid w:val="00CF70DA"/>
    <w:rsid w:val="00D0249B"/>
    <w:rsid w:val="00D10389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7EDD"/>
    <w:rsid w:val="00DC3117"/>
    <w:rsid w:val="00DC402B"/>
    <w:rsid w:val="00DE0932"/>
    <w:rsid w:val="00DF15E8"/>
    <w:rsid w:val="00DF42F7"/>
    <w:rsid w:val="00E03A27"/>
    <w:rsid w:val="00E03DE5"/>
    <w:rsid w:val="00E049F1"/>
    <w:rsid w:val="00E37A25"/>
    <w:rsid w:val="00E440CB"/>
    <w:rsid w:val="00E537FF"/>
    <w:rsid w:val="00E60CB2"/>
    <w:rsid w:val="00E6539B"/>
    <w:rsid w:val="00E70A31"/>
    <w:rsid w:val="00E723A7"/>
    <w:rsid w:val="00E81491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459F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4A068C"/>
  </w:style>
  <w:style w:type="paragraph" w:styleId="Revision">
    <w:name w:val="Revision"/>
    <w:hidden/>
    <w:uiPriority w:val="99"/>
    <w:semiHidden/>
    <w:rsid w:val="007C5077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BD6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616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6160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6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6160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R23-WRC23-C-0188!!MSW-F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D51BA8ED-3F26-4BCC-BDD6-256D87355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B0F7E-B7B4-4D63-B491-BAB3184C14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5BE4D9-A167-4014-939F-532B2362306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1128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R23-WRC23-C-0188!!MSW-F</vt:lpstr>
    </vt:vector>
  </TitlesOfParts>
  <Manager>Secrétariat général - Pool</Manager>
  <Company>Union internationale des télécommunications (UIT)</Company>
  <LinksUpToDate>false</LinksUpToDate>
  <CharactersWithSpaces>7396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R23-WRC23-C-0188!!MSW-F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8</cp:revision>
  <cp:lastPrinted>2003-06-05T19:34:00Z</cp:lastPrinted>
  <dcterms:created xsi:type="dcterms:W3CDTF">2023-11-14T14:55:00Z</dcterms:created>
  <dcterms:modified xsi:type="dcterms:W3CDTF">2023-11-19T00:10:00Z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