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4F7ABF" w14:paraId="13D2B361" w14:textId="77777777" w:rsidTr="00F320AA">
        <w:trPr>
          <w:cantSplit/>
        </w:trPr>
        <w:tc>
          <w:tcPr>
            <w:tcW w:w="1418" w:type="dxa"/>
            <w:vAlign w:val="center"/>
          </w:tcPr>
          <w:p w14:paraId="0B31972E" w14:textId="77777777" w:rsidR="00F320AA" w:rsidRPr="004F7ABF" w:rsidRDefault="00F320AA" w:rsidP="00F320AA">
            <w:pPr>
              <w:spacing w:before="0"/>
              <w:rPr>
                <w:rFonts w:ascii="Verdana" w:hAnsi="Verdana"/>
                <w:position w:val="6"/>
              </w:rPr>
            </w:pPr>
            <w:r w:rsidRPr="004F7ABF">
              <w:drawing>
                <wp:inline distT="0" distB="0" distL="0" distR="0" wp14:anchorId="4D46266F" wp14:editId="173D4D03">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88174B0" w14:textId="77777777" w:rsidR="00F320AA" w:rsidRPr="004F7ABF" w:rsidRDefault="00F320AA" w:rsidP="00F320AA">
            <w:pPr>
              <w:spacing w:before="400" w:after="48" w:line="240" w:lineRule="atLeast"/>
              <w:rPr>
                <w:rFonts w:ascii="Verdana" w:hAnsi="Verdana"/>
                <w:position w:val="6"/>
              </w:rPr>
            </w:pPr>
            <w:r w:rsidRPr="004F7ABF">
              <w:rPr>
                <w:rFonts w:ascii="Verdana" w:hAnsi="Verdana" w:cs="Times"/>
                <w:b/>
                <w:position w:val="6"/>
                <w:sz w:val="22"/>
                <w:szCs w:val="22"/>
              </w:rPr>
              <w:t>World Radiocommunication Conference (WRC-23)</w:t>
            </w:r>
            <w:r w:rsidRPr="004F7ABF">
              <w:rPr>
                <w:rFonts w:ascii="Verdana" w:hAnsi="Verdana" w:cs="Times"/>
                <w:b/>
                <w:position w:val="6"/>
                <w:sz w:val="26"/>
                <w:szCs w:val="26"/>
              </w:rPr>
              <w:br/>
            </w:r>
            <w:r w:rsidRPr="004F7ABF">
              <w:rPr>
                <w:rFonts w:ascii="Verdana" w:hAnsi="Verdana"/>
                <w:b/>
                <w:bCs/>
                <w:position w:val="6"/>
                <w:sz w:val="18"/>
                <w:szCs w:val="18"/>
              </w:rPr>
              <w:t>Dubai, 20 November - 15 December 2023</w:t>
            </w:r>
          </w:p>
        </w:tc>
        <w:tc>
          <w:tcPr>
            <w:tcW w:w="1951" w:type="dxa"/>
            <w:vAlign w:val="center"/>
          </w:tcPr>
          <w:p w14:paraId="69664785" w14:textId="77777777" w:rsidR="00F320AA" w:rsidRPr="004F7ABF" w:rsidRDefault="00EB0812" w:rsidP="00F320AA">
            <w:pPr>
              <w:spacing w:before="0" w:line="240" w:lineRule="atLeast"/>
            </w:pPr>
            <w:r w:rsidRPr="004F7ABF">
              <w:drawing>
                <wp:inline distT="0" distB="0" distL="0" distR="0" wp14:anchorId="25C03A04" wp14:editId="5A7E81B2">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4F7ABF" w14:paraId="70681291" w14:textId="77777777">
        <w:trPr>
          <w:cantSplit/>
        </w:trPr>
        <w:tc>
          <w:tcPr>
            <w:tcW w:w="6911" w:type="dxa"/>
            <w:gridSpan w:val="2"/>
            <w:tcBorders>
              <w:bottom w:val="single" w:sz="12" w:space="0" w:color="auto"/>
            </w:tcBorders>
          </w:tcPr>
          <w:p w14:paraId="15383F99" w14:textId="77777777" w:rsidR="00A066F1" w:rsidRPr="004F7ABF"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29EC7C44" w14:textId="77777777" w:rsidR="00A066F1" w:rsidRPr="004F7ABF" w:rsidRDefault="00A066F1" w:rsidP="00A066F1">
            <w:pPr>
              <w:spacing w:before="0" w:line="240" w:lineRule="atLeast"/>
              <w:rPr>
                <w:rFonts w:ascii="Verdana" w:hAnsi="Verdana"/>
                <w:szCs w:val="24"/>
              </w:rPr>
            </w:pPr>
          </w:p>
        </w:tc>
      </w:tr>
      <w:tr w:rsidR="00A066F1" w:rsidRPr="004F7ABF" w14:paraId="43998970" w14:textId="77777777">
        <w:trPr>
          <w:cantSplit/>
        </w:trPr>
        <w:tc>
          <w:tcPr>
            <w:tcW w:w="6911" w:type="dxa"/>
            <w:gridSpan w:val="2"/>
            <w:tcBorders>
              <w:top w:val="single" w:sz="12" w:space="0" w:color="auto"/>
            </w:tcBorders>
          </w:tcPr>
          <w:p w14:paraId="639D4B05" w14:textId="77777777" w:rsidR="00A066F1" w:rsidRPr="004F7ABF"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453F2E2" w14:textId="77777777" w:rsidR="00A066F1" w:rsidRPr="004F7ABF" w:rsidRDefault="00A066F1" w:rsidP="00A066F1">
            <w:pPr>
              <w:spacing w:before="0" w:line="240" w:lineRule="atLeast"/>
              <w:rPr>
                <w:rFonts w:ascii="Verdana" w:hAnsi="Verdana"/>
                <w:sz w:val="20"/>
              </w:rPr>
            </w:pPr>
          </w:p>
        </w:tc>
      </w:tr>
      <w:tr w:rsidR="00A066F1" w:rsidRPr="004F7ABF" w14:paraId="3DDA3B27" w14:textId="77777777">
        <w:trPr>
          <w:cantSplit/>
          <w:trHeight w:val="23"/>
        </w:trPr>
        <w:tc>
          <w:tcPr>
            <w:tcW w:w="6911" w:type="dxa"/>
            <w:gridSpan w:val="2"/>
            <w:shd w:val="clear" w:color="auto" w:fill="auto"/>
          </w:tcPr>
          <w:p w14:paraId="743A7682" w14:textId="77777777" w:rsidR="00A066F1" w:rsidRPr="004F7ABF"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4F7ABF">
              <w:rPr>
                <w:rFonts w:ascii="Verdana" w:hAnsi="Verdana"/>
                <w:sz w:val="20"/>
                <w:szCs w:val="20"/>
              </w:rPr>
              <w:t>PLENARY MEETING</w:t>
            </w:r>
          </w:p>
        </w:tc>
        <w:tc>
          <w:tcPr>
            <w:tcW w:w="3120" w:type="dxa"/>
            <w:gridSpan w:val="2"/>
          </w:tcPr>
          <w:p w14:paraId="01E15DDB" w14:textId="77777777" w:rsidR="00A066F1" w:rsidRPr="004F7ABF" w:rsidRDefault="00E55816" w:rsidP="00AA666F">
            <w:pPr>
              <w:tabs>
                <w:tab w:val="left" w:pos="851"/>
              </w:tabs>
              <w:spacing w:before="0" w:line="240" w:lineRule="atLeast"/>
              <w:rPr>
                <w:rFonts w:ascii="Verdana" w:hAnsi="Verdana"/>
                <w:sz w:val="20"/>
              </w:rPr>
            </w:pPr>
            <w:r w:rsidRPr="004F7ABF">
              <w:rPr>
                <w:rFonts w:ascii="Verdana" w:hAnsi="Verdana"/>
                <w:b/>
                <w:sz w:val="20"/>
              </w:rPr>
              <w:t>Document 188</w:t>
            </w:r>
            <w:r w:rsidR="00A066F1" w:rsidRPr="004F7ABF">
              <w:rPr>
                <w:rFonts w:ascii="Verdana" w:hAnsi="Verdana"/>
                <w:b/>
                <w:sz w:val="20"/>
              </w:rPr>
              <w:t>-</w:t>
            </w:r>
            <w:r w:rsidR="005E10C9" w:rsidRPr="004F7ABF">
              <w:rPr>
                <w:rFonts w:ascii="Verdana" w:hAnsi="Verdana"/>
                <w:b/>
                <w:sz w:val="20"/>
              </w:rPr>
              <w:t>E</w:t>
            </w:r>
          </w:p>
        </w:tc>
      </w:tr>
      <w:tr w:rsidR="00A066F1" w:rsidRPr="004F7ABF" w14:paraId="1A264EFA" w14:textId="77777777">
        <w:trPr>
          <w:cantSplit/>
          <w:trHeight w:val="23"/>
        </w:trPr>
        <w:tc>
          <w:tcPr>
            <w:tcW w:w="6911" w:type="dxa"/>
            <w:gridSpan w:val="2"/>
            <w:shd w:val="clear" w:color="auto" w:fill="auto"/>
          </w:tcPr>
          <w:p w14:paraId="781C2188" w14:textId="77777777" w:rsidR="00A066F1" w:rsidRPr="004F7ABF"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6A3F517E" w14:textId="77777777" w:rsidR="00A066F1" w:rsidRPr="004F7ABF" w:rsidRDefault="00420873" w:rsidP="00A066F1">
            <w:pPr>
              <w:tabs>
                <w:tab w:val="left" w:pos="993"/>
              </w:tabs>
              <w:spacing w:before="0"/>
              <w:rPr>
                <w:rFonts w:ascii="Verdana" w:hAnsi="Verdana"/>
                <w:sz w:val="20"/>
              </w:rPr>
            </w:pPr>
            <w:r w:rsidRPr="004F7ABF">
              <w:rPr>
                <w:rFonts w:ascii="Verdana" w:hAnsi="Verdana"/>
                <w:b/>
                <w:sz w:val="20"/>
              </w:rPr>
              <w:t>25 October 2023</w:t>
            </w:r>
          </w:p>
        </w:tc>
      </w:tr>
      <w:tr w:rsidR="00A066F1" w:rsidRPr="004F7ABF" w14:paraId="16AE167C" w14:textId="77777777">
        <w:trPr>
          <w:cantSplit/>
          <w:trHeight w:val="23"/>
        </w:trPr>
        <w:tc>
          <w:tcPr>
            <w:tcW w:w="6911" w:type="dxa"/>
            <w:gridSpan w:val="2"/>
            <w:shd w:val="clear" w:color="auto" w:fill="auto"/>
          </w:tcPr>
          <w:p w14:paraId="4AB09E7E" w14:textId="77777777" w:rsidR="00A066F1" w:rsidRPr="004F7ABF"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74BD2129" w14:textId="77777777" w:rsidR="00A066F1" w:rsidRPr="004F7ABF" w:rsidRDefault="00E55816" w:rsidP="00A066F1">
            <w:pPr>
              <w:tabs>
                <w:tab w:val="left" w:pos="993"/>
              </w:tabs>
              <w:spacing w:before="0"/>
              <w:rPr>
                <w:rFonts w:ascii="Verdana" w:hAnsi="Verdana"/>
                <w:b/>
                <w:sz w:val="20"/>
              </w:rPr>
            </w:pPr>
            <w:r w:rsidRPr="004F7ABF">
              <w:rPr>
                <w:rFonts w:ascii="Verdana" w:hAnsi="Verdana"/>
                <w:b/>
                <w:sz w:val="20"/>
              </w:rPr>
              <w:t>Original: English</w:t>
            </w:r>
          </w:p>
        </w:tc>
      </w:tr>
      <w:tr w:rsidR="00A066F1" w:rsidRPr="004F7ABF" w14:paraId="5CBEAA73" w14:textId="77777777" w:rsidTr="00025864">
        <w:trPr>
          <w:cantSplit/>
          <w:trHeight w:val="23"/>
        </w:trPr>
        <w:tc>
          <w:tcPr>
            <w:tcW w:w="10031" w:type="dxa"/>
            <w:gridSpan w:val="4"/>
            <w:shd w:val="clear" w:color="auto" w:fill="auto"/>
          </w:tcPr>
          <w:p w14:paraId="2FA15ECD" w14:textId="77777777" w:rsidR="00A066F1" w:rsidRPr="004F7ABF" w:rsidRDefault="00A066F1" w:rsidP="00A066F1">
            <w:pPr>
              <w:tabs>
                <w:tab w:val="left" w:pos="993"/>
              </w:tabs>
              <w:spacing w:before="0"/>
              <w:rPr>
                <w:rFonts w:ascii="Verdana" w:hAnsi="Verdana"/>
                <w:b/>
                <w:sz w:val="20"/>
              </w:rPr>
            </w:pPr>
          </w:p>
        </w:tc>
      </w:tr>
      <w:tr w:rsidR="00E55816" w:rsidRPr="004F7ABF" w14:paraId="5873CDEA" w14:textId="77777777" w:rsidTr="00025864">
        <w:trPr>
          <w:cantSplit/>
          <w:trHeight w:val="23"/>
        </w:trPr>
        <w:tc>
          <w:tcPr>
            <w:tcW w:w="10031" w:type="dxa"/>
            <w:gridSpan w:val="4"/>
            <w:shd w:val="clear" w:color="auto" w:fill="auto"/>
          </w:tcPr>
          <w:p w14:paraId="199DDEAA" w14:textId="77777777" w:rsidR="00E55816" w:rsidRPr="004F7ABF" w:rsidRDefault="00884D60" w:rsidP="00E55816">
            <w:pPr>
              <w:pStyle w:val="Source"/>
            </w:pPr>
            <w:r w:rsidRPr="004F7ABF">
              <w:t>Iran (Islamic Republic of)</w:t>
            </w:r>
          </w:p>
        </w:tc>
      </w:tr>
      <w:tr w:rsidR="00E55816" w:rsidRPr="004F7ABF" w14:paraId="7BF554BE" w14:textId="77777777" w:rsidTr="00025864">
        <w:trPr>
          <w:cantSplit/>
          <w:trHeight w:val="23"/>
        </w:trPr>
        <w:tc>
          <w:tcPr>
            <w:tcW w:w="10031" w:type="dxa"/>
            <w:gridSpan w:val="4"/>
            <w:shd w:val="clear" w:color="auto" w:fill="auto"/>
          </w:tcPr>
          <w:p w14:paraId="6DAF5FA6" w14:textId="4AFBC0CC" w:rsidR="00E55816" w:rsidRPr="004F7ABF" w:rsidRDefault="007D5320" w:rsidP="00E55816">
            <w:pPr>
              <w:pStyle w:val="Title1"/>
            </w:pPr>
            <w:r w:rsidRPr="004F7ABF">
              <w:t>REQUIRED COURSE OF ACTIONS TO RESPOND TO THE ISSUES RAISED IN WRC</w:t>
            </w:r>
            <w:r w:rsidR="00C87EBB" w:rsidRPr="004F7ABF">
              <w:noBreakHyphen/>
            </w:r>
            <w:r w:rsidRPr="004F7ABF">
              <w:t>23 DOCUMENTS</w:t>
            </w:r>
            <w:r w:rsidR="00C87EBB" w:rsidRPr="004F7ABF">
              <w:t> </w:t>
            </w:r>
            <w:r w:rsidRPr="004F7ABF">
              <w:t>4 AND</w:t>
            </w:r>
            <w:r w:rsidR="00C87EBB" w:rsidRPr="004F7ABF">
              <w:t> </w:t>
            </w:r>
            <w:r w:rsidRPr="004F7ABF">
              <w:t>50</w:t>
            </w:r>
          </w:p>
        </w:tc>
      </w:tr>
      <w:tr w:rsidR="00E55816" w:rsidRPr="004F7ABF" w14:paraId="3FCAEB4D" w14:textId="77777777" w:rsidTr="00025864">
        <w:trPr>
          <w:cantSplit/>
          <w:trHeight w:val="23"/>
        </w:trPr>
        <w:tc>
          <w:tcPr>
            <w:tcW w:w="10031" w:type="dxa"/>
            <w:gridSpan w:val="4"/>
            <w:shd w:val="clear" w:color="auto" w:fill="auto"/>
          </w:tcPr>
          <w:p w14:paraId="0DC0FD87" w14:textId="77777777" w:rsidR="00E55816" w:rsidRPr="004F7ABF" w:rsidRDefault="00E55816" w:rsidP="00E55816">
            <w:pPr>
              <w:pStyle w:val="Title2"/>
            </w:pPr>
          </w:p>
        </w:tc>
      </w:tr>
      <w:tr w:rsidR="00A538A6" w:rsidRPr="004F7ABF" w14:paraId="4B0D286F" w14:textId="77777777" w:rsidTr="00025864">
        <w:trPr>
          <w:cantSplit/>
          <w:trHeight w:val="23"/>
        </w:trPr>
        <w:tc>
          <w:tcPr>
            <w:tcW w:w="10031" w:type="dxa"/>
            <w:gridSpan w:val="4"/>
            <w:shd w:val="clear" w:color="auto" w:fill="auto"/>
          </w:tcPr>
          <w:p w14:paraId="66B1B8D8" w14:textId="77777777" w:rsidR="00A538A6" w:rsidRPr="004F7ABF" w:rsidRDefault="00A538A6" w:rsidP="004B13CB">
            <w:pPr>
              <w:pStyle w:val="Agendaitem"/>
              <w:rPr>
                <w:lang w:val="en-GB"/>
              </w:rPr>
            </w:pPr>
          </w:p>
        </w:tc>
      </w:tr>
    </w:tbl>
    <w:bookmarkEnd w:id="5"/>
    <w:bookmarkEnd w:id="6"/>
    <w:p w14:paraId="3A9366EA" w14:textId="77777777" w:rsidR="00687567" w:rsidRPr="004F7ABF" w:rsidRDefault="00687567" w:rsidP="000F50EA">
      <w:pPr>
        <w:pStyle w:val="Heading1"/>
        <w:rPr>
          <w:lang w:eastAsia="ko-KR"/>
        </w:rPr>
      </w:pPr>
      <w:r w:rsidRPr="004F7ABF">
        <w:rPr>
          <w:lang w:eastAsia="ko-KR"/>
        </w:rPr>
        <w:t>Introduction</w:t>
      </w:r>
    </w:p>
    <w:p w14:paraId="43DFE4B1" w14:textId="0E4F292B" w:rsidR="00687567" w:rsidRPr="004F7ABF" w:rsidRDefault="00687567" w:rsidP="000F50EA">
      <w:r w:rsidRPr="004F7ABF">
        <w:t>This Administration acknowledges and appreciates the Director</w:t>
      </w:r>
      <w:r w:rsidR="000D2300" w:rsidRPr="004F7ABF">
        <w:t>’s</w:t>
      </w:r>
      <w:r w:rsidRPr="004F7ABF">
        <w:t xml:space="preserve"> Report submitted under agenda item 9.2 as contained in </w:t>
      </w:r>
      <w:r w:rsidR="00D927BB" w:rsidRPr="004F7ABF">
        <w:t>D</w:t>
      </w:r>
      <w:r w:rsidRPr="004F7ABF">
        <w:t xml:space="preserve">ocument 4 and RRB Report </w:t>
      </w:r>
      <w:r w:rsidR="00D927BB" w:rsidRPr="004F7ABF">
        <w:t>D</w:t>
      </w:r>
      <w:r w:rsidRPr="004F7ABF">
        <w:t xml:space="preserve">ocument 50 </w:t>
      </w:r>
      <w:bookmarkStart w:id="7" w:name="_Hlk147093830"/>
      <w:r w:rsidRPr="004F7ABF">
        <w:t xml:space="preserve">relating to Resolution </w:t>
      </w:r>
      <w:r w:rsidRPr="004F7ABF">
        <w:rPr>
          <w:b/>
          <w:bCs/>
        </w:rPr>
        <w:t>80</w:t>
      </w:r>
      <w:r w:rsidRPr="004F7ABF">
        <w:t xml:space="preserve"> </w:t>
      </w:r>
      <w:r w:rsidRPr="004F7ABF">
        <w:rPr>
          <w:b/>
          <w:bCs/>
        </w:rPr>
        <w:t>(R</w:t>
      </w:r>
      <w:r w:rsidR="00E20F86" w:rsidRPr="004F7ABF">
        <w:rPr>
          <w:b/>
          <w:bCs/>
        </w:rPr>
        <w:t>ev</w:t>
      </w:r>
      <w:r w:rsidRPr="004F7ABF">
        <w:rPr>
          <w:b/>
          <w:bCs/>
        </w:rPr>
        <w:t>.</w:t>
      </w:r>
      <w:r w:rsidR="000F50EA" w:rsidRPr="004F7ABF">
        <w:rPr>
          <w:b/>
          <w:bCs/>
        </w:rPr>
        <w:t> </w:t>
      </w:r>
      <w:r w:rsidRPr="004F7ABF">
        <w:rPr>
          <w:b/>
          <w:bCs/>
        </w:rPr>
        <w:t>WRC</w:t>
      </w:r>
      <w:r w:rsidR="00423D90" w:rsidRPr="004F7ABF">
        <w:rPr>
          <w:b/>
          <w:bCs/>
        </w:rPr>
        <w:t>-</w:t>
      </w:r>
      <w:r w:rsidRPr="004F7ABF">
        <w:rPr>
          <w:b/>
          <w:bCs/>
        </w:rPr>
        <w:t xml:space="preserve">07) </w:t>
      </w:r>
      <w:r w:rsidRPr="004F7ABF">
        <w:t xml:space="preserve">submitted under </w:t>
      </w:r>
      <w:r w:rsidR="00423D90" w:rsidRPr="004F7ABF">
        <w:t>a</w:t>
      </w:r>
      <w:r w:rsidRPr="004F7ABF">
        <w:t>genda item 9.3</w:t>
      </w:r>
      <w:bookmarkEnd w:id="7"/>
      <w:r w:rsidRPr="004F7ABF">
        <w:t>.</w:t>
      </w:r>
    </w:p>
    <w:p w14:paraId="045C0822" w14:textId="77777777" w:rsidR="00687567" w:rsidRPr="004F7ABF" w:rsidRDefault="00687567" w:rsidP="00D927BB">
      <w:pPr>
        <w:pStyle w:val="Heading1"/>
      </w:pPr>
      <w:r w:rsidRPr="004F7ABF">
        <w:t>Discussion</w:t>
      </w:r>
    </w:p>
    <w:p w14:paraId="5788CD14" w14:textId="77777777" w:rsidR="00AD65FD" w:rsidRPr="004F7ABF" w:rsidRDefault="00AD65FD" w:rsidP="00AD65FD">
      <w:r w:rsidRPr="004F7ABF">
        <w:t xml:space="preserve">The above-mentioned documents, in particular Addendum 2, of the Director’s Report and the Report of the RRB relating to Resolution </w:t>
      </w:r>
      <w:r w:rsidRPr="004F7ABF">
        <w:rPr>
          <w:b/>
          <w:bCs/>
        </w:rPr>
        <w:t>80</w:t>
      </w:r>
      <w:r w:rsidRPr="004F7ABF">
        <w:t xml:space="preserve"> (</w:t>
      </w:r>
      <w:r w:rsidRPr="004F7ABF">
        <w:rPr>
          <w:b/>
          <w:bCs/>
        </w:rPr>
        <w:t>Rev. WRC-07</w:t>
      </w:r>
      <w:r w:rsidRPr="004F7ABF">
        <w:t xml:space="preserve">) submitted under agenda item 9.3 contain many issues some of which are dated back to WRC-03, WRC-07, WRC-12, WRC-15, and WRC-19, which were either not addressed at all or were not addressed adequately and clearly by previous WRCs, or many other issues recently identified which requires action by WRC-23. </w:t>
      </w:r>
    </w:p>
    <w:p w14:paraId="36305B3F" w14:textId="1862E1B1" w:rsidR="00AD65FD" w:rsidRPr="004F7ABF" w:rsidRDefault="00AD65FD" w:rsidP="00AD65FD">
      <w:r w:rsidRPr="004F7ABF">
        <w:t xml:space="preserve">It appears to this Administration that the course of actions taken at previous WRCs to review Document 4 and RRB Report under Resolution </w:t>
      </w:r>
      <w:r w:rsidRPr="004F7ABF">
        <w:rPr>
          <w:b/>
          <w:bCs/>
        </w:rPr>
        <w:t>80</w:t>
      </w:r>
      <w:r w:rsidRPr="004F7ABF">
        <w:t xml:space="preserve"> </w:t>
      </w:r>
      <w:r w:rsidRPr="004F7ABF">
        <w:rPr>
          <w:b/>
          <w:bCs/>
        </w:rPr>
        <w:t>(Rev.WRC-07</w:t>
      </w:r>
      <w:r w:rsidRPr="004F7ABF">
        <w:t>) were not sufficiently addressing these issues and new cases that are reported in the above documents need appropriate response by WRC-23 and WRC-27. Sometimes the assignments of various parts of previous as well as present documents among Committees 4, 5, and 6 was and still may be a complex issue to the extent that some parts may not be addressed by either Committees.</w:t>
      </w:r>
      <w:r w:rsidR="004F7ABF">
        <w:t xml:space="preserve"> </w:t>
      </w:r>
    </w:p>
    <w:p w14:paraId="782957B3" w14:textId="77777777" w:rsidR="00AD65FD" w:rsidRPr="004F7ABF" w:rsidRDefault="00AD65FD" w:rsidP="00AD65FD">
      <w:r w:rsidRPr="004F7ABF">
        <w:t>Moreover, these documents referred to the texts from Decisions of previous WRCs as contained in the minutes of plenaries of those WRCs or some of them emanated from Rules of Procedure (RoP) in force and /or the Bureau’s practice, which are quite extensive and sometimes difficult to answer.</w:t>
      </w:r>
    </w:p>
    <w:p w14:paraId="651669BB" w14:textId="77777777" w:rsidR="00AD65FD" w:rsidRPr="004F7ABF" w:rsidRDefault="00AD65FD" w:rsidP="00AD65FD">
      <w:r w:rsidRPr="004F7ABF">
        <w:t xml:space="preserve">In addition, the above-mentioned documents sometimes provide the understanding and views of the RRB and the Bureau regarding certain actions being taken to process forms of notice or issues submitted to RRB. However, there are no background ITU-R studies to justify those suggestions, understanding and views /opinions. </w:t>
      </w:r>
    </w:p>
    <w:p w14:paraId="698787EA" w14:textId="77777777" w:rsidR="00AD65FD" w:rsidRPr="004F7ABF" w:rsidRDefault="00AD65FD" w:rsidP="00AD65FD">
      <w:r w:rsidRPr="004F7ABF">
        <w:t>Very often, the Bureau in presenting its difficulties and for some of them made regulatory suggestion requires careful verification and in-depth analysis.</w:t>
      </w:r>
    </w:p>
    <w:p w14:paraId="0F75FA32" w14:textId="584E4490" w:rsidR="00AD65FD" w:rsidRPr="004F7ABF" w:rsidRDefault="00AD65FD" w:rsidP="00AD65FD">
      <w:r w:rsidRPr="004F7ABF">
        <w:t xml:space="preserve">In Addendum 2, reference is made, among other things, to </w:t>
      </w:r>
      <w:r w:rsidRPr="004F7ABF">
        <w:t xml:space="preserve">the </w:t>
      </w:r>
      <w:r w:rsidRPr="004F7ABF">
        <w:t>understanding of the Bureau on how to process submissions from Member States but it is not clear whether those understanding</w:t>
      </w:r>
      <w:r w:rsidRPr="004F7ABF">
        <w:t>s</w:t>
      </w:r>
      <w:r w:rsidRPr="004F7ABF">
        <w:t xml:space="preserve"> are emanated from formal available Bureau’s Practice or they were not yet appearing in an established and available practice document. Moreover, the Practices of the Bureau should have been published and updated regularly.</w:t>
      </w:r>
    </w:p>
    <w:p w14:paraId="0F251A81" w14:textId="77777777" w:rsidR="00AD65FD" w:rsidRPr="004F7ABF" w:rsidRDefault="00AD65FD" w:rsidP="00AD65FD">
      <w:r w:rsidRPr="004F7ABF">
        <w:t>In the view of this Administration it is not also clear where all these practices are to be found. The Bureau also implicitly referred to its past and current practices some of which are spread over various Circular Letters and some other practices which are not documented. These practices also include regulatory and technical elements for which careful considerations are required.</w:t>
      </w:r>
    </w:p>
    <w:p w14:paraId="35CEC6EA" w14:textId="6DFFF349" w:rsidR="00AD65FD" w:rsidRPr="004F7ABF" w:rsidRDefault="00AD65FD" w:rsidP="00AD65FD">
      <w:r w:rsidRPr="004F7ABF">
        <w:t xml:space="preserve">It is emphasized that regulatory text should be included either in the Rules of Procedure on temporary basis between the two WRCs and then transferred to the Radio Regulations (RR), as stipulated in RR Nos. </w:t>
      </w:r>
      <w:r w:rsidRPr="004F7ABF">
        <w:rPr>
          <w:b/>
          <w:bCs/>
        </w:rPr>
        <w:t>13.01</w:t>
      </w:r>
      <w:r w:rsidRPr="004F7ABF">
        <w:t xml:space="preserve"> and </w:t>
      </w:r>
      <w:r w:rsidRPr="004F7ABF">
        <w:rPr>
          <w:b/>
          <w:bCs/>
        </w:rPr>
        <w:t>13.02</w:t>
      </w:r>
      <w:r w:rsidRPr="004F7ABF">
        <w:t xml:space="preserve"> or in the Radio Regulations. </w:t>
      </w:r>
    </w:p>
    <w:p w14:paraId="58B1BC99" w14:textId="4EF66998" w:rsidR="00AD65FD" w:rsidRPr="004F7ABF" w:rsidRDefault="00AD65FD" w:rsidP="00AD65FD">
      <w:pPr>
        <w:rPr>
          <w:rFonts w:cstheme="minorHAnsi"/>
          <w:sz w:val="32"/>
          <w:szCs w:val="32"/>
        </w:rPr>
      </w:pPr>
      <w:r w:rsidRPr="004F7ABF">
        <w:t xml:space="preserve">In regard with the Report of the RRB under Resolution </w:t>
      </w:r>
      <w:r w:rsidRPr="004F7ABF">
        <w:rPr>
          <w:b/>
          <w:bCs/>
        </w:rPr>
        <w:t>80</w:t>
      </w:r>
      <w:r w:rsidRPr="004F7ABF">
        <w:rPr>
          <w:rtl/>
        </w:rPr>
        <w:t xml:space="preserve"> </w:t>
      </w:r>
      <w:r w:rsidRPr="004F7ABF">
        <w:t>(</w:t>
      </w:r>
      <w:r w:rsidRPr="004F7ABF">
        <w:rPr>
          <w:b/>
          <w:bCs/>
        </w:rPr>
        <w:t>Rev.WRC-07</w:t>
      </w:r>
      <w:r w:rsidRPr="004F7ABF">
        <w:t>), almost similar course of actions i.e., priorit</w:t>
      </w:r>
      <w:r w:rsidRPr="004F7ABF">
        <w:t>ization</w:t>
      </w:r>
      <w:r w:rsidRPr="004F7ABF">
        <w:t xml:space="preserve"> of items in that Report to a) those important items / topics the Conference decision on which are absolutely urgent issues to be addressed and there would be no need for any technical or regulatory studies and b) those items / topics that require further technical and / or regulatory studies by the ITU-R.</w:t>
      </w:r>
      <w:r w:rsidR="004F7ABF">
        <w:rPr>
          <w:rFonts w:cstheme="minorHAnsi"/>
          <w:sz w:val="32"/>
          <w:szCs w:val="32"/>
        </w:rPr>
        <w:t xml:space="preserve"> </w:t>
      </w:r>
    </w:p>
    <w:p w14:paraId="359D1F43" w14:textId="77777777" w:rsidR="00AD65FD" w:rsidRPr="004F7ABF" w:rsidRDefault="00AD65FD" w:rsidP="00AD65FD">
      <w:r w:rsidRPr="004F7ABF">
        <w:t>It is emphasized that at WRC-23 with so many agenda items some of which are very complex, the Conference would not have either sufficient time or the background technical and regulatory studies to take any such requested actions and guidance sought by the Bureau.</w:t>
      </w:r>
    </w:p>
    <w:p w14:paraId="0659CB95" w14:textId="77777777" w:rsidR="00687567" w:rsidRPr="004F7ABF" w:rsidRDefault="00687567" w:rsidP="00751EB6">
      <w:pPr>
        <w:pStyle w:val="Heading1"/>
      </w:pPr>
      <w:r w:rsidRPr="004F7ABF">
        <w:t>Proposals</w:t>
      </w:r>
    </w:p>
    <w:p w14:paraId="407EA2F7" w14:textId="77777777" w:rsidR="00AD65FD" w:rsidRPr="004F7ABF" w:rsidRDefault="00AD65FD" w:rsidP="00AD65FD">
      <w:pPr>
        <w:rPr>
          <w:szCs w:val="24"/>
        </w:rPr>
      </w:pPr>
      <w:r w:rsidRPr="004F7ABF">
        <w:rPr>
          <w:szCs w:val="24"/>
        </w:rPr>
        <w:t>As for the review of Doc. 4 this Administration proposed the following suggestions:</w:t>
      </w:r>
    </w:p>
    <w:p w14:paraId="553EAE94" w14:textId="77777777" w:rsidR="00AD65FD" w:rsidRPr="004F7ABF" w:rsidRDefault="00AD65FD" w:rsidP="00AD65FD">
      <w:pPr>
        <w:rPr>
          <w:szCs w:val="24"/>
        </w:rPr>
      </w:pPr>
      <w:r w:rsidRPr="004F7ABF">
        <w:rPr>
          <w:szCs w:val="24"/>
        </w:rPr>
        <w:t>1.</w:t>
      </w:r>
      <w:r w:rsidRPr="004F7ABF">
        <w:rPr>
          <w:szCs w:val="24"/>
        </w:rPr>
        <w:tab/>
        <w:t>The elements in Addendum 2 to be divide in separate categories and deal with those categories quite differently. All these need to be carefully discussed and deeply verified.</w:t>
      </w:r>
    </w:p>
    <w:p w14:paraId="60BC3D3A" w14:textId="3FAC0E38" w:rsidR="00AD65FD" w:rsidRPr="004F7ABF" w:rsidRDefault="00AD65FD" w:rsidP="00AD65FD">
      <w:pPr>
        <w:rPr>
          <w:szCs w:val="24"/>
        </w:rPr>
      </w:pPr>
      <w:r w:rsidRPr="004F7ABF">
        <w:rPr>
          <w:szCs w:val="24"/>
        </w:rPr>
        <w:t>The following categori</w:t>
      </w:r>
      <w:r w:rsidRPr="004F7ABF">
        <w:rPr>
          <w:szCs w:val="24"/>
        </w:rPr>
        <w:t>z</w:t>
      </w:r>
      <w:r w:rsidRPr="004F7ABF">
        <w:rPr>
          <w:szCs w:val="24"/>
        </w:rPr>
        <w:t>ations could be used as a preliminary subdivision:</w:t>
      </w:r>
    </w:p>
    <w:p w14:paraId="3085D5A1" w14:textId="77777777" w:rsidR="00AD65FD" w:rsidRPr="004F7ABF" w:rsidRDefault="00AD65FD" w:rsidP="00AD65FD">
      <w:pPr>
        <w:pStyle w:val="Headingb"/>
        <w:rPr>
          <w:lang w:val="en-GB"/>
        </w:rPr>
      </w:pPr>
      <w:r w:rsidRPr="004F7ABF">
        <w:rPr>
          <w:lang w:val="en-GB"/>
        </w:rPr>
        <w:t>Category 1</w:t>
      </w:r>
    </w:p>
    <w:p w14:paraId="1961491F" w14:textId="04C40987" w:rsidR="00AD65FD" w:rsidRPr="004F7ABF" w:rsidRDefault="00AD65FD" w:rsidP="00AD65FD">
      <w:pPr>
        <w:rPr>
          <w:szCs w:val="24"/>
        </w:rPr>
      </w:pPr>
      <w:r w:rsidRPr="004F7ABF">
        <w:rPr>
          <w:szCs w:val="24"/>
        </w:rPr>
        <w:t xml:space="preserve">Purely Regulatory provision to be included in the RR for which a draft text is proposed and may be </w:t>
      </w:r>
      <w:bookmarkStart w:id="8" w:name="_Hlk147157165"/>
      <w:r w:rsidRPr="004F7ABF">
        <w:rPr>
          <w:szCs w:val="24"/>
        </w:rPr>
        <w:t>agreed by the Conference, otherwise, it would be included in another document for studies by ITU</w:t>
      </w:r>
      <w:r w:rsidRPr="004F7ABF">
        <w:rPr>
          <w:szCs w:val="24"/>
        </w:rPr>
        <w:noBreakHyphen/>
        <w:t>R.</w:t>
      </w:r>
      <w:r w:rsidR="004F7ABF">
        <w:rPr>
          <w:szCs w:val="24"/>
        </w:rPr>
        <w:t xml:space="preserve"> </w:t>
      </w:r>
      <w:bookmarkEnd w:id="8"/>
    </w:p>
    <w:p w14:paraId="443EF69D" w14:textId="77777777" w:rsidR="00AD65FD" w:rsidRPr="004F7ABF" w:rsidRDefault="00AD65FD" w:rsidP="00AD65FD">
      <w:pPr>
        <w:pStyle w:val="Headingb"/>
        <w:rPr>
          <w:lang w:val="en-GB"/>
        </w:rPr>
      </w:pPr>
      <w:r w:rsidRPr="004F7ABF">
        <w:rPr>
          <w:lang w:val="en-GB"/>
        </w:rPr>
        <w:t>Category 2</w:t>
      </w:r>
    </w:p>
    <w:p w14:paraId="3E87C265" w14:textId="730A4F9F" w:rsidR="00AD65FD" w:rsidRPr="004F7ABF" w:rsidRDefault="00AD65FD" w:rsidP="00AD65FD">
      <w:pPr>
        <w:rPr>
          <w:szCs w:val="24"/>
        </w:rPr>
      </w:pPr>
      <w:r w:rsidRPr="004F7ABF">
        <w:rPr>
          <w:szCs w:val="24"/>
        </w:rPr>
        <w:t xml:space="preserve">Purely Regulatory provision of previous WRC text or Resolution currently contained in the RR but to be amended and for which draft amendment(s) are proposed: this category could be discussed and agreed. If not, it would be included in a specific document for studies by ITU-R. </w:t>
      </w:r>
    </w:p>
    <w:p w14:paraId="793982F7" w14:textId="77777777" w:rsidR="00AD65FD" w:rsidRPr="004F7ABF" w:rsidRDefault="00AD65FD" w:rsidP="00AD65FD">
      <w:pPr>
        <w:pStyle w:val="Headingb"/>
        <w:rPr>
          <w:lang w:val="en-GB"/>
        </w:rPr>
      </w:pPr>
      <w:r w:rsidRPr="004F7ABF">
        <w:rPr>
          <w:lang w:val="en-GB"/>
        </w:rPr>
        <w:t>Category 3</w:t>
      </w:r>
    </w:p>
    <w:p w14:paraId="2E623B9D" w14:textId="77777777" w:rsidR="00AD65FD" w:rsidRPr="004F7ABF" w:rsidRDefault="00AD65FD" w:rsidP="00AD65FD">
      <w:pPr>
        <w:rPr>
          <w:szCs w:val="24"/>
        </w:rPr>
      </w:pPr>
      <w:r w:rsidRPr="004F7ABF">
        <w:rPr>
          <w:szCs w:val="24"/>
        </w:rPr>
        <w:t>Purely Regulatory provision to be included in the RR for which no draft text is proposed.</w:t>
      </w:r>
    </w:p>
    <w:p w14:paraId="0995AF82" w14:textId="77777777" w:rsidR="00AD65FD" w:rsidRPr="004F7ABF" w:rsidRDefault="00AD65FD" w:rsidP="00AD65FD">
      <w:pPr>
        <w:pStyle w:val="Headingb"/>
        <w:rPr>
          <w:lang w:val="en-GB"/>
        </w:rPr>
      </w:pPr>
      <w:r w:rsidRPr="004F7ABF">
        <w:rPr>
          <w:lang w:val="en-GB"/>
        </w:rPr>
        <w:t>Category 4</w:t>
      </w:r>
    </w:p>
    <w:p w14:paraId="4E7ACDEA" w14:textId="77777777" w:rsidR="00AD65FD" w:rsidRPr="004F7ABF" w:rsidRDefault="00AD65FD" w:rsidP="00AD65FD">
      <w:pPr>
        <w:rPr>
          <w:szCs w:val="24"/>
        </w:rPr>
      </w:pPr>
      <w:r w:rsidRPr="004F7ABF">
        <w:rPr>
          <w:szCs w:val="24"/>
        </w:rPr>
        <w:t>Purely Regulatory provision of previous WRCs texts and Resolution to be amended and for which draft amendment(s) is/are not proposed for inclusion the RR or in some amended or new Resolutions.</w:t>
      </w:r>
    </w:p>
    <w:p w14:paraId="62E59A24" w14:textId="77777777" w:rsidR="002210E9" w:rsidRPr="004F7ABF" w:rsidRDefault="002210E9">
      <w:pPr>
        <w:tabs>
          <w:tab w:val="clear" w:pos="1134"/>
          <w:tab w:val="clear" w:pos="1871"/>
          <w:tab w:val="clear" w:pos="2268"/>
        </w:tabs>
        <w:overflowPunct/>
        <w:autoSpaceDE/>
        <w:autoSpaceDN/>
        <w:adjustRightInd/>
        <w:spacing w:before="0"/>
        <w:textAlignment w:val="auto"/>
        <w:rPr>
          <w:b/>
          <w:bCs/>
          <w:szCs w:val="24"/>
        </w:rPr>
      </w:pPr>
      <w:r w:rsidRPr="004F7ABF">
        <w:rPr>
          <w:b/>
          <w:bCs/>
          <w:szCs w:val="24"/>
        </w:rPr>
        <w:br w:type="page"/>
      </w:r>
    </w:p>
    <w:p w14:paraId="3E005E5E" w14:textId="72B69E58" w:rsidR="00687567" w:rsidRPr="004F7ABF" w:rsidRDefault="00687567" w:rsidP="00BE21E9">
      <w:pPr>
        <w:pStyle w:val="Headingb"/>
      </w:pPr>
      <w:r w:rsidRPr="004F7ABF">
        <w:lastRenderedPageBreak/>
        <w:t>Category 5</w:t>
      </w:r>
    </w:p>
    <w:p w14:paraId="093FDA89" w14:textId="77777777" w:rsidR="00AD65FD" w:rsidRPr="004F7ABF" w:rsidRDefault="00AD65FD" w:rsidP="00AD65FD">
      <w:pPr>
        <w:rPr>
          <w:szCs w:val="24"/>
        </w:rPr>
      </w:pPr>
      <w:r w:rsidRPr="004F7ABF">
        <w:rPr>
          <w:szCs w:val="24"/>
        </w:rPr>
        <w:t>Cases of difficulties for which there are no regulatory provision nor any corresponding RoP but there are Bureau’s Practice.</w:t>
      </w:r>
    </w:p>
    <w:p w14:paraId="71AF7ABB" w14:textId="77777777" w:rsidR="00AD65FD" w:rsidRPr="004F7ABF" w:rsidRDefault="00AD65FD" w:rsidP="00BE21E9">
      <w:pPr>
        <w:pStyle w:val="Headingb"/>
      </w:pPr>
      <w:r w:rsidRPr="004F7ABF">
        <w:t>Category 6</w:t>
      </w:r>
    </w:p>
    <w:p w14:paraId="74044447" w14:textId="2BC9CFE2" w:rsidR="00AD65FD" w:rsidRPr="004F7ABF" w:rsidRDefault="00AD65FD" w:rsidP="00AD65FD">
      <w:pPr>
        <w:rPr>
          <w:szCs w:val="24"/>
        </w:rPr>
      </w:pPr>
      <w:r w:rsidRPr="004F7ABF">
        <w:rPr>
          <w:szCs w:val="24"/>
        </w:rPr>
        <w:t>Cases of difficulties for which there are neither regulatory provision nor any corresponding RoP but is based on Bureau’s non</w:t>
      </w:r>
      <w:r w:rsidRPr="004F7ABF">
        <w:rPr>
          <w:szCs w:val="24"/>
        </w:rPr>
        <w:t>-</w:t>
      </w:r>
      <w:r w:rsidRPr="004F7ABF">
        <w:rPr>
          <w:szCs w:val="24"/>
        </w:rPr>
        <w:t>published practices and for which the Bureau sought the agreement of the Conference.</w:t>
      </w:r>
    </w:p>
    <w:p w14:paraId="62BC4ACE" w14:textId="77777777" w:rsidR="00AD65FD" w:rsidRPr="004F7ABF" w:rsidRDefault="00AD65FD" w:rsidP="00BE21E9">
      <w:pPr>
        <w:pStyle w:val="Headingb"/>
      </w:pPr>
      <w:r w:rsidRPr="004F7ABF">
        <w:t>Category 7</w:t>
      </w:r>
    </w:p>
    <w:p w14:paraId="6C8EBA24" w14:textId="77777777" w:rsidR="00AD65FD" w:rsidRPr="004F7ABF" w:rsidRDefault="00AD65FD" w:rsidP="00AD65FD">
      <w:pPr>
        <w:rPr>
          <w:szCs w:val="24"/>
        </w:rPr>
      </w:pPr>
      <w:r w:rsidRPr="004F7ABF">
        <w:rPr>
          <w:szCs w:val="24"/>
        </w:rPr>
        <w:t>Cases of difficulties for which there are neither regulatory provision nor any corresponding RoP but which are based on some sort of understanding by the Bureau for which WRC-23 confirmation was sought.</w:t>
      </w:r>
    </w:p>
    <w:p w14:paraId="3A87FA34" w14:textId="77777777" w:rsidR="00AD65FD" w:rsidRPr="004F7ABF" w:rsidRDefault="00AD65FD" w:rsidP="00BE21E9">
      <w:pPr>
        <w:pStyle w:val="Headingb"/>
      </w:pPr>
      <w:r w:rsidRPr="004F7ABF">
        <w:t xml:space="preserve">Category 8 </w:t>
      </w:r>
    </w:p>
    <w:p w14:paraId="0D9671F0" w14:textId="77777777" w:rsidR="00AD65FD" w:rsidRPr="004F7ABF" w:rsidRDefault="00AD65FD" w:rsidP="00AD65FD">
      <w:pPr>
        <w:rPr>
          <w:szCs w:val="24"/>
        </w:rPr>
      </w:pPr>
      <w:r w:rsidRPr="004F7ABF">
        <w:rPr>
          <w:szCs w:val="24"/>
        </w:rPr>
        <w:t>Cases of inconsistencies or misuse for which the Bureau has not raised any question or made any suggestions.</w:t>
      </w:r>
    </w:p>
    <w:p w14:paraId="5F9DBDE1" w14:textId="77777777" w:rsidR="00AD65FD" w:rsidRPr="004F7ABF" w:rsidRDefault="00AD65FD" w:rsidP="00AD65FD">
      <w:pPr>
        <w:rPr>
          <w:szCs w:val="24"/>
        </w:rPr>
      </w:pPr>
      <w:r w:rsidRPr="004F7ABF">
        <w:rPr>
          <w:szCs w:val="24"/>
        </w:rPr>
        <w:t>2.</w:t>
      </w:r>
      <w:r w:rsidRPr="004F7ABF">
        <w:rPr>
          <w:szCs w:val="24"/>
        </w:rPr>
        <w:tab/>
        <w:t>To this effect, the conference is invited to instruct the ITU-R to take necessary actions immediately after the end of WRC-23.</w:t>
      </w:r>
    </w:p>
    <w:p w14:paraId="77B5C74D" w14:textId="77777777" w:rsidR="00687567" w:rsidRPr="004F7ABF" w:rsidRDefault="00687567" w:rsidP="00687567">
      <w:pPr>
        <w:jc w:val="both"/>
        <w:rPr>
          <w:szCs w:val="24"/>
        </w:rPr>
      </w:pPr>
    </w:p>
    <w:p w14:paraId="13ABD122" w14:textId="77777777" w:rsidR="00687567" w:rsidRPr="00244AFF" w:rsidRDefault="00687567" w:rsidP="00687567">
      <w:pPr>
        <w:jc w:val="center"/>
        <w:rPr>
          <w:szCs w:val="24"/>
          <w:lang w:val="en-US"/>
        </w:rPr>
      </w:pPr>
      <w:r w:rsidRPr="004F7ABF">
        <w:rPr>
          <w:szCs w:val="24"/>
        </w:rPr>
        <w:t>_________________</w:t>
      </w:r>
    </w:p>
    <w:sectPr w:rsidR="00687567" w:rsidRPr="00244AFF"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ECF02" w14:textId="77777777" w:rsidR="00095A48" w:rsidRDefault="00095A48">
      <w:r>
        <w:separator/>
      </w:r>
    </w:p>
  </w:endnote>
  <w:endnote w:type="continuationSeparator" w:id="0">
    <w:p w14:paraId="3482D2DD" w14:textId="77777777" w:rsidR="00095A48" w:rsidRDefault="0009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E9A6" w14:textId="77777777" w:rsidR="00E45D05" w:rsidRDefault="00E45D05">
    <w:pPr>
      <w:framePr w:wrap="around" w:vAnchor="text" w:hAnchor="margin" w:xAlign="right" w:y="1"/>
    </w:pPr>
    <w:r>
      <w:fldChar w:fldCharType="begin"/>
    </w:r>
    <w:r>
      <w:instrText xml:space="preserve">PAGE  </w:instrText>
    </w:r>
    <w:r>
      <w:fldChar w:fldCharType="end"/>
    </w:r>
  </w:p>
  <w:p w14:paraId="7ECF6330" w14:textId="687CD16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AD65FD">
      <w:rPr>
        <w:noProof/>
      </w:rPr>
      <w:t>03.11.23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D2FA" w14:textId="5625837C" w:rsidR="00C87EBB" w:rsidRPr="00C87EBB" w:rsidRDefault="00C87EBB">
    <w:pPr>
      <w:pStyle w:val="Footer"/>
    </w:pPr>
    <w:r>
      <w:fldChar w:fldCharType="begin"/>
    </w:r>
    <w:r>
      <w:rPr>
        <w:lang w:val="en-US"/>
      </w:rPr>
      <w:instrText xml:space="preserve"> FILENAME \p \* MERGEFORMAT </w:instrText>
    </w:r>
    <w:r>
      <w:fldChar w:fldCharType="separate"/>
    </w:r>
    <w:r>
      <w:rPr>
        <w:lang w:val="en-US"/>
      </w:rPr>
      <w:t>P:\ENG\ITU-R\CONF-R\CMR23\100\188E.docx</w:t>
    </w:r>
    <w:r>
      <w:fldChar w:fldCharType="end"/>
    </w:r>
    <w:r>
      <w:t xml:space="preserve"> (530523)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9108" w14:textId="01F22D3D" w:rsidR="00C87EBB" w:rsidRDefault="00C87EBB">
    <w:pPr>
      <w:pStyle w:val="Footer"/>
    </w:pPr>
    <w:r>
      <w:fldChar w:fldCharType="begin"/>
    </w:r>
    <w:r>
      <w:rPr>
        <w:lang w:val="en-US"/>
      </w:rPr>
      <w:instrText xml:space="preserve"> FILENAME \p \* MERGEFORMAT </w:instrText>
    </w:r>
    <w:r>
      <w:fldChar w:fldCharType="separate"/>
    </w:r>
    <w:r>
      <w:rPr>
        <w:lang w:val="en-US"/>
      </w:rPr>
      <w:t>P:\ENG\ITU-R\CONF-R\CMR23\100\188E.docx</w:t>
    </w:r>
    <w:r>
      <w:fldChar w:fldCharType="end"/>
    </w:r>
    <w:r>
      <w:t xml:space="preserve"> (530523)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EFAB8" w14:textId="77777777" w:rsidR="00095A48" w:rsidRDefault="00095A48">
      <w:r>
        <w:rPr>
          <w:b/>
        </w:rPr>
        <w:t>_______________</w:t>
      </w:r>
    </w:p>
  </w:footnote>
  <w:footnote w:type="continuationSeparator" w:id="0">
    <w:p w14:paraId="61092462" w14:textId="77777777" w:rsidR="00095A48" w:rsidRDefault="00095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A5A0"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8D3DF1E" w14:textId="77777777" w:rsidR="00A066F1" w:rsidRPr="00A066F1" w:rsidRDefault="00BC75DE" w:rsidP="00241FA2">
    <w:pPr>
      <w:pStyle w:val="Header"/>
    </w:pPr>
    <w:r>
      <w:t>WRC</w:t>
    </w:r>
    <w:r w:rsidR="006D70B0">
      <w:t>23</w:t>
    </w:r>
    <w:r w:rsidR="00A066F1">
      <w:t>/</w:t>
    </w:r>
    <w:bookmarkStart w:id="9" w:name="OLE_LINK1"/>
    <w:bookmarkStart w:id="10" w:name="OLE_LINK2"/>
    <w:bookmarkStart w:id="11" w:name="OLE_LINK3"/>
    <w:r w:rsidR="00EB55C6">
      <w:t>188</w:t>
    </w:r>
    <w:bookmarkEnd w:id="9"/>
    <w:bookmarkEnd w:id="10"/>
    <w:bookmarkEnd w:id="11"/>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733967168">
    <w:abstractNumId w:val="0"/>
  </w:num>
  <w:num w:numId="2" w16cid:durableId="122934723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570C3"/>
    <w:rsid w:val="000575DC"/>
    <w:rsid w:val="000705F2"/>
    <w:rsid w:val="00077239"/>
    <w:rsid w:val="0007795D"/>
    <w:rsid w:val="00086491"/>
    <w:rsid w:val="00091346"/>
    <w:rsid w:val="00095A48"/>
    <w:rsid w:val="0009706C"/>
    <w:rsid w:val="000D154B"/>
    <w:rsid w:val="000D2300"/>
    <w:rsid w:val="000D2DAF"/>
    <w:rsid w:val="000E463E"/>
    <w:rsid w:val="000F50EA"/>
    <w:rsid w:val="000F73FF"/>
    <w:rsid w:val="00114CF7"/>
    <w:rsid w:val="00116C7A"/>
    <w:rsid w:val="00123B68"/>
    <w:rsid w:val="00126F2E"/>
    <w:rsid w:val="00146F6F"/>
    <w:rsid w:val="00161F26"/>
    <w:rsid w:val="00187BD9"/>
    <w:rsid w:val="00190965"/>
    <w:rsid w:val="00190B55"/>
    <w:rsid w:val="001C3B5F"/>
    <w:rsid w:val="001D058F"/>
    <w:rsid w:val="002009EA"/>
    <w:rsid w:val="00202756"/>
    <w:rsid w:val="00202CA0"/>
    <w:rsid w:val="00216B6D"/>
    <w:rsid w:val="002210E9"/>
    <w:rsid w:val="0022757F"/>
    <w:rsid w:val="00241FA2"/>
    <w:rsid w:val="00244AFF"/>
    <w:rsid w:val="00271316"/>
    <w:rsid w:val="002B349C"/>
    <w:rsid w:val="002D58BE"/>
    <w:rsid w:val="002F4747"/>
    <w:rsid w:val="00302605"/>
    <w:rsid w:val="00361B37"/>
    <w:rsid w:val="0036393F"/>
    <w:rsid w:val="00377BD3"/>
    <w:rsid w:val="00384088"/>
    <w:rsid w:val="003852CE"/>
    <w:rsid w:val="0039169B"/>
    <w:rsid w:val="003A7F8C"/>
    <w:rsid w:val="003B2284"/>
    <w:rsid w:val="003B532E"/>
    <w:rsid w:val="003D0F8B"/>
    <w:rsid w:val="003E0DB6"/>
    <w:rsid w:val="0041348E"/>
    <w:rsid w:val="00420873"/>
    <w:rsid w:val="00423D90"/>
    <w:rsid w:val="00492075"/>
    <w:rsid w:val="004969AD"/>
    <w:rsid w:val="004A26C4"/>
    <w:rsid w:val="004A6B60"/>
    <w:rsid w:val="004B13CB"/>
    <w:rsid w:val="004D26EA"/>
    <w:rsid w:val="004D2BFB"/>
    <w:rsid w:val="004D5D5C"/>
    <w:rsid w:val="004E25B3"/>
    <w:rsid w:val="004F3DC0"/>
    <w:rsid w:val="004F7ABF"/>
    <w:rsid w:val="0050139F"/>
    <w:rsid w:val="0051638B"/>
    <w:rsid w:val="0055140B"/>
    <w:rsid w:val="005861D7"/>
    <w:rsid w:val="005964AB"/>
    <w:rsid w:val="005C099A"/>
    <w:rsid w:val="005C31A5"/>
    <w:rsid w:val="005E10C9"/>
    <w:rsid w:val="005E290B"/>
    <w:rsid w:val="005E61DD"/>
    <w:rsid w:val="005F04D8"/>
    <w:rsid w:val="006023DF"/>
    <w:rsid w:val="00615426"/>
    <w:rsid w:val="00616219"/>
    <w:rsid w:val="00643378"/>
    <w:rsid w:val="00645B7D"/>
    <w:rsid w:val="00657DE0"/>
    <w:rsid w:val="00685313"/>
    <w:rsid w:val="00687567"/>
    <w:rsid w:val="00692833"/>
    <w:rsid w:val="006A6E9B"/>
    <w:rsid w:val="006B7C2A"/>
    <w:rsid w:val="006C23DA"/>
    <w:rsid w:val="006D70B0"/>
    <w:rsid w:val="006E3D45"/>
    <w:rsid w:val="0070607A"/>
    <w:rsid w:val="007149F9"/>
    <w:rsid w:val="00733A30"/>
    <w:rsid w:val="00745AEE"/>
    <w:rsid w:val="00750F10"/>
    <w:rsid w:val="00751EB6"/>
    <w:rsid w:val="007742CA"/>
    <w:rsid w:val="00790D70"/>
    <w:rsid w:val="007A6F1F"/>
    <w:rsid w:val="007D5320"/>
    <w:rsid w:val="00800972"/>
    <w:rsid w:val="00804475"/>
    <w:rsid w:val="00811633"/>
    <w:rsid w:val="00813E24"/>
    <w:rsid w:val="00814037"/>
    <w:rsid w:val="00841216"/>
    <w:rsid w:val="00842AF0"/>
    <w:rsid w:val="0086171E"/>
    <w:rsid w:val="00866EB5"/>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3067"/>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C2B49"/>
    <w:rsid w:val="00AD65FD"/>
    <w:rsid w:val="00AD7914"/>
    <w:rsid w:val="00AE514B"/>
    <w:rsid w:val="00B40888"/>
    <w:rsid w:val="00B639E9"/>
    <w:rsid w:val="00B817CD"/>
    <w:rsid w:val="00B81A7D"/>
    <w:rsid w:val="00B91E25"/>
    <w:rsid w:val="00B91EF7"/>
    <w:rsid w:val="00B94AD0"/>
    <w:rsid w:val="00BB3A95"/>
    <w:rsid w:val="00BC75DE"/>
    <w:rsid w:val="00BD6CCE"/>
    <w:rsid w:val="00BE21E9"/>
    <w:rsid w:val="00C0018F"/>
    <w:rsid w:val="00C06700"/>
    <w:rsid w:val="00C16A5A"/>
    <w:rsid w:val="00C20447"/>
    <w:rsid w:val="00C20466"/>
    <w:rsid w:val="00C214ED"/>
    <w:rsid w:val="00C234E6"/>
    <w:rsid w:val="00C324A8"/>
    <w:rsid w:val="00C54517"/>
    <w:rsid w:val="00C56F70"/>
    <w:rsid w:val="00C57B91"/>
    <w:rsid w:val="00C64CD8"/>
    <w:rsid w:val="00C82695"/>
    <w:rsid w:val="00C87EBB"/>
    <w:rsid w:val="00C97C68"/>
    <w:rsid w:val="00CA1A47"/>
    <w:rsid w:val="00CA3DFC"/>
    <w:rsid w:val="00CB44E5"/>
    <w:rsid w:val="00CC247A"/>
    <w:rsid w:val="00CE388F"/>
    <w:rsid w:val="00CE5E47"/>
    <w:rsid w:val="00CF020F"/>
    <w:rsid w:val="00CF2B5B"/>
    <w:rsid w:val="00D14CE0"/>
    <w:rsid w:val="00D255D4"/>
    <w:rsid w:val="00D268B3"/>
    <w:rsid w:val="00D4336E"/>
    <w:rsid w:val="00D52FD6"/>
    <w:rsid w:val="00D54009"/>
    <w:rsid w:val="00D5651D"/>
    <w:rsid w:val="00D57A34"/>
    <w:rsid w:val="00D74898"/>
    <w:rsid w:val="00D801ED"/>
    <w:rsid w:val="00D927BB"/>
    <w:rsid w:val="00D936BC"/>
    <w:rsid w:val="00D96530"/>
    <w:rsid w:val="00DA1CB1"/>
    <w:rsid w:val="00DC07A6"/>
    <w:rsid w:val="00DD44AF"/>
    <w:rsid w:val="00DE2AC3"/>
    <w:rsid w:val="00DE5692"/>
    <w:rsid w:val="00DE6300"/>
    <w:rsid w:val="00DF4BC6"/>
    <w:rsid w:val="00DF78E0"/>
    <w:rsid w:val="00E03C94"/>
    <w:rsid w:val="00E205BC"/>
    <w:rsid w:val="00E20F86"/>
    <w:rsid w:val="00E26226"/>
    <w:rsid w:val="00E45D05"/>
    <w:rsid w:val="00E55816"/>
    <w:rsid w:val="00E55AEF"/>
    <w:rsid w:val="00E976C1"/>
    <w:rsid w:val="00EA12E5"/>
    <w:rsid w:val="00EB0812"/>
    <w:rsid w:val="00EB54B2"/>
    <w:rsid w:val="00EB55C6"/>
    <w:rsid w:val="00EC7E35"/>
    <w:rsid w:val="00EF1932"/>
    <w:rsid w:val="00EF71B6"/>
    <w:rsid w:val="00F02766"/>
    <w:rsid w:val="00F05BD4"/>
    <w:rsid w:val="00F06473"/>
    <w:rsid w:val="00F320AA"/>
    <w:rsid w:val="00F6155B"/>
    <w:rsid w:val="00F65C19"/>
    <w:rsid w:val="00F822B0"/>
    <w:rsid w:val="00FC501D"/>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DA57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0D2300"/>
    <w:rPr>
      <w:rFonts w:ascii="Times New Roman" w:hAnsi="Times New Roman"/>
      <w:sz w:val="24"/>
      <w:lang w:val="en-GB" w:eastAsia="en-US"/>
    </w:rPr>
  </w:style>
  <w:style w:type="character" w:styleId="CommentReference">
    <w:name w:val="annotation reference"/>
    <w:basedOn w:val="DefaultParagraphFont"/>
    <w:semiHidden/>
    <w:unhideWhenUsed/>
    <w:rsid w:val="00C87EBB"/>
    <w:rPr>
      <w:sz w:val="16"/>
      <w:szCs w:val="16"/>
    </w:rPr>
  </w:style>
  <w:style w:type="paragraph" w:styleId="CommentText">
    <w:name w:val="annotation text"/>
    <w:basedOn w:val="Normal"/>
    <w:link w:val="CommentTextChar"/>
    <w:unhideWhenUsed/>
    <w:rsid w:val="00C87EBB"/>
    <w:rPr>
      <w:sz w:val="20"/>
    </w:rPr>
  </w:style>
  <w:style w:type="character" w:customStyle="1" w:styleId="CommentTextChar">
    <w:name w:val="Comment Text Char"/>
    <w:basedOn w:val="DefaultParagraphFont"/>
    <w:link w:val="CommentText"/>
    <w:rsid w:val="00C87EB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87EBB"/>
    <w:rPr>
      <w:b/>
      <w:bCs/>
    </w:rPr>
  </w:style>
  <w:style w:type="character" w:customStyle="1" w:styleId="CommentSubjectChar">
    <w:name w:val="Comment Subject Char"/>
    <w:basedOn w:val="CommentTextChar"/>
    <w:link w:val="CommentSubject"/>
    <w:semiHidden/>
    <w:rsid w:val="00C87EBB"/>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R23-WRC23-C-0188!!MSW-E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6772A5-60F7-4B73-AFAE-0A66BA8622C5}">
  <ds:schemaRefs>
    <ds:schemaRef ds:uri="http://schemas.microsoft.com/sharepoint/v3/contenttype/forms"/>
  </ds:schemaRefs>
</ds:datastoreItem>
</file>

<file path=customXml/itemProps2.xml><?xml version="1.0" encoding="utf-8"?>
<ds:datastoreItem xmlns:ds="http://schemas.openxmlformats.org/officeDocument/2006/customXml" ds:itemID="{428CE91A-1D63-434A-A7B2-54DA79B2B0FE}">
  <ds:schemaRefs>
    <ds:schemaRef ds:uri="http://schemas.openxmlformats.org/officeDocument/2006/bibliography"/>
  </ds:schemaRefs>
</ds:datastoreItem>
</file>

<file path=customXml/itemProps3.xml><?xml version="1.0" encoding="utf-8"?>
<ds:datastoreItem xmlns:ds="http://schemas.openxmlformats.org/officeDocument/2006/customXml" ds:itemID="{CC8D75EA-F5EA-4DCF-A1EB-9070A10935BE}">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CBA9D2B5-CBB3-4C8A-94EF-0D8186392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EED4C9-D04C-4A02-8161-8BA59C73EF9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959</Words>
  <Characters>5068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R23-WRC23-C-0188!!MSW-E</vt:lpstr>
    </vt:vector>
  </TitlesOfParts>
  <Manager>General Secretariat - Pool</Manager>
  <Company>International Telecommunication Union (ITU)</Company>
  <LinksUpToDate>false</LinksUpToDate>
  <CharactersWithSpaces>6015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R23-WRC23-C-0188!!MSW-E</dc:title>
  <dc:subject>World Radiocommunication Conference - 2023</dc:subject>
  <dc:creator>Documents Proposals Manager (DPM)</dc:creator>
  <cp:keywords>DPM_v2023.8.1.1_prod</cp:keywords>
  <dc:description>Uploaded on 2015.07.06</dc:description>
  <cp:lastModifiedBy>TPU E RR</cp:lastModifiedBy>
  <cp:revision>6</cp:revision>
  <cp:lastPrinted>2017-02-10T08:23:00Z</cp:lastPrinted>
  <dcterms:created xsi:type="dcterms:W3CDTF">2023-11-03T08:24:00Z</dcterms:created>
  <dcterms:modified xsi:type="dcterms:W3CDTF">2023-11-06T06:11:00Z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