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320D684C" w14:textId="77777777" w:rsidTr="0080079E">
        <w:trPr>
          <w:cantSplit/>
        </w:trPr>
        <w:tc>
          <w:tcPr>
            <w:tcW w:w="1418" w:type="dxa"/>
            <w:vAlign w:val="center"/>
          </w:tcPr>
          <w:p w14:paraId="2A03B35B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9BF5A55" wp14:editId="0CF915C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6B048000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26AF66F4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AC4E475" wp14:editId="7E7D37B0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1F8E0235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766F44A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3B69C10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436C9AE5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5F7706A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0A05F16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494FAA0C" w14:textId="77777777" w:rsidTr="0090121B">
        <w:trPr>
          <w:cantSplit/>
        </w:trPr>
        <w:tc>
          <w:tcPr>
            <w:tcW w:w="6911" w:type="dxa"/>
            <w:gridSpan w:val="2"/>
          </w:tcPr>
          <w:p w14:paraId="387F1D1B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7F8C6D72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 186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1"/>
      <w:tr w:rsidR="000A5B9A" w:rsidRPr="0002785D" w14:paraId="6CBECC19" w14:textId="77777777" w:rsidTr="0090121B">
        <w:trPr>
          <w:cantSplit/>
        </w:trPr>
        <w:tc>
          <w:tcPr>
            <w:tcW w:w="6911" w:type="dxa"/>
            <w:gridSpan w:val="2"/>
          </w:tcPr>
          <w:p w14:paraId="103B5D1D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506FD157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31 de octubre de 2023</w:t>
            </w:r>
          </w:p>
        </w:tc>
      </w:tr>
      <w:tr w:rsidR="000A5B9A" w:rsidRPr="0002785D" w14:paraId="6F6C3223" w14:textId="77777777" w:rsidTr="0090121B">
        <w:trPr>
          <w:cantSplit/>
        </w:trPr>
        <w:tc>
          <w:tcPr>
            <w:tcW w:w="6911" w:type="dxa"/>
            <w:gridSpan w:val="2"/>
          </w:tcPr>
          <w:p w14:paraId="6EA8BE96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5AA462B9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51ADE803" w14:textId="77777777" w:rsidTr="006744FC">
        <w:trPr>
          <w:cantSplit/>
        </w:trPr>
        <w:tc>
          <w:tcPr>
            <w:tcW w:w="10031" w:type="dxa"/>
            <w:gridSpan w:val="4"/>
          </w:tcPr>
          <w:p w14:paraId="24CC6E3D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048AF25F" w14:textId="77777777" w:rsidTr="0050008E">
        <w:trPr>
          <w:cantSplit/>
        </w:trPr>
        <w:tc>
          <w:tcPr>
            <w:tcW w:w="10031" w:type="dxa"/>
            <w:gridSpan w:val="4"/>
          </w:tcPr>
          <w:p w14:paraId="17AA8A5E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Papua Nueva Guinea</w:t>
            </w:r>
          </w:p>
        </w:tc>
      </w:tr>
      <w:tr w:rsidR="000A5B9A" w:rsidRPr="00642A1C" w14:paraId="27FDE7A9" w14:textId="77777777" w:rsidTr="0050008E">
        <w:trPr>
          <w:cantSplit/>
        </w:trPr>
        <w:tc>
          <w:tcPr>
            <w:tcW w:w="10031" w:type="dxa"/>
            <w:gridSpan w:val="4"/>
          </w:tcPr>
          <w:p w14:paraId="6180DF28" w14:textId="785B4CA7" w:rsidR="000A5B9A" w:rsidRPr="00642A1C" w:rsidRDefault="00642A1C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>
              <w:rPr>
                <w:lang w:val="es-ES"/>
              </w:rPr>
              <w:t>Propuestas para los trabajos de la Conferencia</w:t>
            </w:r>
          </w:p>
        </w:tc>
      </w:tr>
      <w:tr w:rsidR="000A5B9A" w:rsidRPr="00642A1C" w14:paraId="5317C388" w14:textId="77777777" w:rsidTr="0050008E">
        <w:trPr>
          <w:cantSplit/>
        </w:trPr>
        <w:tc>
          <w:tcPr>
            <w:tcW w:w="10031" w:type="dxa"/>
            <w:gridSpan w:val="4"/>
          </w:tcPr>
          <w:p w14:paraId="52AD07F9" w14:textId="77777777" w:rsidR="000A5B9A" w:rsidRPr="00642A1C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2C4198C6" w14:textId="77777777" w:rsidTr="0050008E">
        <w:trPr>
          <w:cantSplit/>
        </w:trPr>
        <w:tc>
          <w:tcPr>
            <w:tcW w:w="10031" w:type="dxa"/>
            <w:gridSpan w:val="4"/>
          </w:tcPr>
          <w:p w14:paraId="51B51DB5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10 del orden del día</w:t>
            </w:r>
          </w:p>
        </w:tc>
      </w:tr>
    </w:tbl>
    <w:bookmarkEnd w:id="5"/>
    <w:p w14:paraId="6B8EAC9C" w14:textId="77777777" w:rsidR="001A66F7" w:rsidRPr="007E716E" w:rsidRDefault="00944C3D" w:rsidP="001E5926">
      <w:pPr>
        <w:pStyle w:val="Normalaftertitle"/>
      </w:pPr>
      <w:r w:rsidRPr="00ED1619">
        <w:t>10</w:t>
      </w:r>
      <w:r w:rsidRPr="00ED1619">
        <w:tab/>
        <w:t xml:space="preserve">recomendar al Consejo de la UIT los puntos que debe contener el orden del día de la próxima Conferencia Mundial de Radiocomunicaciones y los temas que se han de incluir en el orden del día preliminar de futuras conferencias, de conformidad con el Artículo 7 del Convenio de la UIT y la Resolución </w:t>
      </w:r>
      <w:r w:rsidRPr="00ED1619">
        <w:rPr>
          <w:b/>
          <w:bCs/>
        </w:rPr>
        <w:t>804 (Rev.CMR-19)</w:t>
      </w:r>
      <w:r w:rsidRPr="00ED1619">
        <w:t>,</w:t>
      </w:r>
    </w:p>
    <w:p w14:paraId="471E77FF" w14:textId="3B141DD5" w:rsidR="008320A3" w:rsidRPr="004E6AB5" w:rsidRDefault="008320A3" w:rsidP="008320A3">
      <w:pPr>
        <w:pStyle w:val="Headingb"/>
        <w:rPr>
          <w:lang w:val="es-ES" w:eastAsia="ko-KR"/>
        </w:rPr>
      </w:pPr>
      <w:r w:rsidRPr="004E6AB5">
        <w:rPr>
          <w:lang w:val="es-ES" w:eastAsia="ko-KR"/>
        </w:rPr>
        <w:t>Antecedentes</w:t>
      </w:r>
    </w:p>
    <w:p w14:paraId="76EE3D29" w14:textId="422AAE63" w:rsidR="008320A3" w:rsidRPr="008320A3" w:rsidRDefault="008320A3" w:rsidP="00B73AE2">
      <w:pPr>
        <w:rPr>
          <w:rFonts w:eastAsia="SimSun"/>
          <w:lang w:val="es-ES" w:eastAsia="zh-CN"/>
        </w:rPr>
      </w:pPr>
      <w:r w:rsidRPr="008320A3">
        <w:rPr>
          <w:lang w:val="es-ES"/>
        </w:rPr>
        <w:t>El punto 10 del orden del día de la CMR-23 recomienda al Consejo los puntos que debe contener el orden del día de la CMR-27 y dé su opinión sobre el orden del día preliminar de la siguiente conferencia, así como sobre los temas que podr</w:t>
      </w:r>
      <w:r>
        <w:rPr>
          <w:lang w:val="es-ES"/>
        </w:rPr>
        <w:t>ían incluirse en el orden del día de futuras conferencias, de conformidad con el Artículo 7 del Convenio y la Resolución</w:t>
      </w:r>
      <w:r w:rsidRPr="008320A3">
        <w:rPr>
          <w:lang w:val="es-ES"/>
        </w:rPr>
        <w:t xml:space="preserve"> </w:t>
      </w:r>
      <w:r w:rsidRPr="008320A3">
        <w:rPr>
          <w:b/>
          <w:bCs/>
          <w:lang w:val="es-ES"/>
        </w:rPr>
        <w:t>804 (Rev.C</w:t>
      </w:r>
      <w:r>
        <w:rPr>
          <w:b/>
          <w:bCs/>
          <w:lang w:val="es-ES"/>
        </w:rPr>
        <w:t>MR</w:t>
      </w:r>
      <w:r w:rsidRPr="008320A3">
        <w:rPr>
          <w:b/>
          <w:bCs/>
          <w:lang w:val="es-ES"/>
        </w:rPr>
        <w:t>-19)</w:t>
      </w:r>
      <w:r w:rsidRPr="008320A3">
        <w:rPr>
          <w:lang w:val="es-ES"/>
        </w:rPr>
        <w:t>. A finales de</w:t>
      </w:r>
      <w:r w:rsidRPr="008320A3">
        <w:rPr>
          <w:rFonts w:eastAsia="SimSun"/>
          <w:lang w:val="es-ES" w:eastAsia="zh-CN"/>
        </w:rPr>
        <w:t xml:space="preserve"> 2022, operadores de satélites, operadores de redes móviles, fabricantes de chips y dispositivos móviles y fabricantes de infraestructuras anunciaron colaboraciones y planes para desarrollar y desplega</w:t>
      </w:r>
      <w:r>
        <w:rPr>
          <w:rFonts w:eastAsia="SimSun"/>
          <w:lang w:val="es-ES" w:eastAsia="zh-CN"/>
        </w:rPr>
        <w:t xml:space="preserve">r tecnologías para aplicaciones previstas para la componente de satélite de las </w:t>
      </w:r>
      <w:r w:rsidRPr="008320A3">
        <w:rPr>
          <w:rFonts w:eastAsia="SimSun"/>
          <w:lang w:val="es-ES" w:eastAsia="zh-CN"/>
        </w:rPr>
        <w:t>IMT-2020. En algunos países los operadores de satélites y los fabricantes de dispositivos han dado el primer paso y han la</w:t>
      </w:r>
      <w:r>
        <w:rPr>
          <w:rFonts w:eastAsia="SimSun"/>
          <w:lang w:val="es-ES" w:eastAsia="zh-CN"/>
        </w:rPr>
        <w:t xml:space="preserve">nzado aplicaciones de mensajería que funcionan directamente entre dispositivos móviles terrenales y satélites. </w:t>
      </w:r>
      <w:r w:rsidRPr="008320A3">
        <w:rPr>
          <w:rFonts w:eastAsia="SimSun"/>
          <w:lang w:val="es-ES" w:eastAsia="zh-CN"/>
        </w:rPr>
        <w:t xml:space="preserve">Estas aplicaciones directas al dispositivo (D2D) son vanguardistas que validan los casos de uso y la </w:t>
      </w:r>
      <w:r w:rsidRPr="001E5926">
        <w:rPr>
          <w:lang w:val="es-ES"/>
        </w:rPr>
        <w:t>creciente</w:t>
      </w:r>
      <w:r w:rsidRPr="008320A3">
        <w:rPr>
          <w:rFonts w:eastAsia="SimSun"/>
          <w:lang w:val="es-ES" w:eastAsia="zh-CN"/>
        </w:rPr>
        <w:t xml:space="preserve"> demanda de IMT-2020 p</w:t>
      </w:r>
      <w:r>
        <w:rPr>
          <w:rFonts w:eastAsia="SimSun"/>
          <w:lang w:val="es-ES" w:eastAsia="zh-CN"/>
        </w:rPr>
        <w:t>or satélite a fin de lograr mejores comunicaciones móviles de banda ancha y alta fiabilidad y comunicaciones masivas</w:t>
      </w:r>
      <w:r w:rsidR="00530AD6">
        <w:rPr>
          <w:rFonts w:eastAsia="SimSun"/>
          <w:lang w:val="es-ES" w:eastAsia="zh-CN"/>
        </w:rPr>
        <w:t xml:space="preserve"> tipo máquina</w:t>
      </w:r>
      <w:r>
        <w:rPr>
          <w:rFonts w:eastAsia="SimSun"/>
          <w:lang w:val="es-ES" w:eastAsia="zh-CN"/>
        </w:rPr>
        <w:t xml:space="preserve">. </w:t>
      </w:r>
      <w:r w:rsidRPr="008320A3">
        <w:rPr>
          <w:rFonts w:eastAsia="SimSun"/>
          <w:lang w:val="es-ES" w:eastAsia="zh-CN"/>
        </w:rPr>
        <w:t>La componente de satélite de las IMT-2020 pue</w:t>
      </w:r>
      <w:r>
        <w:rPr>
          <w:rFonts w:eastAsia="SimSun"/>
          <w:lang w:val="es-ES" w:eastAsia="zh-CN"/>
        </w:rPr>
        <w:t>de utilizarse para lo siguiente</w:t>
      </w:r>
      <w:r w:rsidRPr="008320A3">
        <w:rPr>
          <w:rFonts w:eastAsia="SimSun"/>
          <w:lang w:val="es-ES" w:eastAsia="zh-CN"/>
        </w:rPr>
        <w:t>:</w:t>
      </w:r>
    </w:p>
    <w:p w14:paraId="2CAD51B2" w14:textId="4093F3D0" w:rsidR="008320A3" w:rsidRPr="008320A3" w:rsidRDefault="008320A3" w:rsidP="001E5926">
      <w:pPr>
        <w:rPr>
          <w:rFonts w:eastAsia="SimSun"/>
          <w:lang w:val="es-ES" w:eastAsia="zh-CN"/>
        </w:rPr>
      </w:pPr>
      <w:r w:rsidRPr="008320A3">
        <w:rPr>
          <w:rFonts w:eastAsia="SimSun"/>
          <w:lang w:val="es-ES" w:eastAsia="zh-CN"/>
        </w:rPr>
        <w:t>-</w:t>
      </w:r>
      <w:r w:rsidRPr="008320A3">
        <w:rPr>
          <w:rFonts w:eastAsia="SimSun"/>
          <w:lang w:val="es-ES" w:eastAsia="zh-CN"/>
        </w:rPr>
        <w:tab/>
        <w:t xml:space="preserve">dar conectividad mundial a los dispositivos </w:t>
      </w:r>
      <w:r>
        <w:rPr>
          <w:rFonts w:eastAsia="SimSun"/>
          <w:lang w:val="es-ES" w:eastAsia="zh-CN"/>
        </w:rPr>
        <w:t>de usuario extremo</w:t>
      </w:r>
      <w:r w:rsidRPr="008320A3">
        <w:rPr>
          <w:rFonts w:eastAsia="SimSun"/>
          <w:lang w:val="es-ES" w:eastAsia="zh-CN"/>
        </w:rPr>
        <w:t xml:space="preserve"> </w:t>
      </w:r>
    </w:p>
    <w:p w14:paraId="1023E0A0" w14:textId="23B94F8D" w:rsidR="008320A3" w:rsidRPr="008320A3" w:rsidRDefault="008320A3" w:rsidP="008320A3">
      <w:pPr>
        <w:pStyle w:val="enumlev1"/>
        <w:rPr>
          <w:rFonts w:eastAsia="SimSun"/>
          <w:lang w:val="es-ES" w:eastAsia="zh-CN"/>
        </w:rPr>
      </w:pPr>
      <w:r w:rsidRPr="008320A3">
        <w:rPr>
          <w:rFonts w:eastAsia="SimSun"/>
          <w:lang w:val="es-ES" w:eastAsia="zh-CN"/>
        </w:rPr>
        <w:t>-</w:t>
      </w:r>
      <w:r w:rsidRPr="008320A3">
        <w:rPr>
          <w:rFonts w:eastAsia="SimSun"/>
          <w:lang w:val="es-ES" w:eastAsia="zh-CN"/>
        </w:rPr>
        <w:tab/>
        <w:t xml:space="preserve">aumentar la resiliencia de la red gracias a la combinación de </w:t>
      </w:r>
      <w:r>
        <w:rPr>
          <w:rFonts w:eastAsia="SimSun"/>
          <w:lang w:val="es-ES" w:eastAsia="zh-CN"/>
        </w:rPr>
        <w:t>la alta disponibilidad y la alta fiabilidad</w:t>
      </w:r>
      <w:r w:rsidRPr="008320A3">
        <w:rPr>
          <w:rFonts w:eastAsia="SimSun"/>
          <w:lang w:val="es-ES" w:eastAsia="zh-CN"/>
        </w:rPr>
        <w:t xml:space="preserve"> </w:t>
      </w:r>
    </w:p>
    <w:p w14:paraId="4B6D0E20" w14:textId="1D6D40EF" w:rsidR="008320A3" w:rsidRPr="008320A3" w:rsidRDefault="008320A3" w:rsidP="008320A3">
      <w:pPr>
        <w:pStyle w:val="enumlev1"/>
        <w:rPr>
          <w:rFonts w:eastAsia="SimSun"/>
          <w:lang w:val="es-ES" w:eastAsia="zh-CN"/>
        </w:rPr>
      </w:pPr>
      <w:r w:rsidRPr="008320A3">
        <w:rPr>
          <w:rFonts w:eastAsia="SimSun"/>
          <w:lang w:val="es-ES" w:eastAsia="zh-CN"/>
        </w:rPr>
        <w:t>-</w:t>
      </w:r>
      <w:r w:rsidRPr="008320A3">
        <w:rPr>
          <w:rFonts w:eastAsia="SimSun"/>
          <w:lang w:val="es-ES" w:eastAsia="zh-CN"/>
        </w:rPr>
        <w:tab/>
        <w:t xml:space="preserve">ofrecer conectividad para el transporte </w:t>
      </w:r>
    </w:p>
    <w:p w14:paraId="31C3BDB7" w14:textId="02E0E684" w:rsidR="008320A3" w:rsidRPr="008320A3" w:rsidRDefault="008320A3" w:rsidP="008320A3">
      <w:pPr>
        <w:pStyle w:val="enumlev1"/>
        <w:rPr>
          <w:rFonts w:eastAsia="SimSun"/>
          <w:lang w:val="es-ES" w:eastAsia="zh-CN"/>
        </w:rPr>
      </w:pPr>
      <w:r w:rsidRPr="008320A3">
        <w:rPr>
          <w:rFonts w:eastAsia="SimSun"/>
          <w:lang w:val="es-ES" w:eastAsia="zh-CN"/>
        </w:rPr>
        <w:t>-</w:t>
      </w:r>
      <w:r w:rsidRPr="008320A3">
        <w:rPr>
          <w:rFonts w:eastAsia="SimSun"/>
          <w:lang w:val="es-ES" w:eastAsia="zh-CN"/>
        </w:rPr>
        <w:tab/>
        <w:t xml:space="preserve">facilitar las operaciones de emergencia y </w:t>
      </w:r>
      <w:r>
        <w:rPr>
          <w:rFonts w:eastAsia="SimSun"/>
          <w:lang w:val="es-ES" w:eastAsia="zh-CN"/>
        </w:rPr>
        <w:t>seguridad pública</w:t>
      </w:r>
    </w:p>
    <w:p w14:paraId="3D51D206" w14:textId="15AAFCE7" w:rsidR="008320A3" w:rsidRPr="008320A3" w:rsidRDefault="008320A3" w:rsidP="008320A3">
      <w:pPr>
        <w:pStyle w:val="enumlev1"/>
        <w:rPr>
          <w:rFonts w:eastAsia="SimSun"/>
          <w:lang w:val="es-ES" w:eastAsia="zh-CN"/>
        </w:rPr>
      </w:pPr>
      <w:r w:rsidRPr="008320A3">
        <w:rPr>
          <w:rFonts w:eastAsia="SimSun"/>
          <w:lang w:val="es-ES" w:eastAsia="zh-CN"/>
        </w:rPr>
        <w:t>-</w:t>
      </w:r>
      <w:r w:rsidRPr="008320A3">
        <w:rPr>
          <w:rFonts w:eastAsia="SimSun"/>
          <w:lang w:val="es-ES" w:eastAsia="zh-CN"/>
        </w:rPr>
        <w:tab/>
        <w:t>entregar contenido por rad</w:t>
      </w:r>
      <w:r w:rsidR="001A66F7">
        <w:rPr>
          <w:rFonts w:eastAsia="SimSun"/>
          <w:lang w:val="es-ES" w:eastAsia="zh-CN"/>
        </w:rPr>
        <w:t>i</w:t>
      </w:r>
      <w:r w:rsidRPr="008320A3">
        <w:rPr>
          <w:rFonts w:eastAsia="SimSun"/>
          <w:lang w:val="es-ES" w:eastAsia="zh-CN"/>
        </w:rPr>
        <w:t xml:space="preserve">odifusión o multidifusión a dispositivos de </w:t>
      </w:r>
      <w:r>
        <w:rPr>
          <w:rFonts w:eastAsia="SimSun"/>
          <w:lang w:val="es-ES" w:eastAsia="zh-CN"/>
        </w:rPr>
        <w:t>usuario extremo</w:t>
      </w:r>
      <w:r w:rsidRPr="008320A3">
        <w:rPr>
          <w:rFonts w:eastAsia="SimSun"/>
          <w:lang w:val="es-ES" w:eastAsia="zh-CN"/>
        </w:rPr>
        <w:t>.</w:t>
      </w:r>
    </w:p>
    <w:p w14:paraId="06F30108" w14:textId="6041D4ED" w:rsidR="008320A3" w:rsidRPr="00B73AE2" w:rsidRDefault="008320A3" w:rsidP="00B73AE2">
      <w:pPr>
        <w:rPr>
          <w:rFonts w:eastAsia="SimSun"/>
        </w:rPr>
      </w:pPr>
      <w:r w:rsidRPr="00B73AE2">
        <w:rPr>
          <w:rFonts w:eastAsia="SimSun"/>
        </w:rPr>
        <w:t xml:space="preserve">La utilidad del servicio móvil por satélite (SMS) en las bandas de frecuencias objetivo, la proximidad de esas bandas de frecuencias a las ya identificadas para las componentes terrenal y de </w:t>
      </w:r>
      <w:r w:rsidRPr="00B73AE2">
        <w:lastRenderedPageBreak/>
        <w:t>satélite</w:t>
      </w:r>
      <w:r w:rsidRPr="00B73AE2">
        <w:rPr>
          <w:rFonts w:eastAsia="SimSun"/>
        </w:rPr>
        <w:t xml:space="preserve"> de las IMT-2020 y la ventaja que suponen atribuciones e identificaciones a nivel mundial para servicios con ambiciones globales, como el SMS y la componente de satélite de las IMT-2020, </w:t>
      </w:r>
      <w:r w:rsidRPr="00B73AE2">
        <w:t>indican</w:t>
      </w:r>
      <w:r w:rsidRPr="00B73AE2">
        <w:rPr>
          <w:rFonts w:eastAsia="SimSun"/>
        </w:rPr>
        <w:t xml:space="preserve"> claramente que es necesario que el orden del día de la CMR-27 contenga un punto al respecto y que la respuesta que se le dé contribuya definitivamente a cumplir los Objetivos de Desarrollo Sostenible de las Naciones Unidas de que se ocupa la UIT, como son la energía asequible y limpia, la producción y el consumo responsables, la acción climática y las ciudades y comunidades sostenibles. En esta contribución se propone incluir en el orden del día de la CMR-27 un nuevo punto, a saber </w:t>
      </w:r>
      <w:r w:rsidR="001E5926" w:rsidRPr="00B73AE2">
        <w:rPr>
          <w:rFonts w:eastAsia="SimSun"/>
        </w:rPr>
        <w:t>«</w:t>
      </w:r>
      <w:r w:rsidRPr="00B73AE2">
        <w:rPr>
          <w:rFonts w:eastAsia="SimSun"/>
        </w:rPr>
        <w:t>considerar la atribución a título primario de las bandas de frecuencias</w:t>
      </w:r>
      <w:r w:rsidRPr="00B73AE2">
        <w:t xml:space="preserve"> 2</w:t>
      </w:r>
      <w:r w:rsidR="001E5926" w:rsidRPr="00B73AE2">
        <w:t> </w:t>
      </w:r>
      <w:r w:rsidRPr="00B73AE2">
        <w:t>010-2 025 MHz (Tierra-espacio) y 2 160-2 170 MHz (espacio-Tierra) en las Regiones 1 y 3, así como 2 200-2 215 MHz (</w:t>
      </w:r>
      <w:r w:rsidR="00866984" w:rsidRPr="00B73AE2">
        <w:t>espacio-Tierra) en todo el mundo, al servicio móvil por satélite para la componente de satélite de las</w:t>
      </w:r>
      <w:r w:rsidRPr="00B73AE2">
        <w:t xml:space="preserve"> IMT-2020</w:t>
      </w:r>
      <w:r w:rsidR="001E5926" w:rsidRPr="00B73AE2">
        <w:t>»</w:t>
      </w:r>
      <w:r w:rsidRPr="00B73AE2">
        <w:t xml:space="preserve">. </w:t>
      </w:r>
    </w:p>
    <w:p w14:paraId="337B4302" w14:textId="0F7C36BF" w:rsidR="008320A3" w:rsidRPr="004E6AB5" w:rsidRDefault="00866984" w:rsidP="008320A3">
      <w:pPr>
        <w:pStyle w:val="Headingb"/>
        <w:rPr>
          <w:lang w:val="es-ES"/>
        </w:rPr>
      </w:pPr>
      <w:r w:rsidRPr="004E6AB5">
        <w:rPr>
          <w:lang w:val="es-ES"/>
        </w:rPr>
        <w:t>Opiniones y propuestas</w:t>
      </w:r>
    </w:p>
    <w:p w14:paraId="1AC678EC" w14:textId="5590FEE7" w:rsidR="008320A3" w:rsidRPr="00866984" w:rsidRDefault="00866984" w:rsidP="00556A1D">
      <w:pPr>
        <w:rPr>
          <w:rFonts w:eastAsia="SimSun"/>
          <w:lang w:val="es-ES" w:eastAsia="zh-CN"/>
        </w:rPr>
      </w:pPr>
      <w:r w:rsidRPr="00866984">
        <w:rPr>
          <w:rFonts w:eastAsia="SimSun"/>
          <w:lang w:val="es-ES" w:eastAsia="zh-CN"/>
        </w:rPr>
        <w:t xml:space="preserve">Los autores de este documento proponen incluir en el orden del día de la CMR-27 el punto </w:t>
      </w:r>
      <w:r w:rsidR="00B73AE2">
        <w:rPr>
          <w:rFonts w:eastAsia="SimSun"/>
          <w:lang w:val="es-ES" w:eastAsia="zh-CN"/>
        </w:rPr>
        <w:t>«</w:t>
      </w:r>
      <w:r w:rsidRPr="008320A3">
        <w:rPr>
          <w:rFonts w:eastAsia="SimSun"/>
          <w:lang w:val="es-ES" w:eastAsia="zh-CN"/>
        </w:rPr>
        <w:t>considerar la atribución a título primario de las bandas de frecuencias</w:t>
      </w:r>
      <w:r w:rsidRPr="008320A3">
        <w:rPr>
          <w:color w:val="000000" w:themeColor="text1"/>
          <w:lang w:val="es-ES"/>
        </w:rPr>
        <w:t xml:space="preserve"> 2 010-2 025 MHz (T</w:t>
      </w:r>
      <w:r>
        <w:rPr>
          <w:color w:val="000000" w:themeColor="text1"/>
          <w:lang w:val="es-ES"/>
        </w:rPr>
        <w:t>ierra</w:t>
      </w:r>
      <w:r w:rsidR="00B73AE2">
        <w:rPr>
          <w:color w:val="000000" w:themeColor="text1"/>
          <w:lang w:val="es-ES"/>
        </w:rPr>
        <w:noBreakHyphen/>
      </w:r>
      <w:r>
        <w:rPr>
          <w:color w:val="000000" w:themeColor="text1"/>
          <w:lang w:val="es-ES"/>
        </w:rPr>
        <w:t>espacio) y</w:t>
      </w:r>
      <w:r w:rsidRPr="008320A3">
        <w:rPr>
          <w:color w:val="000000" w:themeColor="text1"/>
          <w:lang w:val="es-ES"/>
        </w:rPr>
        <w:t xml:space="preserve"> 2 160-2 170 MHz (</w:t>
      </w:r>
      <w:r>
        <w:rPr>
          <w:color w:val="000000" w:themeColor="text1"/>
          <w:lang w:val="es-ES"/>
        </w:rPr>
        <w:t>espacio-Tierra) en las Regiones 1 y 3, así como</w:t>
      </w:r>
      <w:r w:rsidRPr="008320A3">
        <w:rPr>
          <w:color w:val="000000" w:themeColor="text1"/>
          <w:lang w:val="es-ES"/>
        </w:rPr>
        <w:t xml:space="preserve"> 2 200-2 215 MHz (</w:t>
      </w:r>
      <w:r>
        <w:rPr>
          <w:color w:val="000000" w:themeColor="text1"/>
          <w:lang w:val="es-ES"/>
        </w:rPr>
        <w:t>espacio-Tierra) en todo el mundo, al servicio móvil por satélite para la componente de satélite de las</w:t>
      </w:r>
      <w:r w:rsidRPr="008320A3">
        <w:rPr>
          <w:color w:val="000000" w:themeColor="text1"/>
          <w:lang w:val="es-ES"/>
        </w:rPr>
        <w:t xml:space="preserve"> IMT-2020</w:t>
      </w:r>
      <w:r w:rsidR="00B73AE2">
        <w:rPr>
          <w:lang w:val="es-ES"/>
        </w:rPr>
        <w:t>»</w:t>
      </w:r>
      <w:r>
        <w:rPr>
          <w:lang w:val="es-ES"/>
        </w:rPr>
        <w:t xml:space="preserve">. </w:t>
      </w:r>
      <w:r w:rsidRPr="00866984">
        <w:rPr>
          <w:lang w:val="es-ES"/>
        </w:rPr>
        <w:t>Adjuntos se presentan los detalles de la propuesta en el formato prescrito por la UIT</w:t>
      </w:r>
      <w:r w:rsidR="008320A3" w:rsidRPr="00866984">
        <w:rPr>
          <w:lang w:val="es-ES"/>
        </w:rPr>
        <w:t xml:space="preserve">. </w:t>
      </w:r>
    </w:p>
    <w:p w14:paraId="4B19BD5E" w14:textId="77777777" w:rsidR="008320A3" w:rsidRPr="00866984" w:rsidRDefault="008320A3" w:rsidP="008320A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866984">
        <w:rPr>
          <w:lang w:val="es-ES"/>
        </w:rPr>
        <w:br w:type="page"/>
      </w:r>
    </w:p>
    <w:p w14:paraId="35828B80" w14:textId="77777777" w:rsidR="008320A3" w:rsidRPr="004E6AB5" w:rsidRDefault="008320A3" w:rsidP="008320A3">
      <w:pPr>
        <w:pStyle w:val="Proposal"/>
        <w:rPr>
          <w:lang w:val="es-ES"/>
        </w:rPr>
      </w:pPr>
      <w:r w:rsidRPr="004E6AB5">
        <w:rPr>
          <w:lang w:val="es-ES"/>
        </w:rPr>
        <w:lastRenderedPageBreak/>
        <w:t>ADD</w:t>
      </w:r>
      <w:r w:rsidRPr="004E6AB5">
        <w:rPr>
          <w:lang w:val="es-ES"/>
        </w:rPr>
        <w:tab/>
        <w:t>PNG/186/1</w:t>
      </w:r>
    </w:p>
    <w:p w14:paraId="6C2E8ADC" w14:textId="160E8E33" w:rsidR="008320A3" w:rsidRPr="00866984" w:rsidRDefault="00866984" w:rsidP="008320A3">
      <w:pPr>
        <w:pStyle w:val="ResNo"/>
        <w:rPr>
          <w:lang w:val="es-ES"/>
        </w:rPr>
      </w:pPr>
      <w:r w:rsidRPr="00866984">
        <w:rPr>
          <w:lang w:val="es-ES"/>
        </w:rPr>
        <w:t>proyecto de nueva resoluci</w:t>
      </w:r>
      <w:r>
        <w:rPr>
          <w:lang w:val="es-ES"/>
        </w:rPr>
        <w:t>ón</w:t>
      </w:r>
      <w:r w:rsidR="008320A3" w:rsidRPr="00866984">
        <w:rPr>
          <w:lang w:val="es-ES"/>
        </w:rPr>
        <w:t xml:space="preserve"> [PNG/WRC-27 Agenda-XXX]</w:t>
      </w:r>
      <w:r w:rsidR="00556A1D">
        <w:rPr>
          <w:lang w:val="es-ES"/>
        </w:rPr>
        <w:br/>
      </w:r>
      <w:r w:rsidR="008320A3" w:rsidRPr="00866984">
        <w:rPr>
          <w:lang w:val="es-ES"/>
        </w:rPr>
        <w:t>(C</w:t>
      </w:r>
      <w:r>
        <w:rPr>
          <w:lang w:val="es-ES"/>
        </w:rPr>
        <w:t>MR</w:t>
      </w:r>
      <w:r w:rsidR="008320A3" w:rsidRPr="00866984">
        <w:rPr>
          <w:lang w:val="es-ES"/>
        </w:rPr>
        <w:t>-23)</w:t>
      </w:r>
    </w:p>
    <w:p w14:paraId="50920033" w14:textId="2C54F207" w:rsidR="008320A3" w:rsidRPr="00866984" w:rsidRDefault="00866984" w:rsidP="008320A3">
      <w:pPr>
        <w:pStyle w:val="Restitle"/>
        <w:rPr>
          <w:lang w:val="es-ES"/>
        </w:rPr>
      </w:pPr>
      <w:bookmarkStart w:id="6" w:name="_Toc319401924"/>
      <w:bookmarkStart w:id="7" w:name="_Toc450048855"/>
      <w:r w:rsidRPr="00866984">
        <w:rPr>
          <w:lang w:val="es-ES"/>
        </w:rPr>
        <w:t xml:space="preserve">Orden del día de la </w:t>
      </w:r>
      <w:r>
        <w:rPr>
          <w:lang w:val="es-ES"/>
        </w:rPr>
        <w:t>Conferencia Mundial de Radiocomunicaciones de 2027</w:t>
      </w:r>
      <w:bookmarkEnd w:id="6"/>
      <w:bookmarkEnd w:id="7"/>
    </w:p>
    <w:p w14:paraId="0C1E7C1F" w14:textId="02BEA13C" w:rsidR="008320A3" w:rsidRPr="00866984" w:rsidRDefault="00866984" w:rsidP="008320A3">
      <w:pPr>
        <w:pStyle w:val="Normalaftertitle"/>
        <w:rPr>
          <w:lang w:val="es-ES"/>
        </w:rPr>
      </w:pPr>
      <w:r w:rsidRPr="00866984">
        <w:rPr>
          <w:lang w:val="es-ES"/>
        </w:rPr>
        <w:t>La Conferencia Mundial de Radiocomunicacio</w:t>
      </w:r>
      <w:r>
        <w:rPr>
          <w:lang w:val="es-ES"/>
        </w:rPr>
        <w:t>nes (Dubái</w:t>
      </w:r>
      <w:r w:rsidR="008320A3" w:rsidRPr="00866984">
        <w:rPr>
          <w:lang w:val="es-ES"/>
        </w:rPr>
        <w:t>, 2023),</w:t>
      </w:r>
    </w:p>
    <w:p w14:paraId="088C71B4" w14:textId="77777777" w:rsidR="008320A3" w:rsidRPr="004E6AB5" w:rsidRDefault="008320A3" w:rsidP="008320A3">
      <w:pPr>
        <w:rPr>
          <w:lang w:val="es-ES"/>
        </w:rPr>
      </w:pPr>
      <w:r w:rsidRPr="004E6AB5">
        <w:rPr>
          <w:lang w:val="es-ES"/>
        </w:rPr>
        <w:t>…</w:t>
      </w:r>
    </w:p>
    <w:p w14:paraId="0EF2C1F6" w14:textId="62DC9439" w:rsidR="008320A3" w:rsidRPr="004E6AB5" w:rsidRDefault="008320A3" w:rsidP="008320A3">
      <w:pPr>
        <w:pStyle w:val="Call"/>
        <w:rPr>
          <w:lang w:val="es-ES"/>
        </w:rPr>
      </w:pPr>
      <w:r w:rsidRPr="004E6AB5">
        <w:rPr>
          <w:lang w:val="es-ES"/>
        </w:rPr>
        <w:t>res</w:t>
      </w:r>
      <w:r w:rsidR="00866984" w:rsidRPr="004E6AB5">
        <w:rPr>
          <w:lang w:val="es-ES"/>
        </w:rPr>
        <w:t>ue</w:t>
      </w:r>
      <w:r w:rsidRPr="004E6AB5">
        <w:rPr>
          <w:lang w:val="es-ES"/>
        </w:rPr>
        <w:t>lve</w:t>
      </w:r>
    </w:p>
    <w:p w14:paraId="1207BD5B" w14:textId="77777777" w:rsidR="008320A3" w:rsidRPr="004E6AB5" w:rsidRDefault="008320A3" w:rsidP="008320A3">
      <w:pPr>
        <w:rPr>
          <w:lang w:val="es-ES"/>
        </w:rPr>
      </w:pPr>
      <w:r w:rsidRPr="004E6AB5">
        <w:rPr>
          <w:lang w:val="es-ES"/>
        </w:rPr>
        <w:t>...</w:t>
      </w:r>
    </w:p>
    <w:p w14:paraId="4DF80E5F" w14:textId="36E5154C" w:rsidR="008320A3" w:rsidRPr="00866984" w:rsidRDefault="008320A3" w:rsidP="008320A3">
      <w:pPr>
        <w:rPr>
          <w:lang w:val="es-ES"/>
        </w:rPr>
      </w:pPr>
      <w:r w:rsidRPr="00866984">
        <w:rPr>
          <w:szCs w:val="24"/>
          <w:lang w:val="es-ES" w:eastAsia="ko-KR"/>
        </w:rPr>
        <w:t>1.X</w:t>
      </w:r>
      <w:r w:rsidRPr="00866984">
        <w:rPr>
          <w:szCs w:val="24"/>
          <w:lang w:val="es-ES" w:eastAsia="ko-KR"/>
        </w:rPr>
        <w:tab/>
      </w:r>
      <w:r w:rsidR="00866984" w:rsidRPr="008320A3">
        <w:rPr>
          <w:rFonts w:eastAsia="SimSun"/>
          <w:lang w:val="es-ES" w:eastAsia="zh-CN"/>
        </w:rPr>
        <w:t>considerar la atribución a título primario de las bandas de frecuencias</w:t>
      </w:r>
      <w:r w:rsidR="00866984" w:rsidRPr="008320A3">
        <w:rPr>
          <w:color w:val="000000" w:themeColor="text1"/>
          <w:lang w:val="es-ES"/>
        </w:rPr>
        <w:t xml:space="preserve"> 2 010-2 025 MHz (T</w:t>
      </w:r>
      <w:r w:rsidR="00866984">
        <w:rPr>
          <w:color w:val="000000" w:themeColor="text1"/>
          <w:lang w:val="es-ES"/>
        </w:rPr>
        <w:t>ierra-espacio) y</w:t>
      </w:r>
      <w:r w:rsidR="00866984" w:rsidRPr="008320A3">
        <w:rPr>
          <w:color w:val="000000" w:themeColor="text1"/>
          <w:lang w:val="es-ES"/>
        </w:rPr>
        <w:t xml:space="preserve"> 2 160-2 170 MHz (</w:t>
      </w:r>
      <w:r w:rsidR="00866984">
        <w:rPr>
          <w:color w:val="000000" w:themeColor="text1"/>
          <w:lang w:val="es-ES"/>
        </w:rPr>
        <w:t>espacio-Tierra) en las Regiones 1 y 3, así como</w:t>
      </w:r>
      <w:r w:rsidR="00866984" w:rsidRPr="008320A3">
        <w:rPr>
          <w:color w:val="000000" w:themeColor="text1"/>
          <w:lang w:val="es-ES"/>
        </w:rPr>
        <w:t xml:space="preserve"> 2 200-2 215 MHz (</w:t>
      </w:r>
      <w:r w:rsidR="00866984">
        <w:rPr>
          <w:color w:val="000000" w:themeColor="text1"/>
          <w:lang w:val="es-ES"/>
        </w:rPr>
        <w:t xml:space="preserve">espacio-Tierra) en </w:t>
      </w:r>
      <w:r w:rsidR="00866984" w:rsidRPr="00556A1D">
        <w:rPr>
          <w:lang w:val="es-ES"/>
        </w:rPr>
        <w:t>todo</w:t>
      </w:r>
      <w:r w:rsidR="00866984">
        <w:rPr>
          <w:color w:val="000000" w:themeColor="text1"/>
          <w:lang w:val="es-ES"/>
        </w:rPr>
        <w:t xml:space="preserve"> el mundo, al servicio móvil por satélite para la componente de satélite de las</w:t>
      </w:r>
      <w:r w:rsidR="00866984" w:rsidRPr="008320A3">
        <w:rPr>
          <w:color w:val="000000" w:themeColor="text1"/>
          <w:lang w:val="es-ES"/>
        </w:rPr>
        <w:t xml:space="preserve"> IMT-2020</w:t>
      </w:r>
      <w:r w:rsidRPr="00866984">
        <w:rPr>
          <w:lang w:val="es-ES"/>
        </w:rPr>
        <w:t xml:space="preserve">, </w:t>
      </w:r>
      <w:r w:rsidR="00866984">
        <w:rPr>
          <w:lang w:val="es-ES"/>
        </w:rPr>
        <w:t>de conformidad con la Resolución</w:t>
      </w:r>
      <w:r w:rsidRPr="00866984">
        <w:rPr>
          <w:lang w:val="es-ES"/>
        </w:rPr>
        <w:t xml:space="preserve"> </w:t>
      </w:r>
      <w:r w:rsidRPr="00866984">
        <w:rPr>
          <w:b/>
          <w:bCs/>
          <w:lang w:val="es-ES"/>
        </w:rPr>
        <w:t>[XXX] (Rev. C</w:t>
      </w:r>
      <w:r w:rsidR="00866984">
        <w:rPr>
          <w:b/>
          <w:bCs/>
          <w:lang w:val="es-ES"/>
        </w:rPr>
        <w:t>MR</w:t>
      </w:r>
      <w:r w:rsidRPr="00866984">
        <w:rPr>
          <w:b/>
          <w:bCs/>
          <w:lang w:val="es-ES"/>
        </w:rPr>
        <w:noBreakHyphen/>
        <w:t>23)</w:t>
      </w:r>
      <w:r w:rsidRPr="00866984">
        <w:rPr>
          <w:lang w:val="es-ES"/>
        </w:rPr>
        <w:t>;</w:t>
      </w:r>
    </w:p>
    <w:p w14:paraId="404C22D6" w14:textId="77777777" w:rsidR="008320A3" w:rsidRPr="004E6AB5" w:rsidRDefault="008320A3" w:rsidP="008320A3">
      <w:pPr>
        <w:rPr>
          <w:rFonts w:eastAsia="SimSun"/>
          <w:lang w:val="es-ES" w:eastAsia="zh-CN"/>
        </w:rPr>
      </w:pPr>
      <w:r w:rsidRPr="004E6AB5">
        <w:rPr>
          <w:rFonts w:eastAsia="SimSun"/>
          <w:lang w:val="es-ES" w:eastAsia="zh-CN"/>
        </w:rPr>
        <w:t>...</w:t>
      </w:r>
    </w:p>
    <w:p w14:paraId="43E13ACB" w14:textId="77777777" w:rsidR="008320A3" w:rsidRPr="004E6AB5" w:rsidRDefault="008320A3" w:rsidP="008320A3">
      <w:pPr>
        <w:pStyle w:val="Reasons"/>
        <w:rPr>
          <w:lang w:val="es-ES"/>
        </w:rPr>
      </w:pPr>
    </w:p>
    <w:p w14:paraId="3299496D" w14:textId="77777777" w:rsidR="008320A3" w:rsidRPr="004E6AB5" w:rsidRDefault="008320A3" w:rsidP="008320A3">
      <w:pPr>
        <w:pStyle w:val="Proposal"/>
        <w:rPr>
          <w:lang w:val="es-ES"/>
        </w:rPr>
      </w:pPr>
      <w:r w:rsidRPr="004E6AB5">
        <w:rPr>
          <w:lang w:val="es-ES"/>
        </w:rPr>
        <w:t>ADD</w:t>
      </w:r>
      <w:r w:rsidRPr="004E6AB5">
        <w:rPr>
          <w:lang w:val="es-ES"/>
        </w:rPr>
        <w:tab/>
        <w:t>PNG/186/2</w:t>
      </w:r>
    </w:p>
    <w:p w14:paraId="3DA29F9B" w14:textId="3B13B751" w:rsidR="008320A3" w:rsidRPr="004E6AB5" w:rsidRDefault="008320A3" w:rsidP="008320A3">
      <w:pPr>
        <w:pStyle w:val="ResNo"/>
        <w:rPr>
          <w:lang w:val="es-ES"/>
        </w:rPr>
      </w:pPr>
      <w:r w:rsidRPr="004E6AB5">
        <w:rPr>
          <w:lang w:val="es-ES"/>
        </w:rPr>
        <w:t>RESOLU</w:t>
      </w:r>
      <w:r w:rsidR="00866984" w:rsidRPr="004E6AB5">
        <w:rPr>
          <w:lang w:val="es-ES"/>
        </w:rPr>
        <w:t>ción</w:t>
      </w:r>
      <w:r w:rsidRPr="004E6AB5">
        <w:rPr>
          <w:lang w:val="es-ES"/>
        </w:rPr>
        <w:t xml:space="preserve"> [XXX] (C</w:t>
      </w:r>
      <w:r w:rsidR="00866984" w:rsidRPr="004E6AB5">
        <w:rPr>
          <w:lang w:val="es-ES"/>
        </w:rPr>
        <w:t>MR</w:t>
      </w:r>
      <w:r w:rsidRPr="004E6AB5">
        <w:rPr>
          <w:lang w:val="es-ES"/>
        </w:rPr>
        <w:t>-23)</w:t>
      </w:r>
    </w:p>
    <w:p w14:paraId="22D1E250" w14:textId="3AAA2572" w:rsidR="008320A3" w:rsidRPr="00866984" w:rsidRDefault="00866984" w:rsidP="008320A3">
      <w:pPr>
        <w:pStyle w:val="Restitle"/>
        <w:rPr>
          <w:lang w:val="es-ES"/>
        </w:rPr>
      </w:pPr>
      <w:r w:rsidRPr="00866984">
        <w:rPr>
          <w:lang w:val="es-ES"/>
        </w:rPr>
        <w:t>Estudios sobre asuntos relacionados con las frecuencias de las bandas de frecuencias</w:t>
      </w:r>
      <w:r w:rsidR="008320A3" w:rsidRPr="00866984">
        <w:rPr>
          <w:lang w:val="es-ES"/>
        </w:rPr>
        <w:t xml:space="preserve"> 2 010-2 025 MHz </w:t>
      </w:r>
      <w:r w:rsidRPr="00866984">
        <w:rPr>
          <w:lang w:val="es-ES"/>
        </w:rPr>
        <w:t>y</w:t>
      </w:r>
      <w:r w:rsidR="008320A3" w:rsidRPr="00866984">
        <w:rPr>
          <w:lang w:val="es-ES"/>
        </w:rPr>
        <w:t xml:space="preserve"> 2 160-2 170 MHz </w:t>
      </w:r>
      <w:r w:rsidRPr="00866984">
        <w:rPr>
          <w:lang w:val="es-ES"/>
        </w:rPr>
        <w:t>en las Regiones 1 y 3, y la banda de frecuencias</w:t>
      </w:r>
      <w:r w:rsidR="008320A3" w:rsidRPr="00866984">
        <w:rPr>
          <w:lang w:val="es-ES"/>
        </w:rPr>
        <w:t xml:space="preserve"> 2 200-2 215 MHz </w:t>
      </w:r>
      <w:r w:rsidRPr="00866984">
        <w:rPr>
          <w:lang w:val="es-ES"/>
        </w:rPr>
        <w:t>e</w:t>
      </w:r>
      <w:r>
        <w:rPr>
          <w:lang w:val="es-ES"/>
        </w:rPr>
        <w:t>n todo el mundo, para el futuro desarrollo de sistemas móviles por satélite y la identificación para la componente de satélite de las Telecomunicaciones Móviles Internacionales</w:t>
      </w:r>
      <w:r w:rsidR="008320A3" w:rsidRPr="00866984">
        <w:rPr>
          <w:lang w:val="es-ES"/>
        </w:rPr>
        <w:t xml:space="preserve"> 2020</w:t>
      </w:r>
    </w:p>
    <w:p w14:paraId="68E3EB34" w14:textId="0E4416CC" w:rsidR="008320A3" w:rsidRPr="00866984" w:rsidRDefault="00866984" w:rsidP="008320A3">
      <w:pPr>
        <w:pStyle w:val="Normalaftertitle"/>
        <w:rPr>
          <w:lang w:val="es-ES"/>
        </w:rPr>
      </w:pPr>
      <w:r w:rsidRPr="00866984">
        <w:rPr>
          <w:lang w:val="es-ES"/>
        </w:rPr>
        <w:t>La Conferencia Mundial de Radiocomunicacio</w:t>
      </w:r>
      <w:r>
        <w:rPr>
          <w:lang w:val="es-ES"/>
        </w:rPr>
        <w:t>nes (Dubái</w:t>
      </w:r>
      <w:r w:rsidR="008320A3" w:rsidRPr="00866984">
        <w:rPr>
          <w:lang w:val="es-ES"/>
        </w:rPr>
        <w:t xml:space="preserve">, 2023), </w:t>
      </w:r>
    </w:p>
    <w:p w14:paraId="0AC3296C" w14:textId="4661FE8B" w:rsidR="008320A3" w:rsidRPr="004E6AB5" w:rsidRDefault="008320A3" w:rsidP="008320A3">
      <w:pPr>
        <w:pStyle w:val="Call"/>
        <w:rPr>
          <w:lang w:val="es-ES"/>
        </w:rPr>
      </w:pPr>
      <w:r w:rsidRPr="004E6AB5">
        <w:rPr>
          <w:lang w:val="es-ES"/>
        </w:rPr>
        <w:t>consider</w:t>
      </w:r>
      <w:r w:rsidR="00866984" w:rsidRPr="004E6AB5">
        <w:rPr>
          <w:lang w:val="es-ES"/>
        </w:rPr>
        <w:t>ando</w:t>
      </w:r>
    </w:p>
    <w:p w14:paraId="7C18CD8D" w14:textId="1EA2260C" w:rsidR="008320A3" w:rsidRPr="00866984" w:rsidRDefault="008320A3" w:rsidP="008320A3">
      <w:pPr>
        <w:rPr>
          <w:lang w:val="es-ES"/>
        </w:rPr>
      </w:pPr>
      <w:r w:rsidRPr="00866984">
        <w:rPr>
          <w:i/>
          <w:iCs/>
          <w:lang w:val="es-ES"/>
        </w:rPr>
        <w:t>a)</w:t>
      </w:r>
      <w:r w:rsidRPr="00866984">
        <w:rPr>
          <w:lang w:val="es-ES"/>
        </w:rPr>
        <w:tab/>
      </w:r>
      <w:r w:rsidR="00866984" w:rsidRPr="00866984">
        <w:rPr>
          <w:lang w:val="es-ES"/>
        </w:rPr>
        <w:t>que las Telecomunicaciones Móviles Internacionales</w:t>
      </w:r>
      <w:r w:rsidRPr="00866984">
        <w:rPr>
          <w:lang w:val="es-ES"/>
        </w:rPr>
        <w:t xml:space="preserve"> (IMT) </w:t>
      </w:r>
      <w:r w:rsidR="00866984">
        <w:rPr>
          <w:lang w:val="es-ES"/>
        </w:rPr>
        <w:t>están formadas por una componente terrenal y una componente de satélite</w:t>
      </w:r>
      <w:r w:rsidRPr="00866984">
        <w:rPr>
          <w:lang w:val="es-ES"/>
        </w:rPr>
        <w:t xml:space="preserve">; </w:t>
      </w:r>
    </w:p>
    <w:p w14:paraId="5E9298B3" w14:textId="6B4576E0" w:rsidR="008320A3" w:rsidRPr="00866984" w:rsidRDefault="008320A3" w:rsidP="008320A3">
      <w:pPr>
        <w:rPr>
          <w:lang w:val="es-ES"/>
        </w:rPr>
      </w:pPr>
      <w:r w:rsidRPr="00866984">
        <w:rPr>
          <w:i/>
          <w:iCs/>
          <w:lang w:val="es-ES"/>
        </w:rPr>
        <w:t>b)</w:t>
      </w:r>
      <w:r w:rsidRPr="00866984">
        <w:rPr>
          <w:lang w:val="es-ES"/>
        </w:rPr>
        <w:tab/>
      </w:r>
      <w:r w:rsidR="00866984" w:rsidRPr="00866984">
        <w:rPr>
          <w:lang w:val="es-ES"/>
        </w:rPr>
        <w:t xml:space="preserve">que se prevé que las </w:t>
      </w:r>
      <w:r w:rsidRPr="00866984">
        <w:rPr>
          <w:lang w:val="es-ES"/>
        </w:rPr>
        <w:t xml:space="preserve">IMT </w:t>
      </w:r>
      <w:r w:rsidR="00866984" w:rsidRPr="00866984">
        <w:rPr>
          <w:lang w:val="es-ES"/>
        </w:rPr>
        <w:t>ofrezcan servicios de telecomunicaciones a escala mundial, inde</w:t>
      </w:r>
      <w:r w:rsidR="00866984">
        <w:rPr>
          <w:lang w:val="es-ES"/>
        </w:rPr>
        <w:t>pendientemente de la ubicación y del tipo de red o terminal</w:t>
      </w:r>
      <w:r w:rsidRPr="00866984">
        <w:rPr>
          <w:lang w:val="es-ES"/>
        </w:rPr>
        <w:t xml:space="preserve">; </w:t>
      </w:r>
    </w:p>
    <w:p w14:paraId="38F8FC3F" w14:textId="5D4D1B6F" w:rsidR="008320A3" w:rsidRPr="00866984" w:rsidRDefault="008320A3" w:rsidP="008320A3">
      <w:pPr>
        <w:rPr>
          <w:lang w:val="es-ES"/>
        </w:rPr>
      </w:pPr>
      <w:r w:rsidRPr="00866984">
        <w:rPr>
          <w:i/>
          <w:iCs/>
          <w:lang w:val="es-ES"/>
        </w:rPr>
        <w:t>c)</w:t>
      </w:r>
      <w:r w:rsidRPr="00866984">
        <w:rPr>
          <w:lang w:val="es-ES"/>
        </w:rPr>
        <w:tab/>
      </w:r>
      <w:r w:rsidR="00866984" w:rsidRPr="00866984">
        <w:rPr>
          <w:lang w:val="es-ES"/>
        </w:rPr>
        <w:t>que se han desplegado sistemas de satélites para facilitar la</w:t>
      </w:r>
      <w:r w:rsidR="00866984">
        <w:rPr>
          <w:lang w:val="es-ES"/>
        </w:rPr>
        <w:t xml:space="preserve"> componente de satélite de las</w:t>
      </w:r>
      <w:r w:rsidRPr="00866984">
        <w:rPr>
          <w:lang w:val="es-ES"/>
        </w:rPr>
        <w:t xml:space="preserve"> IMT;</w:t>
      </w:r>
    </w:p>
    <w:p w14:paraId="42F1C1F9" w14:textId="01FCE0D5" w:rsidR="008320A3" w:rsidRPr="00866984" w:rsidRDefault="008320A3" w:rsidP="008320A3">
      <w:pPr>
        <w:rPr>
          <w:lang w:val="es-ES"/>
        </w:rPr>
      </w:pPr>
      <w:r w:rsidRPr="00866984">
        <w:rPr>
          <w:i/>
          <w:iCs/>
          <w:lang w:val="es-ES"/>
        </w:rPr>
        <w:t>d)</w:t>
      </w:r>
      <w:r w:rsidRPr="00866984">
        <w:rPr>
          <w:lang w:val="es-ES"/>
        </w:rPr>
        <w:tab/>
      </w:r>
      <w:r w:rsidR="00866984" w:rsidRPr="00866984">
        <w:rPr>
          <w:lang w:val="es-ES"/>
        </w:rPr>
        <w:t>que las comunicaciones del servicio móvil por satélite (SMS) tienen la capacidad de</w:t>
      </w:r>
      <w:r w:rsidR="00866984">
        <w:rPr>
          <w:lang w:val="es-ES"/>
        </w:rPr>
        <w:t xml:space="preserve"> superar las dificultades prácticas y logísticas que plantean las instalaciones terrenales</w:t>
      </w:r>
      <w:r w:rsidRPr="00866984">
        <w:rPr>
          <w:lang w:val="es-ES"/>
        </w:rPr>
        <w:t>;</w:t>
      </w:r>
    </w:p>
    <w:p w14:paraId="4FAB3311" w14:textId="62A974FA" w:rsidR="008320A3" w:rsidRPr="00866984" w:rsidRDefault="008320A3" w:rsidP="008320A3">
      <w:pPr>
        <w:rPr>
          <w:lang w:val="es-ES"/>
        </w:rPr>
      </w:pPr>
      <w:r w:rsidRPr="00866984">
        <w:rPr>
          <w:i/>
          <w:iCs/>
          <w:lang w:val="es-ES"/>
        </w:rPr>
        <w:t>e)</w:t>
      </w:r>
      <w:r w:rsidRPr="00866984">
        <w:rPr>
          <w:lang w:val="es-ES"/>
        </w:rPr>
        <w:tab/>
      </w:r>
      <w:r w:rsidR="00866984" w:rsidRPr="00866984">
        <w:rPr>
          <w:lang w:val="es-ES"/>
        </w:rPr>
        <w:t>que el SMS es un método demostrado, práctico y rentable de</w:t>
      </w:r>
      <w:r w:rsidR="00866984">
        <w:rPr>
          <w:lang w:val="es-ES"/>
        </w:rPr>
        <w:t xml:space="preserve"> ofrecer servicios de telecomunicaciones en zonas remotas y rurales</w:t>
      </w:r>
      <w:r w:rsidRPr="00866984">
        <w:rPr>
          <w:lang w:val="es-ES"/>
        </w:rPr>
        <w:t>;</w:t>
      </w:r>
    </w:p>
    <w:p w14:paraId="75D2E332" w14:textId="7BAA40EF" w:rsidR="008320A3" w:rsidRPr="00866984" w:rsidRDefault="008320A3" w:rsidP="008320A3">
      <w:pPr>
        <w:rPr>
          <w:lang w:val="es-ES"/>
        </w:rPr>
      </w:pPr>
      <w:r w:rsidRPr="00866984">
        <w:rPr>
          <w:i/>
          <w:iCs/>
          <w:lang w:val="es-ES"/>
        </w:rPr>
        <w:t>f)</w:t>
      </w:r>
      <w:r w:rsidRPr="00866984">
        <w:rPr>
          <w:lang w:val="es-ES"/>
        </w:rPr>
        <w:tab/>
      </w:r>
      <w:r w:rsidR="00866984" w:rsidRPr="00866984">
        <w:rPr>
          <w:lang w:val="es-ES"/>
        </w:rPr>
        <w:t>que las comunicaciones del SMS contribuyen al desarrollo socioeconó</w:t>
      </w:r>
      <w:r w:rsidR="00866984">
        <w:rPr>
          <w:lang w:val="es-ES"/>
        </w:rPr>
        <w:t>mico mundial, en particular el de las comunidades rurales y en zonas remotas</w:t>
      </w:r>
      <w:r w:rsidRPr="00866984">
        <w:rPr>
          <w:lang w:val="es-ES"/>
        </w:rPr>
        <w:t xml:space="preserve">; </w:t>
      </w:r>
    </w:p>
    <w:p w14:paraId="3662F511" w14:textId="57E51C80" w:rsidR="008320A3" w:rsidRPr="00866984" w:rsidRDefault="008320A3" w:rsidP="008320A3">
      <w:pPr>
        <w:rPr>
          <w:lang w:val="es-ES"/>
        </w:rPr>
      </w:pPr>
      <w:r w:rsidRPr="00866984">
        <w:rPr>
          <w:i/>
          <w:iCs/>
          <w:lang w:val="es-ES"/>
        </w:rPr>
        <w:lastRenderedPageBreak/>
        <w:t>g)</w:t>
      </w:r>
      <w:r w:rsidRPr="00866984">
        <w:rPr>
          <w:lang w:val="es-ES"/>
        </w:rPr>
        <w:tab/>
      </w:r>
      <w:r w:rsidR="00866984" w:rsidRPr="00866984">
        <w:rPr>
          <w:lang w:val="es-ES"/>
        </w:rPr>
        <w:t xml:space="preserve">que las comunicaciones del SMS son un </w:t>
      </w:r>
      <w:r w:rsidR="00866984">
        <w:rPr>
          <w:lang w:val="es-ES"/>
        </w:rPr>
        <w:t>medio eficaz para reducir la brecha digital</w:t>
      </w:r>
      <w:r w:rsidRPr="00866984">
        <w:rPr>
          <w:lang w:val="es-ES"/>
        </w:rPr>
        <w:t xml:space="preserve">; </w:t>
      </w:r>
    </w:p>
    <w:p w14:paraId="0D60696A" w14:textId="321901B7" w:rsidR="008320A3" w:rsidRPr="00710ABB" w:rsidRDefault="008320A3" w:rsidP="008320A3">
      <w:pPr>
        <w:rPr>
          <w:lang w:val="es-ES"/>
        </w:rPr>
      </w:pPr>
      <w:r w:rsidRPr="00710ABB">
        <w:rPr>
          <w:i/>
          <w:iCs/>
          <w:lang w:val="es-ES"/>
        </w:rPr>
        <w:t>h)</w:t>
      </w:r>
      <w:r w:rsidRPr="00710ABB">
        <w:rPr>
          <w:lang w:val="es-ES"/>
        </w:rPr>
        <w:tab/>
      </w:r>
      <w:r w:rsidR="00710ABB" w:rsidRPr="00710ABB">
        <w:rPr>
          <w:lang w:val="es-ES"/>
        </w:rPr>
        <w:t>que el</w:t>
      </w:r>
      <w:r w:rsidRPr="00710ABB">
        <w:rPr>
          <w:lang w:val="es-ES"/>
        </w:rPr>
        <w:t xml:space="preserve"> 3rd Generation Partnership Project (3GPP) ha</w:t>
      </w:r>
      <w:r w:rsidR="00710ABB" w:rsidRPr="00710ABB">
        <w:rPr>
          <w:lang w:val="es-ES"/>
        </w:rPr>
        <w:t xml:space="preserve"> completado la especificación de las no terrenales (RNT) basadas en la tecnología</w:t>
      </w:r>
      <w:r w:rsidRPr="00710ABB">
        <w:rPr>
          <w:lang w:val="es-ES"/>
        </w:rPr>
        <w:t xml:space="preserve"> 5G New Radio </w:t>
      </w:r>
      <w:r w:rsidR="00710ABB" w:rsidRPr="00710ABB">
        <w:rPr>
          <w:lang w:val="es-ES"/>
        </w:rPr>
        <w:t>d</w:t>
      </w:r>
      <w:r w:rsidR="00710ABB">
        <w:rPr>
          <w:lang w:val="es-ES"/>
        </w:rPr>
        <w:t>e la Edición 17 y está procediendo a su mejora en la Edición</w:t>
      </w:r>
      <w:r w:rsidRPr="00710ABB">
        <w:rPr>
          <w:lang w:val="es-ES"/>
        </w:rPr>
        <w:t xml:space="preserve"> 18; </w:t>
      </w:r>
    </w:p>
    <w:p w14:paraId="46B8D1FD" w14:textId="30D8271C" w:rsidR="008320A3" w:rsidRPr="00710ABB" w:rsidRDefault="008320A3" w:rsidP="008320A3">
      <w:pPr>
        <w:rPr>
          <w:lang w:val="es-ES"/>
        </w:rPr>
      </w:pPr>
      <w:r w:rsidRPr="00710ABB">
        <w:rPr>
          <w:i/>
          <w:iCs/>
          <w:lang w:val="es-ES"/>
        </w:rPr>
        <w:t>i)</w:t>
      </w:r>
      <w:r w:rsidRPr="00710ABB">
        <w:rPr>
          <w:lang w:val="es-ES"/>
        </w:rPr>
        <w:tab/>
      </w:r>
      <w:r w:rsidR="00710ABB" w:rsidRPr="00710ABB">
        <w:rPr>
          <w:lang w:val="es-ES"/>
        </w:rPr>
        <w:t>que se prevé que las RNT</w:t>
      </w:r>
      <w:r w:rsidRPr="00710ABB">
        <w:rPr>
          <w:lang w:val="es-ES"/>
        </w:rPr>
        <w:t xml:space="preserve"> 5G New Radio </w:t>
      </w:r>
      <w:r w:rsidR="00710ABB" w:rsidRPr="00710ABB">
        <w:rPr>
          <w:lang w:val="es-ES"/>
        </w:rPr>
        <w:t>puedan ser una de las tecnología</w:t>
      </w:r>
      <w:r w:rsidR="00710ABB">
        <w:rPr>
          <w:lang w:val="es-ES"/>
        </w:rPr>
        <w:t>s de acceso radioeléctrico para el componente de satélite de las</w:t>
      </w:r>
      <w:r w:rsidRPr="00710ABB">
        <w:rPr>
          <w:lang w:val="es-ES"/>
        </w:rPr>
        <w:t xml:space="preserve"> IMT-2020;</w:t>
      </w:r>
    </w:p>
    <w:p w14:paraId="3B5C9F84" w14:textId="37FE2CC2" w:rsidR="008320A3" w:rsidRPr="00710ABB" w:rsidRDefault="008320A3" w:rsidP="008320A3">
      <w:pPr>
        <w:rPr>
          <w:lang w:val="es-ES"/>
        </w:rPr>
      </w:pPr>
      <w:r w:rsidRPr="00710ABB">
        <w:rPr>
          <w:i/>
          <w:iCs/>
          <w:lang w:val="es-ES"/>
        </w:rPr>
        <w:t>j)</w:t>
      </w:r>
      <w:r w:rsidRPr="00710ABB">
        <w:rPr>
          <w:lang w:val="es-ES"/>
        </w:rPr>
        <w:tab/>
      </w:r>
      <w:r w:rsidR="00710ABB" w:rsidRPr="00710ABB">
        <w:rPr>
          <w:lang w:val="es-ES"/>
        </w:rPr>
        <w:t xml:space="preserve">que la componente de satélite de </w:t>
      </w:r>
      <w:r w:rsidR="00710ABB">
        <w:rPr>
          <w:lang w:val="es-ES"/>
        </w:rPr>
        <w:t>las</w:t>
      </w:r>
      <w:r w:rsidRPr="00710ABB">
        <w:rPr>
          <w:lang w:val="es-ES"/>
        </w:rPr>
        <w:t xml:space="preserve"> IMT-2020 </w:t>
      </w:r>
      <w:r w:rsidR="00710ABB">
        <w:rPr>
          <w:lang w:val="es-ES"/>
        </w:rPr>
        <w:t>ofrecerá diversos usos posibles, incluidas variantes de satélite de la banda ancha móvil mejorada, las comunicaciones masivas tipo máquina y comunicaciones ultrafiables y de alta fiabilidad por satélite</w:t>
      </w:r>
      <w:r w:rsidRPr="00710ABB">
        <w:rPr>
          <w:lang w:val="es-ES"/>
        </w:rPr>
        <w:t xml:space="preserve">; </w:t>
      </w:r>
    </w:p>
    <w:p w14:paraId="6B60652A" w14:textId="4635D2D8" w:rsidR="008320A3" w:rsidRPr="00710ABB" w:rsidRDefault="008320A3" w:rsidP="008320A3">
      <w:pPr>
        <w:rPr>
          <w:lang w:val="es-ES"/>
        </w:rPr>
      </w:pPr>
      <w:r w:rsidRPr="00710ABB">
        <w:rPr>
          <w:i/>
          <w:iCs/>
          <w:lang w:val="es-ES"/>
        </w:rPr>
        <w:t>k)</w:t>
      </w:r>
      <w:r w:rsidRPr="00710ABB">
        <w:rPr>
          <w:lang w:val="es-ES"/>
        </w:rPr>
        <w:tab/>
      </w:r>
      <w:r w:rsidR="00710ABB" w:rsidRPr="00710ABB">
        <w:rPr>
          <w:lang w:val="es-ES"/>
        </w:rPr>
        <w:t>que disponer de espectro contiguo para la co</w:t>
      </w:r>
      <w:r w:rsidR="00710ABB">
        <w:rPr>
          <w:lang w:val="es-ES"/>
        </w:rPr>
        <w:t>mponente de satélite de las IMT facilitará una gestión más eficaz del espectro</w:t>
      </w:r>
      <w:r w:rsidRPr="00710ABB">
        <w:rPr>
          <w:lang w:val="es-ES"/>
        </w:rPr>
        <w:t>;</w:t>
      </w:r>
    </w:p>
    <w:p w14:paraId="6C15F0C5" w14:textId="3C4C6544" w:rsidR="008320A3" w:rsidRPr="00710ABB" w:rsidRDefault="008320A3" w:rsidP="008320A3">
      <w:pPr>
        <w:rPr>
          <w:lang w:val="es-ES"/>
        </w:rPr>
      </w:pPr>
      <w:r w:rsidRPr="00710ABB">
        <w:rPr>
          <w:i/>
          <w:iCs/>
          <w:lang w:val="es-ES"/>
        </w:rPr>
        <w:t>l)</w:t>
      </w:r>
      <w:r w:rsidRPr="00710ABB">
        <w:rPr>
          <w:lang w:val="es-ES"/>
        </w:rPr>
        <w:tab/>
      </w:r>
      <w:r w:rsidR="00710ABB" w:rsidRPr="00710ABB">
        <w:rPr>
          <w:lang w:val="es-ES"/>
        </w:rPr>
        <w:t>que el número de sistemas móviles por satélite va en aumento</w:t>
      </w:r>
      <w:r w:rsidR="00710ABB">
        <w:rPr>
          <w:lang w:val="es-ES"/>
        </w:rPr>
        <w:t>,</w:t>
      </w:r>
      <w:r w:rsidR="00710ABB" w:rsidRPr="00710ABB">
        <w:rPr>
          <w:lang w:val="es-ES"/>
        </w:rPr>
        <w:t xml:space="preserve"> a la par que la demanda de</w:t>
      </w:r>
      <w:r w:rsidR="00710ABB">
        <w:rPr>
          <w:lang w:val="es-ES"/>
        </w:rPr>
        <w:t xml:space="preserve"> espectro para atribuciones adecuadas al SMS</w:t>
      </w:r>
      <w:r w:rsidRPr="00710ABB">
        <w:rPr>
          <w:lang w:val="es-ES"/>
        </w:rPr>
        <w:t>;</w:t>
      </w:r>
    </w:p>
    <w:p w14:paraId="20C2A0CB" w14:textId="0EC04512" w:rsidR="008320A3" w:rsidRPr="00710ABB" w:rsidRDefault="008320A3" w:rsidP="008320A3">
      <w:pPr>
        <w:rPr>
          <w:i/>
          <w:iCs/>
          <w:lang w:val="es-ES"/>
        </w:rPr>
      </w:pPr>
      <w:r w:rsidRPr="00710ABB">
        <w:rPr>
          <w:i/>
          <w:iCs/>
          <w:lang w:val="es-ES"/>
        </w:rPr>
        <w:t>m)</w:t>
      </w:r>
      <w:r w:rsidRPr="00710ABB">
        <w:rPr>
          <w:lang w:val="es-ES"/>
        </w:rPr>
        <w:tab/>
      </w:r>
      <w:r w:rsidR="00710ABB" w:rsidRPr="00710ABB">
        <w:rPr>
          <w:lang w:val="es-ES"/>
        </w:rPr>
        <w:t xml:space="preserve">la necesidad de certidumbre en la reglamentación en relación con el espectro disponible para </w:t>
      </w:r>
      <w:r w:rsidR="00710ABB">
        <w:rPr>
          <w:lang w:val="es-ES"/>
        </w:rPr>
        <w:t>el diseño y la planificación de estaciones terrenas y de satélite</w:t>
      </w:r>
      <w:r w:rsidRPr="00710ABB">
        <w:rPr>
          <w:lang w:val="es-ES"/>
        </w:rPr>
        <w:t>,</w:t>
      </w:r>
    </w:p>
    <w:p w14:paraId="659F3C86" w14:textId="1334D21E" w:rsidR="008320A3" w:rsidRPr="008320A3" w:rsidRDefault="008320A3" w:rsidP="008320A3">
      <w:pPr>
        <w:pStyle w:val="Call"/>
        <w:rPr>
          <w:lang w:val="en-US"/>
        </w:rPr>
      </w:pPr>
      <w:r w:rsidRPr="008320A3">
        <w:rPr>
          <w:lang w:val="en-US"/>
        </w:rPr>
        <w:t>o</w:t>
      </w:r>
      <w:r w:rsidR="00710ABB">
        <w:rPr>
          <w:lang w:val="en-US"/>
        </w:rPr>
        <w:t>bservando</w:t>
      </w:r>
    </w:p>
    <w:p w14:paraId="28E1C409" w14:textId="2E99EEA9" w:rsidR="008320A3" w:rsidRPr="008320A3" w:rsidRDefault="008320A3" w:rsidP="008320A3">
      <w:pPr>
        <w:rPr>
          <w:color w:val="000000" w:themeColor="text1"/>
          <w:lang w:val="en-US"/>
        </w:rPr>
      </w:pPr>
      <w:r w:rsidRPr="008320A3">
        <w:rPr>
          <w:i/>
          <w:iCs/>
          <w:color w:val="000000" w:themeColor="text1"/>
          <w:lang w:val="en-US"/>
        </w:rPr>
        <w:t>a)</w:t>
      </w:r>
      <w:r w:rsidRPr="008320A3">
        <w:rPr>
          <w:color w:val="000000" w:themeColor="text1"/>
          <w:lang w:val="en-US"/>
        </w:rPr>
        <w:tab/>
      </w:r>
      <w:r w:rsidR="00710ABB">
        <w:rPr>
          <w:color w:val="000000" w:themeColor="text1"/>
          <w:lang w:val="en-US"/>
        </w:rPr>
        <w:t>la adopción del Informe UIT</w:t>
      </w:r>
      <w:r w:rsidRPr="008320A3">
        <w:rPr>
          <w:lang w:val="en-US"/>
        </w:rPr>
        <w:t>-R M.2514-0</w:t>
      </w:r>
      <w:r w:rsidR="00710ABB">
        <w:rPr>
          <w:lang w:val="en-US"/>
        </w:rPr>
        <w:t>,</w:t>
      </w:r>
      <w:r w:rsidRPr="008320A3">
        <w:rPr>
          <w:lang w:val="en-US"/>
        </w:rPr>
        <w:t xml:space="preserve"> </w:t>
      </w:r>
      <w:r w:rsidR="00C825CC">
        <w:rPr>
          <w:lang w:val="en-US"/>
        </w:rPr>
        <w:t>«</w:t>
      </w:r>
      <w:r w:rsidRPr="008320A3">
        <w:rPr>
          <w:lang w:val="en-US"/>
        </w:rPr>
        <w:t>Vision, requirements and evaluation guidelines for satellite radio interface(s) of IMT-2020</w:t>
      </w:r>
      <w:r w:rsidR="00C825CC">
        <w:rPr>
          <w:lang w:val="en-US"/>
        </w:rPr>
        <w:t>»</w:t>
      </w:r>
      <w:r w:rsidRPr="008320A3">
        <w:rPr>
          <w:color w:val="000000" w:themeColor="text1"/>
          <w:lang w:val="en-US"/>
        </w:rPr>
        <w:t xml:space="preserve">; </w:t>
      </w:r>
    </w:p>
    <w:p w14:paraId="782A6190" w14:textId="491E1C4A" w:rsidR="008320A3" w:rsidRPr="00710ABB" w:rsidRDefault="008320A3" w:rsidP="008320A3">
      <w:pPr>
        <w:rPr>
          <w:lang w:val="es-ES"/>
        </w:rPr>
      </w:pPr>
      <w:r w:rsidRPr="00710ABB">
        <w:rPr>
          <w:i/>
          <w:iCs/>
          <w:lang w:val="es-ES"/>
        </w:rPr>
        <w:t>b)</w:t>
      </w:r>
      <w:r w:rsidRPr="00710ABB">
        <w:rPr>
          <w:lang w:val="es-ES"/>
        </w:rPr>
        <w:tab/>
      </w:r>
      <w:r w:rsidR="00710ABB" w:rsidRPr="00710ABB">
        <w:rPr>
          <w:lang w:val="es-ES"/>
        </w:rPr>
        <w:t>que el UIT-R está aplicando un proceso para evaluar las tecnologías de acceso radioeléctrico que podrían utilizarse para la comp</w:t>
      </w:r>
      <w:r w:rsidR="00710ABB">
        <w:rPr>
          <w:lang w:val="es-ES"/>
        </w:rPr>
        <w:t>onente de satélite de las IMT, cuya finalización se espera para</w:t>
      </w:r>
      <w:r w:rsidRPr="00710ABB">
        <w:rPr>
          <w:lang w:val="es-ES"/>
        </w:rPr>
        <w:t xml:space="preserve"> 2025, </w:t>
      </w:r>
    </w:p>
    <w:p w14:paraId="0CEDB86B" w14:textId="3800DF80" w:rsidR="008320A3" w:rsidRPr="00CF6077" w:rsidRDefault="008320A3" w:rsidP="008320A3">
      <w:pPr>
        <w:pStyle w:val="Call"/>
        <w:rPr>
          <w:lang w:val="es-ES"/>
        </w:rPr>
      </w:pPr>
      <w:r w:rsidRPr="00CF6077">
        <w:rPr>
          <w:lang w:val="es-ES"/>
        </w:rPr>
        <w:t>reco</w:t>
      </w:r>
      <w:r w:rsidR="00710ABB" w:rsidRPr="00CF6077">
        <w:rPr>
          <w:lang w:val="es-ES"/>
        </w:rPr>
        <w:t>nociendo</w:t>
      </w:r>
    </w:p>
    <w:p w14:paraId="16C891F4" w14:textId="65AE12CE" w:rsidR="008320A3" w:rsidRPr="00710ABB" w:rsidRDefault="008320A3" w:rsidP="008320A3">
      <w:pPr>
        <w:rPr>
          <w:lang w:val="es-ES"/>
        </w:rPr>
      </w:pPr>
      <w:r w:rsidRPr="00710ABB">
        <w:rPr>
          <w:i/>
          <w:iCs/>
          <w:lang w:val="es-ES"/>
        </w:rPr>
        <w:t>a)</w:t>
      </w:r>
      <w:r w:rsidRPr="00710ABB">
        <w:rPr>
          <w:lang w:val="es-ES"/>
        </w:rPr>
        <w:tab/>
      </w:r>
      <w:r w:rsidR="00710ABB" w:rsidRPr="00710ABB">
        <w:rPr>
          <w:lang w:val="es-ES"/>
        </w:rPr>
        <w:t>que, de conformidad con el número</w:t>
      </w:r>
      <w:r w:rsidRPr="00710ABB">
        <w:rPr>
          <w:lang w:val="es-ES"/>
        </w:rPr>
        <w:t xml:space="preserve"> </w:t>
      </w:r>
      <w:r w:rsidRPr="00710ABB">
        <w:rPr>
          <w:b/>
          <w:bCs/>
          <w:lang w:val="es-ES"/>
        </w:rPr>
        <w:t>5.388</w:t>
      </w:r>
      <w:r w:rsidR="00710ABB" w:rsidRPr="00710ABB">
        <w:rPr>
          <w:lang w:val="es-ES"/>
        </w:rPr>
        <w:t>, las bandas de frecuencias</w:t>
      </w:r>
      <w:r w:rsidRPr="00710ABB">
        <w:rPr>
          <w:lang w:val="es-ES"/>
        </w:rPr>
        <w:t xml:space="preserve"> 1 885-2 025 MHz </w:t>
      </w:r>
      <w:r w:rsidR="00710ABB" w:rsidRPr="00710ABB">
        <w:rPr>
          <w:lang w:val="es-ES"/>
        </w:rPr>
        <w:t>y</w:t>
      </w:r>
      <w:r w:rsidRPr="00710ABB">
        <w:rPr>
          <w:lang w:val="es-ES"/>
        </w:rPr>
        <w:t xml:space="preserve"> 2 110-2 200 MHz </w:t>
      </w:r>
      <w:r w:rsidR="00710ABB" w:rsidRPr="00710ABB">
        <w:rPr>
          <w:lang w:val="es-ES"/>
        </w:rPr>
        <w:t>están destinad</w:t>
      </w:r>
      <w:r w:rsidR="00710ABB">
        <w:rPr>
          <w:lang w:val="es-ES"/>
        </w:rPr>
        <w:t>as a su utilización, a nivel mundial, por las administraciones que deseen introducir las</w:t>
      </w:r>
      <w:r w:rsidRPr="00710ABB">
        <w:rPr>
          <w:lang w:val="es-ES"/>
        </w:rPr>
        <w:t xml:space="preserve"> IMT. </w:t>
      </w:r>
      <w:r w:rsidR="00710ABB" w:rsidRPr="00710ABB">
        <w:rPr>
          <w:lang w:val="es-ES"/>
        </w:rPr>
        <w:t xml:space="preserve">Dicha utilización no impide la utilización </w:t>
      </w:r>
      <w:r w:rsidR="00E75CB3" w:rsidRPr="00710ABB">
        <w:rPr>
          <w:lang w:val="es-ES"/>
        </w:rPr>
        <w:t>de</w:t>
      </w:r>
      <w:r w:rsidR="00710ABB" w:rsidRPr="00710ABB">
        <w:rPr>
          <w:lang w:val="es-ES"/>
        </w:rPr>
        <w:t xml:space="preserve"> estas bandas de frecuencias por ot</w:t>
      </w:r>
      <w:r w:rsidR="00710ABB">
        <w:rPr>
          <w:lang w:val="es-ES"/>
        </w:rPr>
        <w:t xml:space="preserve">ros servicios a los que están atribuidas. </w:t>
      </w:r>
      <w:r w:rsidR="00710ABB" w:rsidRPr="00710ABB">
        <w:rPr>
          <w:lang w:val="es-ES"/>
        </w:rPr>
        <w:t>Las bandas de frecuencias deben ponerse a disposición de las IMT de acuerdo con lo di</w:t>
      </w:r>
      <w:r w:rsidR="00710ABB">
        <w:rPr>
          <w:lang w:val="es-ES"/>
        </w:rPr>
        <w:t>spuesto en la Resolución</w:t>
      </w:r>
      <w:r w:rsidRPr="00710ABB">
        <w:rPr>
          <w:lang w:val="es-ES"/>
        </w:rPr>
        <w:t xml:space="preserve"> </w:t>
      </w:r>
      <w:r w:rsidRPr="00710ABB">
        <w:rPr>
          <w:b/>
          <w:bCs/>
          <w:lang w:val="es-ES"/>
        </w:rPr>
        <w:t>212 (Rev.C</w:t>
      </w:r>
      <w:r w:rsidR="00710ABB" w:rsidRPr="00710ABB">
        <w:rPr>
          <w:b/>
          <w:bCs/>
          <w:lang w:val="es-ES"/>
        </w:rPr>
        <w:t>M</w:t>
      </w:r>
      <w:r w:rsidR="00710ABB">
        <w:rPr>
          <w:b/>
          <w:bCs/>
          <w:lang w:val="es-ES"/>
        </w:rPr>
        <w:t>R</w:t>
      </w:r>
      <w:r w:rsidRPr="00710ABB">
        <w:rPr>
          <w:b/>
          <w:bCs/>
          <w:lang w:val="es-ES"/>
        </w:rPr>
        <w:t>-19)</w:t>
      </w:r>
      <w:r w:rsidRPr="00710ABB">
        <w:rPr>
          <w:lang w:val="es-ES"/>
        </w:rPr>
        <w:t xml:space="preserve">; </w:t>
      </w:r>
    </w:p>
    <w:p w14:paraId="2793F025" w14:textId="646A3A54" w:rsidR="008320A3" w:rsidRPr="00710ABB" w:rsidRDefault="008320A3" w:rsidP="008320A3">
      <w:pPr>
        <w:rPr>
          <w:lang w:val="es-ES"/>
        </w:rPr>
      </w:pPr>
      <w:r w:rsidRPr="00710ABB">
        <w:rPr>
          <w:i/>
          <w:iCs/>
          <w:lang w:val="es-ES"/>
        </w:rPr>
        <w:t>b)</w:t>
      </w:r>
      <w:r w:rsidRPr="00710ABB">
        <w:rPr>
          <w:lang w:val="es-ES"/>
        </w:rPr>
        <w:tab/>
      </w:r>
      <w:r w:rsidR="00710ABB" w:rsidRPr="00710ABB">
        <w:rPr>
          <w:lang w:val="es-ES"/>
        </w:rPr>
        <w:t>que la banda de frecuencias</w:t>
      </w:r>
      <w:r w:rsidRPr="00710ABB">
        <w:rPr>
          <w:lang w:val="es-ES"/>
        </w:rPr>
        <w:t xml:space="preserve"> 2 010-2 025 MHz </w:t>
      </w:r>
      <w:r w:rsidR="00710ABB" w:rsidRPr="00710ABB">
        <w:rPr>
          <w:lang w:val="es-ES"/>
        </w:rPr>
        <w:t xml:space="preserve">está atribuida al SMS a título primario en </w:t>
      </w:r>
      <w:r w:rsidR="00710ABB">
        <w:rPr>
          <w:lang w:val="es-ES"/>
        </w:rPr>
        <w:t>sentido Tierra-espacio en la Región</w:t>
      </w:r>
      <w:r w:rsidRPr="00710ABB">
        <w:rPr>
          <w:lang w:val="es-ES"/>
        </w:rPr>
        <w:t xml:space="preserve"> 2;</w:t>
      </w:r>
    </w:p>
    <w:p w14:paraId="71707F40" w14:textId="77DD92CD" w:rsidR="008320A3" w:rsidRPr="00710ABB" w:rsidRDefault="008320A3" w:rsidP="008320A3">
      <w:pPr>
        <w:rPr>
          <w:lang w:val="es-ES"/>
        </w:rPr>
      </w:pPr>
      <w:r w:rsidRPr="00710ABB">
        <w:rPr>
          <w:i/>
          <w:iCs/>
          <w:lang w:val="es-ES"/>
        </w:rPr>
        <w:t>c)</w:t>
      </w:r>
      <w:r w:rsidRPr="00710ABB">
        <w:rPr>
          <w:lang w:val="es-ES"/>
        </w:rPr>
        <w:tab/>
      </w:r>
      <w:r w:rsidR="00710ABB" w:rsidRPr="00710ABB">
        <w:rPr>
          <w:lang w:val="es-ES"/>
        </w:rPr>
        <w:t>que la banda de frecuencias</w:t>
      </w:r>
      <w:r w:rsidRPr="00710ABB">
        <w:rPr>
          <w:lang w:val="es-ES"/>
        </w:rPr>
        <w:t xml:space="preserve"> 2 160-2 170 MHz </w:t>
      </w:r>
      <w:r w:rsidR="00710ABB" w:rsidRPr="00710ABB">
        <w:rPr>
          <w:lang w:val="es-ES"/>
        </w:rPr>
        <w:t>está atribuida al SMS a título primario en</w:t>
      </w:r>
      <w:r w:rsidR="00710ABB">
        <w:rPr>
          <w:lang w:val="es-ES"/>
        </w:rPr>
        <w:t xml:space="preserve"> sentido espacio-Tierra en la Región</w:t>
      </w:r>
      <w:r w:rsidRPr="00710ABB">
        <w:rPr>
          <w:lang w:val="es-ES"/>
        </w:rPr>
        <w:t xml:space="preserve"> 2;</w:t>
      </w:r>
    </w:p>
    <w:p w14:paraId="03CEA2DB" w14:textId="3FD3195B" w:rsidR="008320A3" w:rsidRPr="000954B3" w:rsidRDefault="008320A3" w:rsidP="008320A3">
      <w:pPr>
        <w:rPr>
          <w:lang w:val="es-ES"/>
        </w:rPr>
      </w:pPr>
      <w:r w:rsidRPr="000954B3">
        <w:rPr>
          <w:i/>
          <w:iCs/>
          <w:lang w:val="es-ES"/>
        </w:rPr>
        <w:t>d)</w:t>
      </w:r>
      <w:r w:rsidRPr="000954B3">
        <w:rPr>
          <w:lang w:val="es-ES"/>
        </w:rPr>
        <w:tab/>
      </w:r>
      <w:r w:rsidR="000954B3" w:rsidRPr="000954B3">
        <w:rPr>
          <w:lang w:val="es-ES"/>
        </w:rPr>
        <w:t xml:space="preserve">que ya se ha desplegado o se </w:t>
      </w:r>
      <w:r w:rsidR="000954B3">
        <w:rPr>
          <w:lang w:val="es-ES"/>
        </w:rPr>
        <w:t>está considerando</w:t>
      </w:r>
      <w:r w:rsidR="000954B3" w:rsidRPr="000954B3">
        <w:rPr>
          <w:lang w:val="es-ES"/>
        </w:rPr>
        <w:t xml:space="preserve"> desplegar la</w:t>
      </w:r>
      <w:r w:rsidR="000954B3">
        <w:rPr>
          <w:lang w:val="es-ES"/>
        </w:rPr>
        <w:t>s</w:t>
      </w:r>
      <w:r w:rsidR="000954B3" w:rsidRPr="000954B3">
        <w:rPr>
          <w:lang w:val="es-ES"/>
        </w:rPr>
        <w:t xml:space="preserve"> componente</w:t>
      </w:r>
      <w:r w:rsidR="000954B3">
        <w:rPr>
          <w:lang w:val="es-ES"/>
        </w:rPr>
        <w:t>s</w:t>
      </w:r>
      <w:r w:rsidR="000954B3" w:rsidRPr="000954B3">
        <w:rPr>
          <w:lang w:val="es-ES"/>
        </w:rPr>
        <w:t xml:space="preserve"> terrenal</w:t>
      </w:r>
      <w:r w:rsidR="000954B3">
        <w:rPr>
          <w:lang w:val="es-ES"/>
        </w:rPr>
        <w:t xml:space="preserve"> y satelital</w:t>
      </w:r>
      <w:r w:rsidR="000954B3" w:rsidRPr="000954B3">
        <w:rPr>
          <w:lang w:val="es-ES"/>
        </w:rPr>
        <w:t xml:space="preserve"> de las IMT en las bandas de </w:t>
      </w:r>
      <w:r w:rsidR="000954B3">
        <w:rPr>
          <w:lang w:val="es-ES"/>
        </w:rPr>
        <w:t>frecuencias</w:t>
      </w:r>
      <w:r w:rsidRPr="000954B3">
        <w:rPr>
          <w:lang w:val="es-ES"/>
        </w:rPr>
        <w:t xml:space="preserve"> 1 885-2 025 MHz </w:t>
      </w:r>
      <w:r w:rsidR="000954B3">
        <w:rPr>
          <w:lang w:val="es-ES"/>
        </w:rPr>
        <w:t>y</w:t>
      </w:r>
      <w:r w:rsidRPr="000954B3">
        <w:rPr>
          <w:lang w:val="es-ES"/>
        </w:rPr>
        <w:t xml:space="preserve"> 2 110-2 200 MHz; </w:t>
      </w:r>
    </w:p>
    <w:p w14:paraId="294A4E8D" w14:textId="1DE16EB0" w:rsidR="008320A3" w:rsidRPr="000954B3" w:rsidRDefault="008320A3" w:rsidP="008320A3">
      <w:pPr>
        <w:rPr>
          <w:lang w:val="es-ES"/>
        </w:rPr>
      </w:pPr>
      <w:r w:rsidRPr="000954B3">
        <w:rPr>
          <w:i/>
          <w:iCs/>
          <w:lang w:val="es-ES"/>
        </w:rPr>
        <w:t>e)</w:t>
      </w:r>
      <w:r w:rsidRPr="000954B3">
        <w:rPr>
          <w:lang w:val="es-ES"/>
        </w:rPr>
        <w:tab/>
      </w:r>
      <w:r w:rsidR="000954B3" w:rsidRPr="000954B3">
        <w:rPr>
          <w:lang w:val="es-ES"/>
        </w:rPr>
        <w:t>que las bandas de frecuencias</w:t>
      </w:r>
      <w:r w:rsidRPr="000954B3">
        <w:rPr>
          <w:lang w:val="es-ES"/>
        </w:rPr>
        <w:t xml:space="preserve"> 2 010-2 025 MHz, 2 160-2 170 MHz</w:t>
      </w:r>
      <w:r w:rsidR="000954B3" w:rsidRPr="000954B3">
        <w:rPr>
          <w:lang w:val="es-ES"/>
        </w:rPr>
        <w:t xml:space="preserve"> y</w:t>
      </w:r>
      <w:r w:rsidRPr="000954B3">
        <w:rPr>
          <w:lang w:val="es-ES"/>
        </w:rPr>
        <w:t xml:space="preserve"> 2 200-2 215 MHz </w:t>
      </w:r>
      <w:r w:rsidR="000954B3" w:rsidRPr="000954B3">
        <w:rPr>
          <w:lang w:val="es-ES"/>
        </w:rPr>
        <w:t>son adyacentes a bandas atribuidas al servicio móvil por satélite a tí</w:t>
      </w:r>
      <w:r w:rsidR="000954B3">
        <w:rPr>
          <w:lang w:val="es-ES"/>
        </w:rPr>
        <w:t>tulo primario e identificadas para la componente de satélite de las</w:t>
      </w:r>
      <w:r w:rsidRPr="000954B3">
        <w:rPr>
          <w:lang w:val="es-ES"/>
        </w:rPr>
        <w:t xml:space="preserve"> IMT-2020; </w:t>
      </w:r>
    </w:p>
    <w:p w14:paraId="22B44A65" w14:textId="530E13A3" w:rsidR="008320A3" w:rsidRPr="000954B3" w:rsidRDefault="008320A3" w:rsidP="008320A3">
      <w:pPr>
        <w:rPr>
          <w:lang w:val="es-ES"/>
        </w:rPr>
      </w:pPr>
      <w:r w:rsidRPr="000954B3">
        <w:rPr>
          <w:i/>
          <w:iCs/>
          <w:lang w:val="es-ES"/>
        </w:rPr>
        <w:t>f)</w:t>
      </w:r>
      <w:r w:rsidRPr="000954B3">
        <w:rPr>
          <w:lang w:val="es-ES"/>
        </w:rPr>
        <w:tab/>
      </w:r>
      <w:r w:rsidR="000954B3" w:rsidRPr="0008604B">
        <w:t>que la introducción de aplicaciones en las posibles nuevas atribuciones al SMS no debe imponer restricciones a otros servicios primarios con atribuciones existentes en las bandas de frecuencias consideradas y en las bandas de frecuencias adyacentes, que funcionan de conformidad con el Reglamento de Radiocomunicaciones</w:t>
      </w:r>
      <w:r w:rsidRPr="000954B3">
        <w:rPr>
          <w:lang w:val="es-ES"/>
        </w:rPr>
        <w:t>,</w:t>
      </w:r>
    </w:p>
    <w:p w14:paraId="7996CFFE" w14:textId="166C970A" w:rsidR="008320A3" w:rsidRPr="000954B3" w:rsidRDefault="008320A3" w:rsidP="008320A3">
      <w:pPr>
        <w:pStyle w:val="Call"/>
        <w:rPr>
          <w:lang w:val="es-ES"/>
        </w:rPr>
      </w:pPr>
      <w:r w:rsidRPr="000954B3">
        <w:rPr>
          <w:lang w:val="es-ES"/>
        </w:rPr>
        <w:lastRenderedPageBreak/>
        <w:t>res</w:t>
      </w:r>
      <w:r w:rsidR="000954B3" w:rsidRPr="000954B3">
        <w:rPr>
          <w:lang w:val="es-ES"/>
        </w:rPr>
        <w:t>ue</w:t>
      </w:r>
      <w:r w:rsidRPr="000954B3">
        <w:rPr>
          <w:lang w:val="es-ES"/>
        </w:rPr>
        <w:t>lve</w:t>
      </w:r>
      <w:r w:rsidR="000954B3" w:rsidRPr="000954B3">
        <w:rPr>
          <w:lang w:val="es-ES"/>
        </w:rPr>
        <w:t xml:space="preserve"> invitar al Sector de Radiocomunicacio</w:t>
      </w:r>
      <w:r w:rsidR="000954B3">
        <w:rPr>
          <w:lang w:val="es-ES"/>
        </w:rPr>
        <w:t>nes de la UIT</w:t>
      </w:r>
      <w:r w:rsidRPr="000954B3">
        <w:rPr>
          <w:lang w:val="es-ES"/>
        </w:rPr>
        <w:t xml:space="preserve"> </w:t>
      </w:r>
    </w:p>
    <w:p w14:paraId="29B6322B" w14:textId="2B5EFEAE" w:rsidR="008320A3" w:rsidRPr="000954B3" w:rsidRDefault="008320A3" w:rsidP="008320A3">
      <w:pPr>
        <w:rPr>
          <w:lang w:val="es-ES"/>
        </w:rPr>
      </w:pPr>
      <w:r w:rsidRPr="000954B3">
        <w:rPr>
          <w:color w:val="000000" w:themeColor="text1"/>
          <w:lang w:val="es-ES"/>
        </w:rPr>
        <w:t>1</w:t>
      </w:r>
      <w:r w:rsidRPr="000954B3">
        <w:rPr>
          <w:color w:val="000000" w:themeColor="text1"/>
          <w:lang w:val="es-ES"/>
        </w:rPr>
        <w:tab/>
      </w:r>
      <w:r w:rsidR="000954B3" w:rsidRPr="00C825CC">
        <w:t xml:space="preserve">a realizar y completar a tiempo para la CMR-27 los estudios adecuados sobre las cuestiones </w:t>
      </w:r>
      <w:r w:rsidR="000954B3" w:rsidRPr="00C825CC">
        <w:rPr>
          <w:lang w:val="es-ES"/>
        </w:rPr>
        <w:t>técnicas</w:t>
      </w:r>
      <w:r w:rsidR="000954B3" w:rsidRPr="00C825CC">
        <w:t>, operativas y reglamentarias relativas a la posible utilización de la componente de satélite de las IMT en las bandas de frecuencias</w:t>
      </w:r>
      <w:r w:rsidRPr="00C825CC">
        <w:t xml:space="preserve"> 2 010-2 025 MHz (Region</w:t>
      </w:r>
      <w:r w:rsidR="000954B3" w:rsidRPr="00C825CC">
        <w:t>e</w:t>
      </w:r>
      <w:r w:rsidRPr="00C825CC">
        <w:t xml:space="preserve">s 1 </w:t>
      </w:r>
      <w:r w:rsidR="000954B3" w:rsidRPr="00C825CC">
        <w:t>y</w:t>
      </w:r>
      <w:r w:rsidRPr="00C825CC">
        <w:t xml:space="preserve"> 3), 2 160-2 170 MHz (Region</w:t>
      </w:r>
      <w:r w:rsidR="000954B3" w:rsidRPr="00C825CC">
        <w:t>e</w:t>
      </w:r>
      <w:r w:rsidRPr="00C825CC">
        <w:t xml:space="preserve">s 1 </w:t>
      </w:r>
      <w:r w:rsidR="000954B3" w:rsidRPr="00C825CC">
        <w:t>y</w:t>
      </w:r>
      <w:r w:rsidRPr="00C825CC">
        <w:t xml:space="preserve"> 3)</w:t>
      </w:r>
      <w:r w:rsidR="000954B3" w:rsidRPr="00C825CC">
        <w:t xml:space="preserve"> y</w:t>
      </w:r>
      <w:r w:rsidRPr="00C825CC">
        <w:t xml:space="preserve"> 2 200-2 215 MHz</w:t>
      </w:r>
      <w:r w:rsidR="000954B3" w:rsidRPr="00C825CC">
        <w:t>, teniendo en cuenta</w:t>
      </w:r>
      <w:r w:rsidRPr="00C825CC">
        <w:t>:</w:t>
      </w:r>
      <w:r w:rsidRPr="000954B3">
        <w:rPr>
          <w:lang w:val="es-ES"/>
        </w:rPr>
        <w:t xml:space="preserve"> </w:t>
      </w:r>
    </w:p>
    <w:p w14:paraId="4DAF6EDE" w14:textId="0F7B22E5" w:rsidR="008320A3" w:rsidRPr="000954B3" w:rsidRDefault="008320A3" w:rsidP="008320A3">
      <w:pPr>
        <w:pStyle w:val="enumlev1"/>
        <w:rPr>
          <w:lang w:val="es-ES"/>
        </w:rPr>
      </w:pPr>
      <w:r w:rsidRPr="000954B3">
        <w:rPr>
          <w:lang w:val="es-ES"/>
        </w:rPr>
        <w:t>-</w:t>
      </w:r>
      <w:r w:rsidRPr="000954B3">
        <w:rPr>
          <w:lang w:val="es-ES"/>
        </w:rPr>
        <w:tab/>
      </w:r>
      <w:r w:rsidR="000954B3" w:rsidRPr="000954B3">
        <w:rPr>
          <w:lang w:val="es-ES"/>
        </w:rPr>
        <w:t xml:space="preserve">la evolución de las necesidades para atender la </w:t>
      </w:r>
      <w:r w:rsidR="000954B3">
        <w:rPr>
          <w:lang w:val="es-ES"/>
        </w:rPr>
        <w:t>nueva demanda para la componente satelital de las</w:t>
      </w:r>
      <w:r w:rsidRPr="000954B3">
        <w:rPr>
          <w:lang w:val="es-ES"/>
        </w:rPr>
        <w:t xml:space="preserve"> IMT-2020; </w:t>
      </w:r>
    </w:p>
    <w:p w14:paraId="5E3D0CEB" w14:textId="5C18F535" w:rsidR="008320A3" w:rsidRPr="000954B3" w:rsidRDefault="008320A3" w:rsidP="008320A3">
      <w:pPr>
        <w:pStyle w:val="enumlev1"/>
        <w:rPr>
          <w:lang w:val="es-ES"/>
        </w:rPr>
      </w:pPr>
      <w:r w:rsidRPr="000954B3">
        <w:rPr>
          <w:lang w:val="es-ES"/>
        </w:rPr>
        <w:t>-</w:t>
      </w:r>
      <w:r w:rsidRPr="000954B3">
        <w:rPr>
          <w:lang w:val="es-ES"/>
        </w:rPr>
        <w:tab/>
      </w:r>
      <w:r w:rsidR="000954B3" w:rsidRPr="000954B3">
        <w:rPr>
          <w:lang w:val="es-ES"/>
        </w:rPr>
        <w:t>las características técnicas y operativas de los sistemas</w:t>
      </w:r>
      <w:r w:rsidRPr="000954B3">
        <w:rPr>
          <w:lang w:val="es-ES"/>
        </w:rPr>
        <w:t xml:space="preserve"> IMT-2020 </w:t>
      </w:r>
      <w:r w:rsidR="000954B3" w:rsidRPr="000954B3">
        <w:rPr>
          <w:lang w:val="es-ES"/>
        </w:rPr>
        <w:t>por satélite que funcionarán en estas bandas de frecuencias específic</w:t>
      </w:r>
      <w:r w:rsidR="000954B3">
        <w:rPr>
          <w:lang w:val="es-ES"/>
        </w:rPr>
        <w:t>as y, en particular, la evolución de las</w:t>
      </w:r>
      <w:r w:rsidRPr="000954B3">
        <w:rPr>
          <w:lang w:val="es-ES"/>
        </w:rPr>
        <w:t xml:space="preserve"> IMT-2020 </w:t>
      </w:r>
      <w:r w:rsidR="000954B3">
        <w:rPr>
          <w:lang w:val="es-ES"/>
        </w:rPr>
        <w:t>por satélite gracias a los adelantos tecnológicos y a las técnicas de eficiencia espectral</w:t>
      </w:r>
      <w:r w:rsidRPr="000954B3">
        <w:rPr>
          <w:lang w:val="es-ES"/>
        </w:rPr>
        <w:t xml:space="preserve">; </w:t>
      </w:r>
    </w:p>
    <w:p w14:paraId="67257E24" w14:textId="495114A3" w:rsidR="008320A3" w:rsidRPr="000954B3" w:rsidRDefault="008320A3" w:rsidP="008320A3">
      <w:pPr>
        <w:pStyle w:val="enumlev1"/>
        <w:rPr>
          <w:lang w:val="es-ES"/>
        </w:rPr>
      </w:pPr>
      <w:r w:rsidRPr="000954B3">
        <w:rPr>
          <w:lang w:val="es-ES"/>
        </w:rPr>
        <w:t>-</w:t>
      </w:r>
      <w:r w:rsidRPr="000954B3">
        <w:rPr>
          <w:lang w:val="es-ES"/>
        </w:rPr>
        <w:tab/>
      </w:r>
      <w:r w:rsidR="000954B3" w:rsidRPr="000954B3">
        <w:rPr>
          <w:lang w:val="es-ES"/>
        </w:rPr>
        <w:t xml:space="preserve">los casos de despliegue previstos de los sistemas </w:t>
      </w:r>
      <w:r w:rsidRPr="000954B3">
        <w:rPr>
          <w:lang w:val="es-ES"/>
        </w:rPr>
        <w:t xml:space="preserve">IMT-2020 </w:t>
      </w:r>
      <w:r w:rsidR="000954B3" w:rsidRPr="000954B3">
        <w:rPr>
          <w:lang w:val="es-ES"/>
        </w:rPr>
        <w:t xml:space="preserve">por satélite </w:t>
      </w:r>
      <w:r w:rsidR="000954B3">
        <w:rPr>
          <w:lang w:val="es-ES"/>
        </w:rPr>
        <w:t>y los requisitos conexos de capacidad y cobertura</w:t>
      </w:r>
      <w:r w:rsidRPr="000954B3">
        <w:rPr>
          <w:lang w:val="es-ES"/>
        </w:rPr>
        <w:t xml:space="preserve">; </w:t>
      </w:r>
    </w:p>
    <w:p w14:paraId="24652510" w14:textId="234A769B" w:rsidR="008320A3" w:rsidRPr="000954B3" w:rsidRDefault="008320A3" w:rsidP="008320A3">
      <w:pPr>
        <w:pStyle w:val="enumlev1"/>
        <w:rPr>
          <w:lang w:val="es-ES"/>
        </w:rPr>
      </w:pPr>
      <w:r w:rsidRPr="000954B3">
        <w:rPr>
          <w:lang w:val="es-ES"/>
        </w:rPr>
        <w:t>-</w:t>
      </w:r>
      <w:r w:rsidRPr="000954B3">
        <w:rPr>
          <w:lang w:val="es-ES"/>
        </w:rPr>
        <w:tab/>
      </w:r>
      <w:r w:rsidR="000954B3" w:rsidRPr="000954B3">
        <w:rPr>
          <w:lang w:val="es-ES"/>
        </w:rPr>
        <w:t>las necesidades de los países en desarr</w:t>
      </w:r>
      <w:r w:rsidR="000954B3">
        <w:rPr>
          <w:lang w:val="es-ES"/>
        </w:rPr>
        <w:t>ollo</w:t>
      </w:r>
      <w:r w:rsidRPr="000954B3">
        <w:rPr>
          <w:lang w:val="es-ES"/>
        </w:rPr>
        <w:t>;</w:t>
      </w:r>
    </w:p>
    <w:p w14:paraId="574BA590" w14:textId="20243FC5" w:rsidR="008320A3" w:rsidRPr="000954B3" w:rsidRDefault="008320A3" w:rsidP="008320A3">
      <w:pPr>
        <w:pStyle w:val="enumlev1"/>
        <w:rPr>
          <w:lang w:val="es-ES"/>
        </w:rPr>
      </w:pPr>
      <w:r w:rsidRPr="000954B3">
        <w:rPr>
          <w:lang w:val="es-ES"/>
        </w:rPr>
        <w:t>-</w:t>
      </w:r>
      <w:r w:rsidRPr="000954B3">
        <w:rPr>
          <w:lang w:val="es-ES"/>
        </w:rPr>
        <w:tab/>
      </w:r>
      <w:r w:rsidR="000954B3" w:rsidRPr="000954B3">
        <w:rPr>
          <w:lang w:val="es-ES"/>
        </w:rPr>
        <w:t xml:space="preserve">el periodo de tiempo en el que se necesitará el </w:t>
      </w:r>
      <w:r w:rsidR="000954B3">
        <w:rPr>
          <w:lang w:val="es-ES"/>
        </w:rPr>
        <w:t>espectro</w:t>
      </w:r>
      <w:r w:rsidRPr="000954B3">
        <w:rPr>
          <w:lang w:val="es-ES"/>
        </w:rPr>
        <w:t>;</w:t>
      </w:r>
    </w:p>
    <w:p w14:paraId="0C1B5B7C" w14:textId="5D639E96" w:rsidR="008320A3" w:rsidRPr="000954B3" w:rsidRDefault="008320A3" w:rsidP="008320A3">
      <w:pPr>
        <w:rPr>
          <w:color w:val="000000" w:themeColor="text1"/>
          <w:lang w:val="es-ES"/>
        </w:rPr>
      </w:pPr>
      <w:r w:rsidRPr="000954B3">
        <w:rPr>
          <w:color w:val="000000" w:themeColor="text1"/>
          <w:lang w:val="es-ES"/>
        </w:rPr>
        <w:t>2</w:t>
      </w:r>
      <w:r w:rsidRPr="000954B3">
        <w:rPr>
          <w:color w:val="000000" w:themeColor="text1"/>
          <w:lang w:val="es-ES"/>
        </w:rPr>
        <w:tab/>
      </w:r>
      <w:r w:rsidR="000954B3" w:rsidRPr="000954B3">
        <w:rPr>
          <w:color w:val="000000" w:themeColor="text1"/>
          <w:lang w:val="es-ES"/>
        </w:rPr>
        <w:t xml:space="preserve">a realizar y completar a tiempo para la CMR-27 los estudios de compartición y compatibilidad </w:t>
      </w:r>
      <w:r w:rsidR="000954B3" w:rsidRPr="00C825CC">
        <w:rPr>
          <w:lang w:val="es-ES"/>
        </w:rPr>
        <w:t>convenientes</w:t>
      </w:r>
      <w:r w:rsidR="000954B3" w:rsidRPr="000954B3">
        <w:rPr>
          <w:color w:val="000000" w:themeColor="text1"/>
          <w:lang w:val="es-ES"/>
        </w:rPr>
        <w:t xml:space="preserve"> a fin de garantizar la protección de los servicios existentes a los que están atribuidas a título primario las bandas de </w:t>
      </w:r>
      <w:r w:rsidR="000954B3">
        <w:rPr>
          <w:color w:val="000000" w:themeColor="text1"/>
          <w:lang w:val="es-ES"/>
        </w:rPr>
        <w:t>frecuencias</w:t>
      </w:r>
      <w:r w:rsidRPr="000954B3">
        <w:rPr>
          <w:lang w:val="es-ES"/>
        </w:rPr>
        <w:t xml:space="preserve"> 2 010-2 025 MHz (Region</w:t>
      </w:r>
      <w:r w:rsidR="000954B3">
        <w:rPr>
          <w:lang w:val="es-ES"/>
        </w:rPr>
        <w:t>e</w:t>
      </w:r>
      <w:r w:rsidRPr="000954B3">
        <w:rPr>
          <w:lang w:val="es-ES"/>
        </w:rPr>
        <w:t xml:space="preserve">s 1 </w:t>
      </w:r>
      <w:r w:rsidR="000954B3">
        <w:rPr>
          <w:lang w:val="es-ES"/>
        </w:rPr>
        <w:t>y</w:t>
      </w:r>
      <w:r w:rsidRPr="000954B3">
        <w:rPr>
          <w:lang w:val="es-ES"/>
        </w:rPr>
        <w:t xml:space="preserve"> 3), 2</w:t>
      </w:r>
      <w:r w:rsidR="00C825CC">
        <w:rPr>
          <w:lang w:val="es-ES"/>
        </w:rPr>
        <w:t> </w:t>
      </w:r>
      <w:r w:rsidRPr="000954B3">
        <w:rPr>
          <w:lang w:val="es-ES"/>
        </w:rPr>
        <w:t>160-2 170 MHz</w:t>
      </w:r>
      <w:r w:rsidR="000954B3">
        <w:rPr>
          <w:lang w:val="es-ES"/>
        </w:rPr>
        <w:t xml:space="preserve"> y</w:t>
      </w:r>
      <w:r w:rsidRPr="000954B3">
        <w:rPr>
          <w:lang w:val="es-ES"/>
        </w:rPr>
        <w:t xml:space="preserve"> 2 200-2 215 MHz (Region</w:t>
      </w:r>
      <w:r w:rsidR="000954B3">
        <w:rPr>
          <w:lang w:val="es-ES"/>
        </w:rPr>
        <w:t>e</w:t>
      </w:r>
      <w:r w:rsidRPr="000954B3">
        <w:rPr>
          <w:lang w:val="es-ES"/>
        </w:rPr>
        <w:t xml:space="preserve">s 1 </w:t>
      </w:r>
      <w:r w:rsidR="000954B3">
        <w:rPr>
          <w:lang w:val="es-ES"/>
        </w:rPr>
        <w:t>y</w:t>
      </w:r>
      <w:r w:rsidRPr="000954B3">
        <w:rPr>
          <w:lang w:val="es-ES"/>
        </w:rPr>
        <w:t xml:space="preserve"> 3),</w:t>
      </w:r>
      <w:r w:rsidRPr="000954B3">
        <w:rPr>
          <w:color w:val="000000" w:themeColor="text1"/>
          <w:lang w:val="es-ES"/>
        </w:rPr>
        <w:t xml:space="preserve"> </w:t>
      </w:r>
      <w:r w:rsidR="000954B3">
        <w:rPr>
          <w:color w:val="000000" w:themeColor="text1"/>
          <w:lang w:val="es-ES"/>
        </w:rPr>
        <w:t>y también, según proceda, las bandas de frecuencias adyacentes</w:t>
      </w:r>
      <w:r w:rsidRPr="000954B3">
        <w:rPr>
          <w:lang w:val="es-ES"/>
        </w:rPr>
        <w:t>,</w:t>
      </w:r>
      <w:r w:rsidRPr="000954B3">
        <w:rPr>
          <w:color w:val="000000" w:themeColor="text1"/>
          <w:lang w:val="es-ES"/>
        </w:rPr>
        <w:t xml:space="preserve"> </w:t>
      </w:r>
    </w:p>
    <w:p w14:paraId="1091532E" w14:textId="682D8406" w:rsidR="008320A3" w:rsidRPr="004E6AB5" w:rsidRDefault="008320A3" w:rsidP="008320A3">
      <w:pPr>
        <w:pStyle w:val="Call"/>
        <w:rPr>
          <w:lang w:val="es-ES"/>
        </w:rPr>
      </w:pPr>
      <w:r w:rsidRPr="004E6AB5">
        <w:rPr>
          <w:lang w:val="es-ES"/>
        </w:rPr>
        <w:t>res</w:t>
      </w:r>
      <w:r w:rsidR="000954B3" w:rsidRPr="004E6AB5">
        <w:rPr>
          <w:lang w:val="es-ES"/>
        </w:rPr>
        <w:t>ue</w:t>
      </w:r>
      <w:r w:rsidRPr="004E6AB5">
        <w:rPr>
          <w:lang w:val="es-ES"/>
        </w:rPr>
        <w:t>lve</w:t>
      </w:r>
    </w:p>
    <w:p w14:paraId="3230C8DB" w14:textId="159F2198" w:rsidR="008320A3" w:rsidRPr="000954B3" w:rsidRDefault="000954B3" w:rsidP="008320A3">
      <w:pPr>
        <w:rPr>
          <w:lang w:val="es-ES"/>
        </w:rPr>
      </w:pPr>
      <w:r w:rsidRPr="000954B3">
        <w:rPr>
          <w:lang w:val="es-ES"/>
        </w:rPr>
        <w:t>invitar a la CMR-27 a considerar, basándose en los resultados de los estudios mencionados, la posibilidad de otorgar atribuciones de espectr</w:t>
      </w:r>
      <w:r>
        <w:rPr>
          <w:lang w:val="es-ES"/>
        </w:rPr>
        <w:t>o</w:t>
      </w:r>
      <w:r w:rsidRPr="000954B3">
        <w:rPr>
          <w:lang w:val="es-ES"/>
        </w:rPr>
        <w:t xml:space="preserve"> adicionales al servicio móvil por satélite a título primario y a considerar la posibilidad de identificar las bandas de frecuencias para la componente satelital de </w:t>
      </w:r>
      <w:r>
        <w:rPr>
          <w:lang w:val="es-ES"/>
        </w:rPr>
        <w:t>las</w:t>
      </w:r>
      <w:r w:rsidR="008320A3" w:rsidRPr="000954B3">
        <w:rPr>
          <w:lang w:val="es-ES"/>
        </w:rPr>
        <w:t xml:space="preserve"> IMT-2020, </w:t>
      </w:r>
    </w:p>
    <w:p w14:paraId="1496356E" w14:textId="4F5A8E14" w:rsidR="008320A3" w:rsidRPr="00EF6C3B" w:rsidRDefault="008320A3" w:rsidP="008320A3">
      <w:pPr>
        <w:pStyle w:val="Call"/>
      </w:pPr>
      <w:r w:rsidRPr="00EF6C3B">
        <w:t>invit</w:t>
      </w:r>
      <w:r w:rsidR="000954B3">
        <w:t>a</w:t>
      </w:r>
      <w:r w:rsidRPr="00EF6C3B">
        <w:t xml:space="preserve"> </w:t>
      </w:r>
      <w:r w:rsidR="000954B3">
        <w:t>a las administraciones</w:t>
      </w:r>
    </w:p>
    <w:p w14:paraId="618C7575" w14:textId="48893CF7" w:rsidR="008320A3" w:rsidRPr="000954B3" w:rsidRDefault="000954B3" w:rsidP="008320A3">
      <w:r w:rsidRPr="000954B3">
        <w:t>a participar activamente en dichos estudios, presentando contribuciones al</w:t>
      </w:r>
      <w:r>
        <w:t xml:space="preserve"> Sector de Radiocomunicaciones de la UIT</w:t>
      </w:r>
      <w:r w:rsidR="008320A3" w:rsidRPr="000954B3">
        <w:t>.</w:t>
      </w:r>
    </w:p>
    <w:p w14:paraId="6482E1B1" w14:textId="77777777" w:rsidR="008320A3" w:rsidRPr="000954B3" w:rsidRDefault="008320A3" w:rsidP="00CF6077"/>
    <w:p w14:paraId="0C193B7D" w14:textId="77777777" w:rsidR="008320A3" w:rsidRPr="000954B3" w:rsidRDefault="008320A3" w:rsidP="008320A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954B3">
        <w:br w:type="page"/>
      </w:r>
    </w:p>
    <w:p w14:paraId="3F0BEB60" w14:textId="0A231F60" w:rsidR="008320A3" w:rsidRPr="004E6AB5" w:rsidRDefault="008320A3" w:rsidP="008320A3">
      <w:pPr>
        <w:pStyle w:val="AnnexNo"/>
        <w:rPr>
          <w:rFonts w:ascii="TimesNewRomanPSMT" w:hAnsi="TimesNewRomanPSMT"/>
          <w:lang w:val="es-ES"/>
        </w:rPr>
      </w:pPr>
      <w:r w:rsidRPr="004E6AB5">
        <w:rPr>
          <w:lang w:val="es-ES"/>
        </w:rPr>
        <w:lastRenderedPageBreak/>
        <w:t>ANEX</w:t>
      </w:r>
      <w:r w:rsidR="00B149CE" w:rsidRPr="004E6AB5">
        <w:rPr>
          <w:lang w:val="es-ES"/>
        </w:rPr>
        <w:t>o</w:t>
      </w:r>
    </w:p>
    <w:p w14:paraId="475187DC" w14:textId="489B889E" w:rsidR="008320A3" w:rsidRPr="00B149CE" w:rsidRDefault="00B149CE" w:rsidP="008320A3">
      <w:pPr>
        <w:pStyle w:val="Annextitle"/>
        <w:rPr>
          <w:lang w:val="es-ES"/>
        </w:rPr>
      </w:pPr>
      <w:r w:rsidRPr="00B149CE">
        <w:rPr>
          <w:lang w:val="es-ES"/>
        </w:rPr>
        <w:t>Modelo para la presentación de propuestas de puntos</w:t>
      </w:r>
      <w:r>
        <w:rPr>
          <w:lang w:val="es-ES"/>
        </w:rPr>
        <w:t xml:space="preserve"> del orden del día</w:t>
      </w: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845"/>
        <w:gridCol w:w="4785"/>
      </w:tblGrid>
      <w:tr w:rsidR="008320A3" w:rsidRPr="00B149CE" w14:paraId="2E834D88" w14:textId="77777777" w:rsidTr="00160976">
        <w:trPr>
          <w:trHeight w:val="300"/>
        </w:trPr>
        <w:tc>
          <w:tcPr>
            <w:tcW w:w="9630" w:type="dxa"/>
            <w:gridSpan w:val="2"/>
            <w:tcMar>
              <w:left w:w="108" w:type="dxa"/>
              <w:right w:w="108" w:type="dxa"/>
            </w:tcMar>
          </w:tcPr>
          <w:p w14:paraId="1DD5CF6D" w14:textId="1429EBBB" w:rsidR="008320A3" w:rsidRPr="00B149CE" w:rsidRDefault="00B149CE" w:rsidP="00160976">
            <w:pPr>
              <w:rPr>
                <w:lang w:val="es-ES"/>
              </w:rPr>
            </w:pPr>
            <w:r w:rsidRPr="00B149CE">
              <w:rPr>
                <w:b/>
                <w:bCs/>
                <w:szCs w:val="24"/>
                <w:lang w:val="es-ES"/>
              </w:rPr>
              <w:t>Asunto</w:t>
            </w:r>
            <w:r w:rsidR="008320A3" w:rsidRPr="00B149CE">
              <w:rPr>
                <w:b/>
                <w:bCs/>
                <w:szCs w:val="24"/>
                <w:lang w:val="es-ES"/>
              </w:rPr>
              <w:t>:</w:t>
            </w:r>
            <w:r w:rsidR="008320A3" w:rsidRPr="00B149CE">
              <w:rPr>
                <w:lang w:val="es-ES"/>
              </w:rPr>
              <w:t xml:space="preserve"> </w:t>
            </w:r>
            <w:r w:rsidRPr="00B149CE">
              <w:rPr>
                <w:lang w:val="es-ES"/>
              </w:rPr>
              <w:t xml:space="preserve">Atribuciones al servicio móvil por satélite armonizadas en todo el </w:t>
            </w:r>
            <w:r>
              <w:rPr>
                <w:lang w:val="es-ES"/>
              </w:rPr>
              <w:t>mundo para la componente de satélite de las Telecomunicaciones Móviles Internacionales</w:t>
            </w:r>
            <w:r w:rsidR="008320A3" w:rsidRPr="00B149CE">
              <w:rPr>
                <w:lang w:val="es-ES"/>
              </w:rPr>
              <w:t xml:space="preserve"> (IMT) </w:t>
            </w:r>
            <w:r>
              <w:rPr>
                <w:lang w:val="es-ES"/>
              </w:rPr>
              <w:t>en la banda S</w:t>
            </w:r>
            <w:r w:rsidR="004F6D7F">
              <w:rPr>
                <w:lang w:val="es-ES"/>
              </w:rPr>
              <w:t> </w:t>
            </w:r>
            <w:r>
              <w:rPr>
                <w:lang w:val="es-ES"/>
              </w:rPr>
              <w:t xml:space="preserve">de </w:t>
            </w:r>
            <w:r w:rsidR="008320A3" w:rsidRPr="00B149CE">
              <w:rPr>
                <w:lang w:val="es-ES"/>
              </w:rPr>
              <w:t>2 GHz</w:t>
            </w:r>
          </w:p>
        </w:tc>
      </w:tr>
      <w:tr w:rsidR="008320A3" w:rsidRPr="00EF6C3B" w14:paraId="4D7C1F51" w14:textId="77777777" w:rsidTr="00160976">
        <w:trPr>
          <w:trHeight w:val="300"/>
        </w:trPr>
        <w:tc>
          <w:tcPr>
            <w:tcW w:w="9630" w:type="dxa"/>
            <w:gridSpan w:val="2"/>
            <w:tcBorders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7E423870" w14:textId="0598711E" w:rsidR="008320A3" w:rsidRPr="00EF6C3B" w:rsidRDefault="008320A3" w:rsidP="00160976">
            <w:pPr>
              <w:rPr>
                <w:rFonts w:ascii="TimesNewRomanPSMT" w:hAnsi="TimesNewRomanPSMT"/>
              </w:rPr>
            </w:pPr>
            <w:r w:rsidRPr="00EF6C3B">
              <w:rPr>
                <w:b/>
                <w:bCs/>
                <w:szCs w:val="24"/>
              </w:rPr>
              <w:t>Orig</w:t>
            </w:r>
            <w:r w:rsidR="00B149CE">
              <w:rPr>
                <w:b/>
                <w:bCs/>
                <w:szCs w:val="24"/>
              </w:rPr>
              <w:t>e</w:t>
            </w:r>
            <w:r w:rsidRPr="00EF6C3B">
              <w:rPr>
                <w:b/>
                <w:bCs/>
                <w:szCs w:val="24"/>
              </w:rPr>
              <w:t>n:</w:t>
            </w:r>
            <w:r w:rsidRPr="00EF6C3B">
              <w:rPr>
                <w:rFonts w:ascii="TimesNewRomanPSMT" w:hAnsi="TimesNewRomanPSMT"/>
              </w:rPr>
              <w:t xml:space="preserve"> </w:t>
            </w:r>
            <w:r w:rsidR="00B149CE">
              <w:rPr>
                <w:rFonts w:ascii="TimesNewRomanPSMT" w:hAnsi="TimesNewRomanPSMT"/>
              </w:rPr>
              <w:t>Por determinar</w:t>
            </w:r>
          </w:p>
        </w:tc>
      </w:tr>
      <w:tr w:rsidR="008320A3" w:rsidRPr="00B149CE" w14:paraId="42EDC3ED" w14:textId="77777777" w:rsidTr="00160976">
        <w:trPr>
          <w:trHeight w:val="300"/>
        </w:trPr>
        <w:tc>
          <w:tcPr>
            <w:tcW w:w="9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2DCA3F5E" w14:textId="065A0827" w:rsidR="008320A3" w:rsidRPr="00C52761" w:rsidRDefault="008320A3" w:rsidP="00160976">
            <w:r w:rsidRPr="00B149CE">
              <w:rPr>
                <w:b/>
                <w:bCs/>
                <w:i/>
                <w:iCs/>
                <w:color w:val="000000" w:themeColor="text1"/>
                <w:szCs w:val="24"/>
              </w:rPr>
              <w:t>Prop</w:t>
            </w:r>
            <w:r w:rsidR="00B149CE" w:rsidRPr="00B149CE">
              <w:rPr>
                <w:b/>
                <w:bCs/>
                <w:i/>
                <w:iCs/>
                <w:color w:val="000000" w:themeColor="text1"/>
                <w:szCs w:val="24"/>
              </w:rPr>
              <w:t>uesta</w:t>
            </w:r>
            <w:r w:rsidRPr="00B149CE">
              <w:rPr>
                <w:b/>
                <w:bCs/>
                <w:color w:val="000000" w:themeColor="text1"/>
                <w:szCs w:val="24"/>
              </w:rPr>
              <w:t>:</w:t>
            </w:r>
            <w:r w:rsidRPr="00B149CE">
              <w:t xml:space="preserve"> </w:t>
            </w:r>
            <w:r w:rsidR="00B149CE" w:rsidRPr="00B149CE">
              <w:t>Considerar la atribución y armonización mundial de las bandas de frecuencias</w:t>
            </w:r>
            <w:r w:rsidRPr="00B149CE">
              <w:t xml:space="preserve"> 2</w:t>
            </w:r>
            <w:r w:rsidR="004F6D7F">
              <w:t> </w:t>
            </w:r>
            <w:r w:rsidRPr="00B149CE">
              <w:t>010</w:t>
            </w:r>
            <w:r w:rsidR="004F6D7F">
              <w:noBreakHyphen/>
            </w:r>
            <w:r w:rsidRPr="00B149CE">
              <w:t>2 025 MHz (</w:t>
            </w:r>
            <w:r w:rsidR="00B149CE" w:rsidRPr="00B149CE">
              <w:t>Tierra-espacio) y</w:t>
            </w:r>
            <w:r w:rsidRPr="00B149CE">
              <w:t xml:space="preserve"> 2 160-2 170 MHz (</w:t>
            </w:r>
            <w:r w:rsidR="00B149CE" w:rsidRPr="00B149CE">
              <w:t>e</w:t>
            </w:r>
            <w:r w:rsidR="00B149CE">
              <w:t>spacio-Tierra) en las Regiones 1 y 3 (ya atribuida al servicio móvil por satélite en la Región</w:t>
            </w:r>
            <w:r w:rsidRPr="00B149CE">
              <w:t xml:space="preserve"> 2), </w:t>
            </w:r>
            <w:r w:rsidR="00B149CE">
              <w:t>y la banda de frecuencias</w:t>
            </w:r>
            <w:r w:rsidRPr="00B149CE">
              <w:t xml:space="preserve"> 2 200-2 215 MHz (</w:t>
            </w:r>
            <w:r w:rsidR="00B149CE">
              <w:t>espacio-Tierra) en todo el mundo al servicio móvil por satélite (SMS) para la componente de satélite de las</w:t>
            </w:r>
            <w:r w:rsidRPr="00B149CE">
              <w:t xml:space="preserve"> IMT.</w:t>
            </w:r>
            <w:r w:rsidRPr="00C52761">
              <w:rPr>
                <w:i/>
                <w:iCs/>
                <w:szCs w:val="24"/>
              </w:rPr>
              <w:t xml:space="preserve"> </w:t>
            </w:r>
          </w:p>
        </w:tc>
      </w:tr>
      <w:tr w:rsidR="008320A3" w:rsidRPr="00530AD6" w14:paraId="0B436B17" w14:textId="77777777" w:rsidTr="00160976">
        <w:trPr>
          <w:trHeight w:val="300"/>
        </w:trPr>
        <w:tc>
          <w:tcPr>
            <w:tcW w:w="9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36823F94" w14:textId="2B8A742B" w:rsidR="008320A3" w:rsidRPr="004E6AB5" w:rsidRDefault="00B149CE" w:rsidP="00160976">
            <w:pPr>
              <w:jc w:val="both"/>
              <w:rPr>
                <w:b/>
                <w:bCs/>
                <w:color w:val="000000" w:themeColor="text1"/>
                <w:szCs w:val="24"/>
                <w:lang w:val="es-ES"/>
              </w:rPr>
            </w:pPr>
            <w:r w:rsidRPr="004E6AB5">
              <w:rPr>
                <w:b/>
                <w:bCs/>
                <w:i/>
                <w:iCs/>
                <w:color w:val="000000" w:themeColor="text1"/>
                <w:szCs w:val="24"/>
                <w:lang w:val="es-ES"/>
              </w:rPr>
              <w:t>Antecedentes/motivos</w:t>
            </w:r>
            <w:r w:rsidR="008320A3" w:rsidRPr="004E6AB5">
              <w:rPr>
                <w:b/>
                <w:bCs/>
                <w:color w:val="000000" w:themeColor="text1"/>
                <w:szCs w:val="24"/>
                <w:lang w:val="es-ES"/>
              </w:rPr>
              <w:t>:</w:t>
            </w:r>
          </w:p>
          <w:p w14:paraId="3DCDDA7F" w14:textId="33BB69E9" w:rsidR="008320A3" w:rsidRPr="00B149CE" w:rsidRDefault="00B149CE" w:rsidP="00160976">
            <w:pPr>
              <w:rPr>
                <w:lang w:val="es-ES"/>
              </w:rPr>
            </w:pPr>
            <w:r w:rsidRPr="00B149CE">
              <w:rPr>
                <w:lang w:val="es-ES"/>
              </w:rPr>
              <w:t xml:space="preserve">Las comunicaciones por satélite son un método efectivo para facilitar servicios de comunicaciones en zonas rurales, remotas, desabastecidas o insuficientemente abastecidas, sirviendo así de mecanismo para reducir </w:t>
            </w:r>
            <w:r>
              <w:rPr>
                <w:lang w:val="es-ES"/>
              </w:rPr>
              <w:t xml:space="preserve">la brecha digital y propiciar la adopción generalizada de la economía digital. </w:t>
            </w:r>
            <w:r w:rsidRPr="00B149CE">
              <w:rPr>
                <w:lang w:val="es-ES"/>
              </w:rPr>
              <w:t xml:space="preserve">En este sentido, el desarrollo de servicios de comunicaciones por satélite abunda en </w:t>
            </w:r>
            <w:r>
              <w:rPr>
                <w:lang w:val="es-ES"/>
              </w:rPr>
              <w:t xml:space="preserve">la consecución de los Objetivos de Desarrollo Sostenible (ODS) de las Naciones Unidas para reducir la desigualdad entre países y dentro de ellos, crear infraestructuras resilientes, fomentar la industrialización inclusiva y sostenible y promover la innovación. </w:t>
            </w:r>
            <w:r w:rsidRPr="00B149CE">
              <w:rPr>
                <w:lang w:val="es-ES"/>
              </w:rPr>
              <w:t xml:space="preserve">Los servicios por satélite también aportan una contribución indirecta a otros ODS de que se ocupa </w:t>
            </w:r>
            <w:r>
              <w:rPr>
                <w:lang w:val="es-ES"/>
              </w:rPr>
              <w:t>la UIT, como la energía limpia y asequible, la producción y el consumo responsables, la acción climática y las ciudades y comunidades sostenibles</w:t>
            </w:r>
            <w:r w:rsidR="008320A3" w:rsidRPr="00B149CE">
              <w:rPr>
                <w:lang w:val="es-ES"/>
              </w:rPr>
              <w:t xml:space="preserve">. </w:t>
            </w:r>
          </w:p>
          <w:p w14:paraId="1D4409CA" w14:textId="1FCE5F16" w:rsidR="008320A3" w:rsidRPr="00B149CE" w:rsidRDefault="00B149CE" w:rsidP="00160976">
            <w:pPr>
              <w:rPr>
                <w:lang w:val="es-ES"/>
              </w:rPr>
            </w:pPr>
            <w:r w:rsidRPr="00B149CE">
              <w:rPr>
                <w:lang w:val="es-ES"/>
              </w:rPr>
              <w:t>E</w:t>
            </w:r>
            <w:r w:rsidR="008320A3" w:rsidRPr="00B149CE">
              <w:rPr>
                <w:lang w:val="es-ES"/>
              </w:rPr>
              <w:t>n 2021</w:t>
            </w:r>
            <w:r w:rsidRPr="00B149CE">
              <w:rPr>
                <w:lang w:val="es-ES"/>
              </w:rPr>
              <w:t xml:space="preserve"> había 5 300 millones de personas abonadas a servicios mó</w:t>
            </w:r>
            <w:r>
              <w:rPr>
                <w:lang w:val="es-ES"/>
              </w:rPr>
              <w:t>viles, lo que representa un</w:t>
            </w:r>
            <w:r w:rsidR="008320A3" w:rsidRPr="00B149CE">
              <w:rPr>
                <w:lang w:val="es-ES"/>
              </w:rPr>
              <w:t> 67% </w:t>
            </w:r>
            <w:r>
              <w:rPr>
                <w:lang w:val="es-ES"/>
              </w:rPr>
              <w:t>de la población mundial</w:t>
            </w:r>
            <w:r w:rsidR="008320A3" w:rsidRPr="00EF6C3B">
              <w:rPr>
                <w:rStyle w:val="FootnoteReference"/>
              </w:rPr>
              <w:footnoteReference w:id="1"/>
            </w:r>
            <w:r w:rsidR="008320A3" w:rsidRPr="00B149CE">
              <w:rPr>
                <w:lang w:val="es-ES"/>
              </w:rPr>
              <w:t xml:space="preserve">. </w:t>
            </w:r>
            <w:r w:rsidRPr="00B149CE">
              <w:rPr>
                <w:lang w:val="es-ES"/>
              </w:rPr>
              <w:t>Gran parte del 33% restante vive en zonas rurales, remotas, desabastecidas o mal abastecidas de difíci</w:t>
            </w:r>
            <w:r>
              <w:rPr>
                <w:lang w:val="es-ES"/>
              </w:rPr>
              <w:t xml:space="preserve">l alcance. </w:t>
            </w:r>
            <w:r w:rsidRPr="00B149CE">
              <w:rPr>
                <w:lang w:val="es-ES"/>
              </w:rPr>
              <w:t>Es en esas zonas mal abastecidas donde precisamente los servicios por satélite dispositivo a di</w:t>
            </w:r>
            <w:r>
              <w:rPr>
                <w:lang w:val="es-ES"/>
              </w:rPr>
              <w:t>spositivo (D2D) son más esenciales</w:t>
            </w:r>
            <w:r w:rsidR="008320A3" w:rsidRPr="00B149CE">
              <w:rPr>
                <w:lang w:val="es-ES"/>
              </w:rPr>
              <w:t>.</w:t>
            </w:r>
          </w:p>
          <w:p w14:paraId="56384114" w14:textId="0A5DB472" w:rsidR="008320A3" w:rsidRPr="00B149CE" w:rsidRDefault="00B149CE" w:rsidP="00160976">
            <w:pPr>
              <w:rPr>
                <w:rFonts w:ascii="TimesNewRomanPSMT" w:hAnsi="TimesNewRomanPSMT"/>
                <w:lang w:val="es-ES"/>
              </w:rPr>
            </w:pPr>
            <w:r w:rsidRPr="00B149CE">
              <w:rPr>
                <w:rFonts w:ascii="TimesNewRomanPSMT" w:hAnsi="TimesNewRomanPSMT"/>
                <w:lang w:val="es-ES"/>
              </w:rPr>
              <w:t>Tal y como se definen en la Resolución UIT</w:t>
            </w:r>
            <w:hyperlink r:id="rId14" w:history="1">
              <w:r w:rsidR="008320A3" w:rsidRPr="00B149CE">
                <w:rPr>
                  <w:rFonts w:ascii="TimesNewRomanPSMT" w:hAnsi="TimesNewRomanPSMT"/>
                  <w:lang w:val="es-ES"/>
                </w:rPr>
                <w:t>-R 56-2</w:t>
              </w:r>
            </w:hyperlink>
            <w:r w:rsidR="008320A3" w:rsidRPr="00B149CE">
              <w:rPr>
                <w:rFonts w:ascii="TimesNewRomanPSMT" w:hAnsi="TimesNewRomanPSMT"/>
                <w:lang w:val="es-ES"/>
              </w:rPr>
              <w:t xml:space="preserve">, </w:t>
            </w:r>
            <w:r w:rsidRPr="00B149CE">
              <w:rPr>
                <w:rFonts w:ascii="TimesNewRomanPSMT" w:hAnsi="TimesNewRomanPSMT"/>
                <w:lang w:val="es-ES"/>
              </w:rPr>
              <w:t>los sistemas de Telecomunicaciones Móviles Internacionales</w:t>
            </w:r>
            <w:r w:rsidR="008320A3" w:rsidRPr="00B149CE">
              <w:rPr>
                <w:rFonts w:ascii="TimesNewRomanPSMT" w:hAnsi="TimesNewRomanPSMT"/>
                <w:lang w:val="es-ES"/>
              </w:rPr>
              <w:t xml:space="preserve">-2020 (IMT-2020) </w:t>
            </w:r>
            <w:r w:rsidRPr="00B149CE">
              <w:rPr>
                <w:rFonts w:ascii="TimesNewRomanPSMT" w:hAnsi="TimesNewRomanPSMT"/>
                <w:lang w:val="es-ES"/>
              </w:rPr>
              <w:t xml:space="preserve">son sistemas móviles </w:t>
            </w:r>
            <w:r>
              <w:rPr>
                <w:rFonts w:ascii="TimesNewRomanPSMT" w:hAnsi="TimesNewRomanPSMT"/>
                <w:lang w:val="es-ES"/>
              </w:rPr>
              <w:t>que contienen nuevas interfaces radioeléctricas que ofrecen nuevas capacidades, superiores a las de las</w:t>
            </w:r>
            <w:r w:rsidR="008320A3" w:rsidRPr="00B149CE">
              <w:rPr>
                <w:rFonts w:ascii="TimesNewRomanPSMT" w:hAnsi="TimesNewRomanPSMT"/>
                <w:lang w:val="es-ES"/>
              </w:rPr>
              <w:t xml:space="preserve"> IMT-2000 </w:t>
            </w:r>
            <w:r>
              <w:rPr>
                <w:rFonts w:ascii="TimesNewRomanPSMT" w:hAnsi="TimesNewRomanPSMT"/>
                <w:lang w:val="es-ES"/>
              </w:rPr>
              <w:t>y las</w:t>
            </w:r>
            <w:r w:rsidR="008320A3" w:rsidRPr="00B149CE">
              <w:rPr>
                <w:rFonts w:ascii="TimesNewRomanPSMT" w:hAnsi="TimesNewRomanPSMT"/>
                <w:lang w:val="es-ES"/>
              </w:rPr>
              <w:t xml:space="preserve"> IMT</w:t>
            </w:r>
            <w:r w:rsidR="004F6D7F">
              <w:rPr>
                <w:rFonts w:ascii="TimesNewRomanPSMT" w:hAnsi="TimesNewRomanPSMT"/>
                <w:lang w:val="es-ES"/>
              </w:rPr>
              <w:noBreakHyphen/>
            </w:r>
            <w:r w:rsidR="008320A3" w:rsidRPr="00B149CE">
              <w:rPr>
                <w:rFonts w:ascii="TimesNewRomanPSMT" w:hAnsi="TimesNewRomanPSMT"/>
                <w:lang w:val="es-ES"/>
              </w:rPr>
              <w:t>A</w:t>
            </w:r>
            <w:r>
              <w:rPr>
                <w:rFonts w:ascii="TimesNewRomanPSMT" w:hAnsi="TimesNewRomanPSMT"/>
                <w:lang w:val="es-ES"/>
              </w:rPr>
              <w:t>vanzadas</w:t>
            </w:r>
            <w:r w:rsidR="008320A3" w:rsidRPr="00B149CE">
              <w:rPr>
                <w:rFonts w:ascii="TimesNewRomanPSMT" w:hAnsi="TimesNewRomanPSMT"/>
                <w:lang w:val="es-ES"/>
              </w:rPr>
              <w:t>.</w:t>
            </w:r>
          </w:p>
          <w:p w14:paraId="47258D08" w14:textId="2AB0AC07" w:rsidR="008320A3" w:rsidRPr="00336979" w:rsidRDefault="00336979" w:rsidP="00160976">
            <w:pPr>
              <w:rPr>
                <w:lang w:val="es-ES"/>
              </w:rPr>
            </w:pPr>
            <w:r w:rsidRPr="00336979">
              <w:rPr>
                <w:lang w:val="es-ES"/>
              </w:rPr>
              <w:t>Siendo una de las tecnologías de acceso radioeléctrico de las</w:t>
            </w:r>
            <w:r w:rsidR="008320A3" w:rsidRPr="00336979">
              <w:rPr>
                <w:lang w:val="es-ES"/>
              </w:rPr>
              <w:t xml:space="preserve"> IMT-2020, </w:t>
            </w:r>
            <w:r w:rsidRPr="00336979">
              <w:rPr>
                <w:lang w:val="es-ES"/>
              </w:rPr>
              <w:t xml:space="preserve">el </w:t>
            </w:r>
            <w:r>
              <w:rPr>
                <w:lang w:val="es-ES"/>
              </w:rPr>
              <w:t xml:space="preserve">acceso por satélite soportará la movilidad gracias a la integración a nivel de terminal, de red y de servicio. </w:t>
            </w:r>
            <w:r w:rsidRPr="00336979">
              <w:rPr>
                <w:lang w:val="es-ES"/>
              </w:rPr>
              <w:t>Se prevé que los componentes de la red por satélite ofrezcan cobertura ubicua en</w:t>
            </w:r>
            <w:r>
              <w:rPr>
                <w:lang w:val="es-ES"/>
              </w:rPr>
              <w:t xml:space="preserve"> todo el mundo a los equipos de usuario extremo a fin de hacer realidad las hipótesis de uso definidas para la componente de satélite de las</w:t>
            </w:r>
            <w:r w:rsidR="008320A3" w:rsidRPr="00336979">
              <w:rPr>
                <w:lang w:val="es-ES"/>
              </w:rPr>
              <w:t xml:space="preserve"> IMT-2020.</w:t>
            </w:r>
          </w:p>
          <w:p w14:paraId="06A053E9" w14:textId="7D810AA3" w:rsidR="008320A3" w:rsidRPr="00336979" w:rsidRDefault="00336979" w:rsidP="00160976">
            <w:pPr>
              <w:rPr>
                <w:lang w:val="es-ES"/>
              </w:rPr>
            </w:pPr>
            <w:r w:rsidRPr="00336979">
              <w:rPr>
                <w:lang w:val="es-ES"/>
              </w:rPr>
              <w:t xml:space="preserve">Se prevé que la utilización y el objetivo de las interfaces radioeléctricas de satélite complementen las operaciones terrenales de </w:t>
            </w:r>
            <w:r>
              <w:rPr>
                <w:lang w:val="es-ES"/>
              </w:rPr>
              <w:t>las</w:t>
            </w:r>
            <w:r w:rsidR="008320A3" w:rsidRPr="00336979">
              <w:rPr>
                <w:lang w:val="es-ES"/>
              </w:rPr>
              <w:t xml:space="preserve"> IMT-2020</w:t>
            </w:r>
            <w:r>
              <w:rPr>
                <w:lang w:val="es-ES"/>
              </w:rPr>
              <w:t xml:space="preserve">, dada la capacidad única de los satélites para superar problemas de cobertura y resolver casos de uso complejos. </w:t>
            </w:r>
            <w:r w:rsidRPr="00336979">
              <w:rPr>
                <w:lang w:val="es-ES"/>
              </w:rPr>
              <w:t xml:space="preserve">La vasta huella de los sistemas de satélites </w:t>
            </w:r>
            <w:r>
              <w:rPr>
                <w:lang w:val="es-ES"/>
              </w:rPr>
              <w:t xml:space="preserve">hace que la armonización mundial del espectro sea todavía más importante que para los servicios terrenales. </w:t>
            </w:r>
            <w:r w:rsidRPr="00336979">
              <w:rPr>
                <w:lang w:val="es-ES"/>
              </w:rPr>
              <w:t xml:space="preserve">La armonización mundial del espectro también </w:t>
            </w:r>
            <w:r>
              <w:rPr>
                <w:lang w:val="es-ES"/>
              </w:rPr>
              <w:t xml:space="preserve">sirve para maximizar las </w:t>
            </w:r>
            <w:r>
              <w:rPr>
                <w:lang w:val="es-ES"/>
              </w:rPr>
              <w:lastRenderedPageBreak/>
              <w:t>economías de escala, minimizar el potencial interferente y propiciar así la eficiencia en la fabricación y el despliegue, minimizando también los costes de red y dispositivos</w:t>
            </w:r>
            <w:r w:rsidR="008320A3" w:rsidRPr="00336979">
              <w:rPr>
                <w:lang w:val="es-ES"/>
              </w:rPr>
              <w:t>.</w:t>
            </w:r>
          </w:p>
          <w:p w14:paraId="4FBFC99E" w14:textId="1504301C" w:rsidR="008320A3" w:rsidRPr="00ED6790" w:rsidRDefault="00336979" w:rsidP="00160976">
            <w:pPr>
              <w:rPr>
                <w:lang w:val="es-ES"/>
              </w:rPr>
            </w:pPr>
            <w:r w:rsidRPr="00ED6790">
              <w:rPr>
                <w:lang w:val="es-ES"/>
              </w:rPr>
              <w:t>Además, durante muchos años el UIT-R ha reconocido la utilización de sistemas del servicio móvil por satélite</w:t>
            </w:r>
            <w:r w:rsidR="00ED6790" w:rsidRPr="00ED6790">
              <w:rPr>
                <w:lang w:val="es-ES"/>
              </w:rPr>
              <w:t xml:space="preserve"> y su componente complementaria en tierra (CCT) para las operaciones de socorro en caso de catástrofe y emergencias, como se muestra claramente en la Recomendación UIT-R</w:t>
            </w:r>
            <w:r w:rsidR="008320A3" w:rsidRPr="00ED6790">
              <w:rPr>
                <w:lang w:val="es-ES"/>
              </w:rPr>
              <w:t xml:space="preserve"> M.1854-1</w:t>
            </w:r>
            <w:r w:rsidR="00ED6790">
              <w:rPr>
                <w:lang w:val="es-ES"/>
              </w:rPr>
              <w:t xml:space="preserve">, </w:t>
            </w:r>
            <w:r w:rsidR="004F6D7F">
              <w:rPr>
                <w:lang w:val="es-ES"/>
              </w:rPr>
              <w:t>«</w:t>
            </w:r>
            <w:r w:rsidR="00ED6790" w:rsidRPr="004F6D7F">
              <w:rPr>
                <w:color w:val="000000"/>
                <w:szCs w:val="24"/>
                <w:shd w:val="clear" w:color="auto" w:fill="FFFFFF"/>
              </w:rPr>
              <w:t>Utilización del servicio móvil por satélite para respuesta y socorro en caso de catástrofe</w:t>
            </w:r>
            <w:r w:rsidR="004F6D7F">
              <w:rPr>
                <w:lang w:val="es-ES"/>
              </w:rPr>
              <w:t>»</w:t>
            </w:r>
            <w:r w:rsidR="008320A3" w:rsidRPr="00ED6790">
              <w:rPr>
                <w:lang w:val="es-ES"/>
              </w:rPr>
              <w:t xml:space="preserve"> </w:t>
            </w:r>
            <w:r w:rsidR="00ED6790">
              <w:rPr>
                <w:lang w:val="es-ES"/>
              </w:rPr>
              <w:t>y el Informe UIT</w:t>
            </w:r>
            <w:r w:rsidR="008320A3" w:rsidRPr="00ED6790">
              <w:rPr>
                <w:lang w:val="es-ES"/>
              </w:rPr>
              <w:t>-R M.2149</w:t>
            </w:r>
            <w:r w:rsidR="00ED6790">
              <w:rPr>
                <w:lang w:val="es-ES"/>
              </w:rPr>
              <w:t>,</w:t>
            </w:r>
            <w:r w:rsidR="008320A3" w:rsidRPr="00ED6790">
              <w:rPr>
                <w:lang w:val="es-ES"/>
              </w:rPr>
              <w:t xml:space="preserve"> </w:t>
            </w:r>
            <w:r w:rsidR="004F6D7F">
              <w:rPr>
                <w:lang w:val="es-ES"/>
              </w:rPr>
              <w:t>«</w:t>
            </w:r>
            <w:r w:rsidR="008320A3" w:rsidRPr="00A47B26">
              <w:rPr>
                <w:lang w:val="es-ES"/>
              </w:rPr>
              <w:t>Use of mobile-satellite service systems for relief operation in the event of natural disasters and similar emergencies</w:t>
            </w:r>
            <w:r w:rsidR="004F6D7F">
              <w:rPr>
                <w:lang w:val="es-ES"/>
              </w:rPr>
              <w:t>»</w:t>
            </w:r>
            <w:r w:rsidR="008320A3" w:rsidRPr="00ED6790">
              <w:rPr>
                <w:lang w:val="es-ES"/>
              </w:rPr>
              <w:t xml:space="preserve">. </w:t>
            </w:r>
          </w:p>
          <w:p w14:paraId="0BA6802D" w14:textId="3387E315" w:rsidR="008320A3" w:rsidRPr="00ED6790" w:rsidRDefault="00ED6790" w:rsidP="00160976">
            <w:pPr>
              <w:rPr>
                <w:lang w:val="es-ES"/>
              </w:rPr>
            </w:pPr>
            <w:r w:rsidRPr="00ED6790">
              <w:rPr>
                <w:lang w:val="es-ES"/>
              </w:rPr>
              <w:t>A lo largo de la última década el creciente interés por el SMS ha quedado claro con el cada vez mayor número de notificaciones de si</w:t>
            </w:r>
            <w:r>
              <w:rPr>
                <w:lang w:val="es-ES"/>
              </w:rPr>
              <w:t xml:space="preserve">stemas del SMS en la órbita de los satélites geoestacionarios y no geoestacionarios (no OSG) presentadas por diversas administraciones a la Oficina de Radiocomunicaciones. </w:t>
            </w:r>
            <w:r w:rsidRPr="00ED6790">
              <w:rPr>
                <w:lang w:val="es-ES"/>
              </w:rPr>
              <w:t>La necesidad de espectro adicional para el SMS es apenas sorprendente, pues el espectro total atribuido en la actualidad al SMS es escaso comparado con el de otros se</w:t>
            </w:r>
            <w:r>
              <w:rPr>
                <w:lang w:val="es-ES"/>
              </w:rPr>
              <w:t xml:space="preserve">rvicios de radiocomunicaciones. </w:t>
            </w:r>
            <w:r w:rsidRPr="00ED6790">
              <w:rPr>
                <w:lang w:val="es-ES"/>
              </w:rPr>
              <w:t>De hecho, la última vez que una Conferencia Mundial de la UIT identificó espectro para la componente de satélite de las</w:t>
            </w:r>
            <w:r w:rsidR="008320A3" w:rsidRPr="00ED6790">
              <w:rPr>
                <w:lang w:val="es-ES"/>
              </w:rPr>
              <w:t xml:space="preserve"> IMT </w:t>
            </w:r>
            <w:r w:rsidRPr="00ED6790">
              <w:rPr>
                <w:lang w:val="es-ES"/>
              </w:rPr>
              <w:t>f</w:t>
            </w:r>
            <w:r>
              <w:rPr>
                <w:lang w:val="es-ES"/>
              </w:rPr>
              <w:t>ue la CAMR</w:t>
            </w:r>
            <w:r w:rsidR="008320A3" w:rsidRPr="00ED6790">
              <w:rPr>
                <w:lang w:val="es-ES"/>
              </w:rPr>
              <w:t>-92</w:t>
            </w:r>
            <w:r>
              <w:rPr>
                <w:lang w:val="es-ES"/>
              </w:rPr>
              <w:t xml:space="preserve">; desde entonces la industria del SMS ha experimentado considerables cambios tecnológicos. </w:t>
            </w:r>
            <w:r w:rsidRPr="00ED6790">
              <w:rPr>
                <w:lang w:val="es-ES"/>
              </w:rPr>
              <w:t>Por ejemplo, la rápida mejora tecnológica de que dan fe el despliegue inicial de sistemas</w:t>
            </w:r>
            <w:r w:rsidR="008320A3" w:rsidRPr="00ED6790">
              <w:rPr>
                <w:lang w:val="es-ES"/>
              </w:rPr>
              <w:t xml:space="preserve"> D2D </w:t>
            </w:r>
            <w:r w:rsidRPr="00ED6790">
              <w:rPr>
                <w:lang w:val="es-ES"/>
              </w:rPr>
              <w:t xml:space="preserve">y la definición de especificaciones internacionales (como </w:t>
            </w:r>
            <w:r>
              <w:rPr>
                <w:lang w:val="es-ES"/>
              </w:rPr>
              <w:t>la Edición 17 del</w:t>
            </w:r>
            <w:r w:rsidR="008320A3" w:rsidRPr="00ED6790">
              <w:rPr>
                <w:lang w:val="es-ES"/>
              </w:rPr>
              <w:t xml:space="preserve"> 3GPP</w:t>
            </w:r>
            <w:r>
              <w:rPr>
                <w:lang w:val="es-ES"/>
              </w:rPr>
              <w:t>, que contiene la especificación completa de las redes no terrenales</w:t>
            </w:r>
            <w:r w:rsidR="008320A3" w:rsidRPr="00ED6790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(RNT) </w:t>
            </w:r>
            <w:r w:rsidR="008320A3" w:rsidRPr="00ED6790">
              <w:rPr>
                <w:lang w:val="es-ES"/>
              </w:rPr>
              <w:t>5G</w:t>
            </w:r>
            <w:r>
              <w:rPr>
                <w:lang w:val="es-ES"/>
              </w:rPr>
              <w:t>) está creando una nueva demanda para el SMS, en particular para la componente de satélite de las</w:t>
            </w:r>
            <w:r w:rsidR="008320A3" w:rsidRPr="00ED6790">
              <w:rPr>
                <w:lang w:val="es-ES"/>
              </w:rPr>
              <w:t xml:space="preserve"> IMT. </w:t>
            </w:r>
            <w:r w:rsidRPr="00ED6790">
              <w:rPr>
                <w:lang w:val="es-ES"/>
              </w:rPr>
              <w:t>Se prevé que la Edición 18 de 3GPP contenga mejoras de la especificación de</w:t>
            </w:r>
            <w:r>
              <w:rPr>
                <w:lang w:val="es-ES"/>
              </w:rPr>
              <w:t xml:space="preserve"> las RNT</w:t>
            </w:r>
            <w:r w:rsidR="008320A3" w:rsidRPr="00ED6790">
              <w:rPr>
                <w:lang w:val="es-ES"/>
              </w:rPr>
              <w:t xml:space="preserve"> 5G</w:t>
            </w:r>
            <w:r>
              <w:rPr>
                <w:lang w:val="es-ES"/>
              </w:rPr>
              <w:t>, en relación, por ejemplo, con la determinación de la posición</w:t>
            </w:r>
            <w:r w:rsidR="008320A3" w:rsidRPr="00ED6790">
              <w:rPr>
                <w:lang w:val="es-ES"/>
              </w:rPr>
              <w:t xml:space="preserve">. </w:t>
            </w:r>
          </w:p>
          <w:p w14:paraId="0D9006A8" w14:textId="3867D584" w:rsidR="008320A3" w:rsidRPr="00530AD6" w:rsidRDefault="00ED6790" w:rsidP="00160976">
            <w:pPr>
              <w:rPr>
                <w:lang w:val="es-ES"/>
              </w:rPr>
            </w:pPr>
            <w:r w:rsidRPr="00ED6790">
              <w:rPr>
                <w:lang w:val="es-ES"/>
              </w:rPr>
              <w:t>En septiembre de</w:t>
            </w:r>
            <w:r w:rsidR="008320A3" w:rsidRPr="00ED6790">
              <w:rPr>
                <w:lang w:val="es-ES"/>
              </w:rPr>
              <w:t xml:space="preserve"> 2022, </w:t>
            </w:r>
            <w:r w:rsidRPr="00ED6790">
              <w:rPr>
                <w:lang w:val="es-ES"/>
              </w:rPr>
              <w:t>el UIT-R consideró esta evolución de las especificaciones y tecnologías de satélite al</w:t>
            </w:r>
            <w:r>
              <w:rPr>
                <w:lang w:val="es-ES"/>
              </w:rPr>
              <w:t xml:space="preserve"> adoptar el Informe UIT</w:t>
            </w:r>
            <w:r w:rsidR="008320A3" w:rsidRPr="00ED6790">
              <w:rPr>
                <w:lang w:val="es-ES"/>
              </w:rPr>
              <w:t>-R M.2514-0</w:t>
            </w:r>
            <w:r>
              <w:rPr>
                <w:lang w:val="es-ES"/>
              </w:rPr>
              <w:t>,</w:t>
            </w:r>
            <w:r w:rsidR="008320A3" w:rsidRPr="00ED6790">
              <w:rPr>
                <w:lang w:val="es-ES"/>
              </w:rPr>
              <w:t xml:space="preserve"> </w:t>
            </w:r>
            <w:r w:rsidR="004F6D7F">
              <w:rPr>
                <w:lang w:val="es-ES"/>
              </w:rPr>
              <w:t>«</w:t>
            </w:r>
            <w:r w:rsidR="008320A3" w:rsidRPr="00EA52FB">
              <w:rPr>
                <w:lang w:val="es-ES"/>
              </w:rPr>
              <w:t>Vision, requirements and evaluation guidelines for satellite radio interface(s) of IMT-2020</w:t>
            </w:r>
            <w:r w:rsidR="00EB661F">
              <w:rPr>
                <w:lang w:val="es-ES"/>
              </w:rPr>
              <w:t>»</w:t>
            </w:r>
            <w:r w:rsidR="008320A3" w:rsidRPr="00ED6790">
              <w:rPr>
                <w:lang w:val="es-ES"/>
              </w:rPr>
              <w:t xml:space="preserve">. </w:t>
            </w:r>
            <w:r w:rsidR="00530AD6" w:rsidRPr="00530AD6">
              <w:rPr>
                <w:lang w:val="es-ES"/>
              </w:rPr>
              <w:t xml:space="preserve">Hoy en día, el </w:t>
            </w:r>
            <w:r w:rsidR="00530AD6" w:rsidRPr="00710ABB">
              <w:rPr>
                <w:lang w:val="es-ES"/>
              </w:rPr>
              <w:t>UIT-R está aplicando un proceso para evaluar las tecnologías de acceso radioeléctrico que podrían utilizarse para la comp</w:t>
            </w:r>
            <w:r w:rsidR="00530AD6">
              <w:rPr>
                <w:lang w:val="es-ES"/>
              </w:rPr>
              <w:t>onente de satélite de las IMT-2020, cuya finalización se espera para</w:t>
            </w:r>
            <w:r w:rsidR="00530AD6" w:rsidRPr="00710ABB">
              <w:rPr>
                <w:lang w:val="es-ES"/>
              </w:rPr>
              <w:t xml:space="preserve"> 2025</w:t>
            </w:r>
            <w:r w:rsidR="008320A3" w:rsidRPr="00530AD6">
              <w:rPr>
                <w:lang w:val="es-ES"/>
              </w:rPr>
              <w:t xml:space="preserve">. </w:t>
            </w:r>
          </w:p>
          <w:p w14:paraId="695C195F" w14:textId="7EC188B3" w:rsidR="008320A3" w:rsidRPr="00530AD6" w:rsidRDefault="00EB661F" w:rsidP="00160976">
            <w:pPr>
              <w:rPr>
                <w:lang w:val="es-ES"/>
              </w:rPr>
            </w:pPr>
            <w:r w:rsidRPr="00ED6790">
              <w:rPr>
                <w:lang w:val="es-ES"/>
              </w:rPr>
              <w:t>E</w:t>
            </w:r>
            <w:r w:rsidR="00530AD6" w:rsidRPr="00530AD6">
              <w:rPr>
                <w:lang w:val="es-ES"/>
              </w:rPr>
              <w:t>n la Recomendación UI</w:t>
            </w:r>
            <w:r w:rsidR="00530AD6">
              <w:rPr>
                <w:lang w:val="es-ES"/>
              </w:rPr>
              <w:t>T</w:t>
            </w:r>
            <w:r w:rsidR="008320A3" w:rsidRPr="00530AD6">
              <w:rPr>
                <w:lang w:val="es-ES"/>
              </w:rPr>
              <w:t xml:space="preserve">-R M.2083 </w:t>
            </w:r>
            <w:r w:rsidR="00530AD6">
              <w:rPr>
                <w:lang w:val="es-ES"/>
              </w:rPr>
              <w:t>sobre la concepción de las IMT-2020 se identifican, entre otras cosas, las hipótesis de uso de las</w:t>
            </w:r>
            <w:r w:rsidR="008320A3" w:rsidRPr="00530AD6">
              <w:rPr>
                <w:lang w:val="es-ES"/>
              </w:rPr>
              <w:t xml:space="preserve"> IMT-2020 </w:t>
            </w:r>
            <w:r w:rsidR="00530AD6">
              <w:rPr>
                <w:lang w:val="es-ES"/>
              </w:rPr>
              <w:t>y posteriores, la banda ancha móvil mejorada</w:t>
            </w:r>
            <w:r w:rsidR="008320A3" w:rsidRPr="00530AD6">
              <w:rPr>
                <w:lang w:val="es-ES"/>
              </w:rPr>
              <w:t xml:space="preserve"> (eMBB), </w:t>
            </w:r>
            <w:r w:rsidR="00530AD6">
              <w:rPr>
                <w:lang w:val="es-ES"/>
              </w:rPr>
              <w:t>las comunicaciones masivas tipo máquina</w:t>
            </w:r>
            <w:r w:rsidR="008320A3" w:rsidRPr="00530AD6">
              <w:rPr>
                <w:lang w:val="es-ES"/>
              </w:rPr>
              <w:t xml:space="preserve"> (mMTC) </w:t>
            </w:r>
            <w:r w:rsidR="00530AD6">
              <w:rPr>
                <w:lang w:val="es-ES"/>
              </w:rPr>
              <w:t>y las comunicaciones ultrafiables y de baja latencia</w:t>
            </w:r>
            <w:r w:rsidR="008320A3" w:rsidRPr="00530AD6">
              <w:rPr>
                <w:lang w:val="es-ES"/>
              </w:rPr>
              <w:t xml:space="preserve"> (URLLC). </w:t>
            </w:r>
            <w:r w:rsidR="00530AD6" w:rsidRPr="00530AD6">
              <w:rPr>
                <w:lang w:val="es-ES"/>
              </w:rPr>
              <w:t xml:space="preserve">Las redes de satélites ofrecerán servicios </w:t>
            </w:r>
            <w:r w:rsidR="008320A3" w:rsidRPr="00530AD6">
              <w:rPr>
                <w:lang w:val="es-ES"/>
              </w:rPr>
              <w:t xml:space="preserve">eMBB-s </w:t>
            </w:r>
            <w:r w:rsidR="00530AD6" w:rsidRPr="00530AD6">
              <w:rPr>
                <w:lang w:val="es-ES"/>
              </w:rPr>
              <w:t>y</w:t>
            </w:r>
            <w:r w:rsidR="008320A3" w:rsidRPr="00530AD6">
              <w:rPr>
                <w:lang w:val="es-ES"/>
              </w:rPr>
              <w:t xml:space="preserve"> mMTC-s</w:t>
            </w:r>
            <w:r w:rsidR="00530AD6" w:rsidRPr="00530AD6">
              <w:rPr>
                <w:lang w:val="es-ES"/>
              </w:rPr>
              <w:t>, que son las va</w:t>
            </w:r>
            <w:r w:rsidR="00530AD6">
              <w:rPr>
                <w:lang w:val="es-ES"/>
              </w:rPr>
              <w:t>riantes por satélite de la</w:t>
            </w:r>
            <w:r w:rsidR="008320A3" w:rsidRPr="00530AD6">
              <w:rPr>
                <w:lang w:val="es-ES"/>
              </w:rPr>
              <w:t xml:space="preserve"> eMBB </w:t>
            </w:r>
            <w:r w:rsidR="00530AD6">
              <w:rPr>
                <w:lang w:val="es-ES"/>
              </w:rPr>
              <w:t>y las</w:t>
            </w:r>
            <w:r w:rsidR="008320A3" w:rsidRPr="00530AD6">
              <w:rPr>
                <w:lang w:val="es-ES"/>
              </w:rPr>
              <w:t xml:space="preserve"> mMTC defin</w:t>
            </w:r>
            <w:r w:rsidR="00530AD6">
              <w:rPr>
                <w:lang w:val="es-ES"/>
              </w:rPr>
              <w:t>idas en la Recomendación UIT</w:t>
            </w:r>
            <w:r>
              <w:rPr>
                <w:lang w:val="es-ES"/>
              </w:rPr>
              <w:noBreakHyphen/>
            </w:r>
            <w:r w:rsidR="008320A3" w:rsidRPr="00530AD6">
              <w:rPr>
                <w:lang w:val="es-ES"/>
              </w:rPr>
              <w:t>R</w:t>
            </w:r>
            <w:r>
              <w:rPr>
                <w:lang w:val="es-ES"/>
              </w:rPr>
              <w:t> </w:t>
            </w:r>
            <w:r w:rsidR="008320A3" w:rsidRPr="00530AD6">
              <w:rPr>
                <w:lang w:val="es-ES"/>
              </w:rPr>
              <w:t xml:space="preserve">M.2083. </w:t>
            </w:r>
            <w:r w:rsidR="00530AD6" w:rsidRPr="00530AD6">
              <w:rPr>
                <w:lang w:val="es-ES"/>
              </w:rPr>
              <w:t>La componente de satélite de las</w:t>
            </w:r>
            <w:r w:rsidR="008320A3" w:rsidRPr="00530AD6">
              <w:rPr>
                <w:lang w:val="es-ES"/>
              </w:rPr>
              <w:t xml:space="preserve"> IMT</w:t>
            </w:r>
            <w:r w:rsidR="008320A3" w:rsidRPr="00530AD6">
              <w:rPr>
                <w:lang w:val="es-ES"/>
              </w:rPr>
              <w:noBreakHyphen/>
              <w:t xml:space="preserve">2020 </w:t>
            </w:r>
            <w:r w:rsidR="00530AD6" w:rsidRPr="00530AD6">
              <w:rPr>
                <w:lang w:val="es-ES"/>
              </w:rPr>
              <w:t>no ofrecerá</w:t>
            </w:r>
            <w:r w:rsidR="008320A3" w:rsidRPr="00530AD6">
              <w:rPr>
                <w:lang w:val="es-ES"/>
              </w:rPr>
              <w:t xml:space="preserve"> URLLC, </w:t>
            </w:r>
            <w:r w:rsidR="00530AD6" w:rsidRPr="00530AD6">
              <w:rPr>
                <w:lang w:val="es-ES"/>
              </w:rPr>
              <w:t>pero sí</w:t>
            </w:r>
            <w:r w:rsidR="00530AD6">
              <w:rPr>
                <w:lang w:val="es-ES"/>
              </w:rPr>
              <w:t xml:space="preserve"> comunicaciones de alta fiabilidad específicas por satélite</w:t>
            </w:r>
            <w:r w:rsidR="008320A3" w:rsidRPr="00530AD6">
              <w:rPr>
                <w:lang w:val="es-ES"/>
              </w:rPr>
              <w:t xml:space="preserve"> (HRC-s).</w:t>
            </w:r>
          </w:p>
          <w:p w14:paraId="696034C5" w14:textId="754858E2" w:rsidR="00530AD6" w:rsidRPr="008320A3" w:rsidRDefault="00530AD6" w:rsidP="00EB661F">
            <w:pPr>
              <w:rPr>
                <w:rFonts w:eastAsia="SimSun"/>
                <w:lang w:val="es-ES" w:eastAsia="zh-CN"/>
              </w:rPr>
            </w:pPr>
            <w:r w:rsidRPr="008320A3">
              <w:rPr>
                <w:rFonts w:eastAsia="SimSun"/>
                <w:lang w:val="es-ES" w:eastAsia="zh-CN"/>
              </w:rPr>
              <w:t>La componente de satélite pue</w:t>
            </w:r>
            <w:r>
              <w:rPr>
                <w:rFonts w:eastAsia="SimSun"/>
                <w:lang w:val="es-ES" w:eastAsia="zh-CN"/>
              </w:rPr>
              <w:t>de utilizarse para lo siguiente</w:t>
            </w:r>
            <w:r w:rsidRPr="008320A3">
              <w:rPr>
                <w:rFonts w:eastAsia="SimSun"/>
                <w:lang w:val="es-ES" w:eastAsia="zh-CN"/>
              </w:rPr>
              <w:t>:</w:t>
            </w:r>
          </w:p>
          <w:p w14:paraId="2AD55158" w14:textId="77777777" w:rsidR="00530AD6" w:rsidRPr="008320A3" w:rsidRDefault="00530AD6" w:rsidP="00530AD6">
            <w:pPr>
              <w:pStyle w:val="enumlev1"/>
              <w:rPr>
                <w:rFonts w:eastAsia="SimSun"/>
                <w:lang w:val="es-ES" w:eastAsia="zh-CN"/>
              </w:rPr>
            </w:pPr>
            <w:r w:rsidRPr="008320A3">
              <w:rPr>
                <w:rFonts w:eastAsia="SimSun"/>
                <w:lang w:val="es-ES" w:eastAsia="zh-CN"/>
              </w:rPr>
              <w:t>-</w:t>
            </w:r>
            <w:r w:rsidRPr="008320A3">
              <w:rPr>
                <w:rFonts w:eastAsia="SimSun"/>
                <w:lang w:val="es-ES" w:eastAsia="zh-CN"/>
              </w:rPr>
              <w:tab/>
            </w:r>
            <w:r w:rsidRPr="00EB661F">
              <w:rPr>
                <w:rFonts w:eastAsia="SimSun"/>
              </w:rPr>
              <w:t>dar conectividad mundial a los dispositivos de usuario extremo</w:t>
            </w:r>
            <w:r w:rsidRPr="008320A3">
              <w:rPr>
                <w:rFonts w:eastAsia="SimSun"/>
                <w:lang w:val="es-ES" w:eastAsia="zh-CN"/>
              </w:rPr>
              <w:t xml:space="preserve"> </w:t>
            </w:r>
          </w:p>
          <w:p w14:paraId="549E6666" w14:textId="1E0D8FE2" w:rsidR="00530AD6" w:rsidRPr="008320A3" w:rsidRDefault="00530AD6" w:rsidP="00530AD6">
            <w:pPr>
              <w:pStyle w:val="enumlev1"/>
              <w:rPr>
                <w:rFonts w:eastAsia="SimSun"/>
                <w:lang w:val="es-ES" w:eastAsia="zh-CN"/>
              </w:rPr>
            </w:pPr>
            <w:r w:rsidRPr="008320A3">
              <w:rPr>
                <w:rFonts w:eastAsia="SimSun"/>
                <w:lang w:val="es-ES" w:eastAsia="zh-CN"/>
              </w:rPr>
              <w:t>-</w:t>
            </w:r>
            <w:r w:rsidRPr="008320A3">
              <w:rPr>
                <w:rFonts w:eastAsia="SimSun"/>
                <w:lang w:val="es-ES" w:eastAsia="zh-CN"/>
              </w:rPr>
              <w:tab/>
              <w:t xml:space="preserve">aumentar la resiliencia de la red gracias a la combinación de </w:t>
            </w:r>
            <w:r>
              <w:rPr>
                <w:rFonts w:eastAsia="SimSun"/>
                <w:lang w:val="es-ES" w:eastAsia="zh-CN"/>
              </w:rPr>
              <w:t>la alta disponibilidad y la alta fiabilidad</w:t>
            </w:r>
            <w:r w:rsidRPr="008320A3">
              <w:rPr>
                <w:rFonts w:eastAsia="SimSun"/>
                <w:lang w:val="es-ES" w:eastAsia="zh-CN"/>
              </w:rPr>
              <w:t xml:space="preserve"> </w:t>
            </w:r>
            <w:r>
              <w:rPr>
                <w:rFonts w:eastAsia="SimSun"/>
                <w:lang w:val="es-ES" w:eastAsia="zh-CN"/>
              </w:rPr>
              <w:t>para las HRC-s</w:t>
            </w:r>
          </w:p>
          <w:p w14:paraId="5BCB3131" w14:textId="77777777" w:rsidR="00530AD6" w:rsidRPr="008320A3" w:rsidRDefault="00530AD6" w:rsidP="00530AD6">
            <w:pPr>
              <w:pStyle w:val="enumlev1"/>
              <w:rPr>
                <w:rFonts w:eastAsia="SimSun"/>
                <w:lang w:val="es-ES" w:eastAsia="zh-CN"/>
              </w:rPr>
            </w:pPr>
            <w:r w:rsidRPr="008320A3">
              <w:rPr>
                <w:rFonts w:eastAsia="SimSun"/>
                <w:lang w:val="es-ES" w:eastAsia="zh-CN"/>
              </w:rPr>
              <w:t>-</w:t>
            </w:r>
            <w:r w:rsidRPr="008320A3">
              <w:rPr>
                <w:rFonts w:eastAsia="SimSun"/>
                <w:lang w:val="es-ES" w:eastAsia="zh-CN"/>
              </w:rPr>
              <w:tab/>
              <w:t xml:space="preserve">ofrecer conectividad para el transporte </w:t>
            </w:r>
          </w:p>
          <w:p w14:paraId="1D2B1259" w14:textId="77777777" w:rsidR="00530AD6" w:rsidRPr="008320A3" w:rsidRDefault="00530AD6" w:rsidP="00530AD6">
            <w:pPr>
              <w:pStyle w:val="enumlev1"/>
              <w:rPr>
                <w:rFonts w:eastAsia="SimSun"/>
                <w:lang w:val="es-ES" w:eastAsia="zh-CN"/>
              </w:rPr>
            </w:pPr>
            <w:r w:rsidRPr="008320A3">
              <w:rPr>
                <w:rFonts w:eastAsia="SimSun"/>
                <w:lang w:val="es-ES" w:eastAsia="zh-CN"/>
              </w:rPr>
              <w:t>-</w:t>
            </w:r>
            <w:r w:rsidRPr="008320A3">
              <w:rPr>
                <w:rFonts w:eastAsia="SimSun"/>
                <w:lang w:val="es-ES" w:eastAsia="zh-CN"/>
              </w:rPr>
              <w:tab/>
              <w:t xml:space="preserve">facilitar las operaciones de emergencia y </w:t>
            </w:r>
            <w:r>
              <w:rPr>
                <w:rFonts w:eastAsia="SimSun"/>
                <w:lang w:val="es-ES" w:eastAsia="zh-CN"/>
              </w:rPr>
              <w:t>seguridad pública</w:t>
            </w:r>
          </w:p>
          <w:p w14:paraId="186BA93D" w14:textId="3A276DC5" w:rsidR="00530AD6" w:rsidRPr="008320A3" w:rsidRDefault="00530AD6" w:rsidP="00EB661F">
            <w:pPr>
              <w:pStyle w:val="enumlev1"/>
              <w:rPr>
                <w:rFonts w:eastAsia="SimSun"/>
                <w:lang w:val="es-ES" w:eastAsia="zh-CN"/>
              </w:rPr>
            </w:pPr>
            <w:r w:rsidRPr="008320A3">
              <w:rPr>
                <w:rFonts w:eastAsia="SimSun"/>
                <w:lang w:val="es-ES" w:eastAsia="zh-CN"/>
              </w:rPr>
              <w:t>-</w:t>
            </w:r>
            <w:r w:rsidRPr="008320A3">
              <w:rPr>
                <w:rFonts w:eastAsia="SimSun"/>
                <w:lang w:val="es-ES" w:eastAsia="zh-CN"/>
              </w:rPr>
              <w:tab/>
              <w:t>entregar contenido por rad</w:t>
            </w:r>
            <w:r w:rsidR="001A66F7">
              <w:rPr>
                <w:rFonts w:eastAsia="SimSun"/>
                <w:lang w:val="es-ES" w:eastAsia="zh-CN"/>
              </w:rPr>
              <w:t>i</w:t>
            </w:r>
            <w:r w:rsidRPr="008320A3">
              <w:rPr>
                <w:rFonts w:eastAsia="SimSun"/>
                <w:lang w:val="es-ES" w:eastAsia="zh-CN"/>
              </w:rPr>
              <w:t xml:space="preserve">odifusión o multidifusión a dispositivos de </w:t>
            </w:r>
            <w:r>
              <w:rPr>
                <w:rFonts w:eastAsia="SimSun"/>
                <w:lang w:val="es-ES" w:eastAsia="zh-CN"/>
              </w:rPr>
              <w:t xml:space="preserve">usuario </w:t>
            </w:r>
            <w:r w:rsidRPr="00EB661F">
              <w:rPr>
                <w:rFonts w:eastAsia="SimSun"/>
              </w:rPr>
              <w:t>extremo</w:t>
            </w:r>
            <w:r w:rsidRPr="008320A3">
              <w:rPr>
                <w:rFonts w:eastAsia="SimSun"/>
                <w:lang w:val="es-ES" w:eastAsia="zh-CN"/>
              </w:rPr>
              <w:t>.</w:t>
            </w:r>
          </w:p>
          <w:p w14:paraId="7DD86DEB" w14:textId="56AEC6D1" w:rsidR="008320A3" w:rsidRPr="00530AD6" w:rsidRDefault="00530AD6" w:rsidP="00160976">
            <w:pPr>
              <w:rPr>
                <w:lang w:val="es-ES"/>
              </w:rPr>
            </w:pPr>
            <w:r w:rsidRPr="008320A3">
              <w:rPr>
                <w:lang w:val="es-ES"/>
              </w:rPr>
              <w:t>A finales de</w:t>
            </w:r>
            <w:r w:rsidRPr="008320A3">
              <w:rPr>
                <w:rFonts w:eastAsia="SimSun"/>
                <w:lang w:val="es-ES" w:eastAsia="zh-CN"/>
              </w:rPr>
              <w:t xml:space="preserve"> 2022, operadores de satélites, operadores de redes móviles, fabricantes de chips y dispositivos móviles y fabricantes de infraestructuras anunciaron colaboraciones y planes para desarrollar y desplega</w:t>
            </w:r>
            <w:r>
              <w:rPr>
                <w:rFonts w:eastAsia="SimSun"/>
                <w:lang w:val="es-ES" w:eastAsia="zh-CN"/>
              </w:rPr>
              <w:t xml:space="preserve">r tecnologías para aplicaciones previstas para la componente de satélite de las </w:t>
            </w:r>
            <w:r w:rsidRPr="008320A3">
              <w:rPr>
                <w:rFonts w:eastAsia="SimSun"/>
                <w:lang w:val="es-ES" w:eastAsia="zh-CN"/>
              </w:rPr>
              <w:t xml:space="preserve">IMT-2020. En algunos países los operadores de satélites y los fabricantes de dispositivos han </w:t>
            </w:r>
            <w:r w:rsidRPr="008320A3">
              <w:rPr>
                <w:rFonts w:eastAsia="SimSun"/>
                <w:lang w:val="es-ES" w:eastAsia="zh-CN"/>
              </w:rPr>
              <w:lastRenderedPageBreak/>
              <w:t>dado el primer paso y han la</w:t>
            </w:r>
            <w:r>
              <w:rPr>
                <w:rFonts w:eastAsia="SimSun"/>
                <w:lang w:val="es-ES" w:eastAsia="zh-CN"/>
              </w:rPr>
              <w:t>nzado aplicaciones de mensajería que funcionan directamente entre dispositivos móviles terrenales y satélites</w:t>
            </w:r>
            <w:r w:rsidR="008320A3" w:rsidRPr="00530AD6">
              <w:rPr>
                <w:lang w:val="es-ES"/>
              </w:rPr>
              <w:t xml:space="preserve">. </w:t>
            </w:r>
            <w:r w:rsidRPr="008320A3">
              <w:rPr>
                <w:rFonts w:eastAsia="SimSun"/>
                <w:lang w:val="es-ES" w:eastAsia="zh-CN"/>
              </w:rPr>
              <w:t>Estas aplicaciones directas al dispositivo (D2D) son vanguardistas que validan los casos de uso y la creciente demanda de IMT-2020 p</w:t>
            </w:r>
            <w:r>
              <w:rPr>
                <w:rFonts w:eastAsia="SimSun"/>
                <w:lang w:val="es-ES" w:eastAsia="zh-CN"/>
              </w:rPr>
              <w:t>or satélite a fin de lograr mejores comunicaciones móviles de banda ancha y alta fiabilidad y comunicaciones masivas tipo máquina</w:t>
            </w:r>
            <w:r w:rsidR="008320A3" w:rsidRPr="00530AD6">
              <w:rPr>
                <w:lang w:val="es-ES"/>
              </w:rPr>
              <w:t>.</w:t>
            </w:r>
          </w:p>
          <w:p w14:paraId="72FDBCDD" w14:textId="07066339" w:rsidR="008320A3" w:rsidRPr="00530AD6" w:rsidRDefault="00530AD6" w:rsidP="00160976">
            <w:pPr>
              <w:rPr>
                <w:lang w:val="es-ES"/>
              </w:rPr>
            </w:pPr>
            <w:r w:rsidRPr="008320A3">
              <w:rPr>
                <w:rFonts w:eastAsia="SimSun"/>
                <w:lang w:val="es-ES" w:eastAsia="zh-CN"/>
              </w:rPr>
              <w:t>La utilidad del servicio móvil por satélite (SMS) en las bandas de frecuencias objetivo, la proximidad de esas bandas de frecuencias a las ya identificadas para las componentes terrenal y de satélite de las IMT-2020</w:t>
            </w:r>
            <w:r>
              <w:rPr>
                <w:rFonts w:eastAsia="SimSun"/>
                <w:lang w:val="es-ES" w:eastAsia="zh-CN"/>
              </w:rPr>
              <w:t xml:space="preserve"> y</w:t>
            </w:r>
            <w:r w:rsidRPr="008320A3">
              <w:rPr>
                <w:rFonts w:eastAsia="SimSun"/>
                <w:lang w:val="es-ES" w:eastAsia="zh-CN"/>
              </w:rPr>
              <w:t xml:space="preserve"> la ventaja que suponen atribuciones e identificaciones a nivel mundial para servicio</w:t>
            </w:r>
            <w:r>
              <w:rPr>
                <w:rFonts w:eastAsia="SimSun"/>
                <w:lang w:val="es-ES" w:eastAsia="zh-CN"/>
              </w:rPr>
              <w:t xml:space="preserve">s con ambiciones globales, como el SMS y la componente de satélite de las </w:t>
            </w:r>
            <w:r w:rsidRPr="008320A3">
              <w:rPr>
                <w:rFonts w:eastAsia="SimSun"/>
                <w:lang w:val="es-ES" w:eastAsia="zh-CN"/>
              </w:rPr>
              <w:t xml:space="preserve">IMT-2020, </w:t>
            </w:r>
            <w:r>
              <w:rPr>
                <w:rFonts w:eastAsia="SimSun"/>
                <w:lang w:val="es-ES" w:eastAsia="zh-CN"/>
              </w:rPr>
              <w:t>indican claramente que es necesario que el orden del día de la CMR-27 contenga un punto al respecto y que la respuesta que se le dé contribuya definitivamente a cumplir los ODS de las Naciones Unidas</w:t>
            </w:r>
            <w:r w:rsidR="008320A3" w:rsidRPr="00530AD6">
              <w:rPr>
                <w:lang w:val="es-ES"/>
              </w:rPr>
              <w:t>.</w:t>
            </w:r>
          </w:p>
        </w:tc>
      </w:tr>
      <w:tr w:rsidR="008320A3" w:rsidRPr="001A66F7" w14:paraId="34C24559" w14:textId="77777777" w:rsidTr="00160976">
        <w:trPr>
          <w:trHeight w:val="300"/>
        </w:trPr>
        <w:tc>
          <w:tcPr>
            <w:tcW w:w="9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34700E20" w14:textId="19D1E2EB" w:rsidR="008320A3" w:rsidRPr="00530AD6" w:rsidRDefault="00530AD6" w:rsidP="00160976">
            <w:pPr>
              <w:jc w:val="both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i/>
                <w:iCs/>
                <w:szCs w:val="24"/>
                <w:lang w:val="es-ES"/>
              </w:rPr>
              <w:lastRenderedPageBreak/>
              <w:t>Servicios de radiocomunicaciones en cuestión</w:t>
            </w:r>
            <w:r w:rsidR="008320A3" w:rsidRPr="00530AD6">
              <w:rPr>
                <w:b/>
                <w:bCs/>
                <w:szCs w:val="24"/>
                <w:lang w:val="es-ES"/>
              </w:rPr>
              <w:t>:</w:t>
            </w:r>
          </w:p>
          <w:p w14:paraId="49DAA104" w14:textId="7CF87242" w:rsidR="008320A3" w:rsidRPr="00530AD6" w:rsidRDefault="00530AD6" w:rsidP="00160976">
            <w:pPr>
              <w:rPr>
                <w:lang w:val="es-ES"/>
              </w:rPr>
            </w:pPr>
            <w:r w:rsidRPr="00530AD6">
              <w:rPr>
                <w:lang w:val="es-ES"/>
              </w:rPr>
              <w:t>Servicio móvil por satélite – consideración de nuevas atribuciones en las bandas de frecuencias</w:t>
            </w:r>
            <w:r w:rsidR="008320A3" w:rsidRPr="00530AD6">
              <w:rPr>
                <w:lang w:val="es-ES"/>
              </w:rPr>
              <w:t xml:space="preserve"> 2</w:t>
            </w:r>
            <w:r w:rsidR="00EB661F">
              <w:rPr>
                <w:lang w:val="es-ES"/>
              </w:rPr>
              <w:t> </w:t>
            </w:r>
            <w:r w:rsidR="008320A3" w:rsidRPr="00530AD6">
              <w:rPr>
                <w:lang w:val="es-ES"/>
              </w:rPr>
              <w:t>010-2 025 MHz (</w:t>
            </w:r>
            <w:r w:rsidRPr="00530AD6">
              <w:rPr>
                <w:lang w:val="es-ES"/>
              </w:rPr>
              <w:t>Tierra-es</w:t>
            </w:r>
            <w:r>
              <w:rPr>
                <w:lang w:val="es-ES"/>
              </w:rPr>
              <w:t>pacio) y</w:t>
            </w:r>
            <w:r w:rsidR="008320A3" w:rsidRPr="00530AD6">
              <w:rPr>
                <w:lang w:val="es-ES"/>
              </w:rPr>
              <w:t xml:space="preserve"> 2 160-2 170 MHz (</w:t>
            </w:r>
            <w:r>
              <w:rPr>
                <w:lang w:val="es-ES"/>
              </w:rPr>
              <w:t>espacio-Tierra) en las Regiones 1 y 3 (ya atribuida al SMS en la Región 2) y</w:t>
            </w:r>
            <w:r w:rsidR="008320A3" w:rsidRPr="00530AD6">
              <w:rPr>
                <w:lang w:val="es-ES"/>
              </w:rPr>
              <w:t xml:space="preserve"> 2 200-2 215 MHz (</w:t>
            </w:r>
            <w:r>
              <w:rPr>
                <w:lang w:val="es-ES"/>
              </w:rPr>
              <w:t>espacio-Tierra) en todo el mundo</w:t>
            </w:r>
            <w:r w:rsidR="008320A3" w:rsidRPr="00530AD6">
              <w:rPr>
                <w:lang w:val="es-ES"/>
              </w:rPr>
              <w:t>.</w:t>
            </w:r>
          </w:p>
          <w:p w14:paraId="635FE38D" w14:textId="42240459" w:rsidR="008320A3" w:rsidRPr="001A66F7" w:rsidRDefault="001A66F7" w:rsidP="00160976">
            <w:pPr>
              <w:rPr>
                <w:lang w:val="es-ES"/>
              </w:rPr>
            </w:pPr>
            <w:r w:rsidRPr="001A66F7">
              <w:rPr>
                <w:lang w:val="es-ES"/>
              </w:rPr>
              <w:t>Servicios fijo y móvil – consideración como servicios existentes en las Regiones 1 y 3 en</w:t>
            </w:r>
            <w:r>
              <w:rPr>
                <w:lang w:val="es-ES"/>
              </w:rPr>
              <w:t xml:space="preserve"> las bandas de frecuencias</w:t>
            </w:r>
            <w:r w:rsidR="008320A3" w:rsidRPr="001A66F7">
              <w:rPr>
                <w:lang w:val="es-ES"/>
              </w:rPr>
              <w:t xml:space="preserve"> 2 010-2 025 MHz </w:t>
            </w:r>
            <w:r>
              <w:rPr>
                <w:lang w:val="es-ES"/>
              </w:rPr>
              <w:t>y</w:t>
            </w:r>
            <w:r w:rsidR="008320A3" w:rsidRPr="001A66F7">
              <w:rPr>
                <w:lang w:val="es-ES"/>
              </w:rPr>
              <w:t xml:space="preserve"> 2 160-2 270 MHz. </w:t>
            </w:r>
          </w:p>
          <w:p w14:paraId="70A994E7" w14:textId="6567EC8E" w:rsidR="008320A3" w:rsidRPr="001A66F7" w:rsidRDefault="001A66F7" w:rsidP="00160976">
            <w:pPr>
              <w:rPr>
                <w:lang w:val="es-ES"/>
              </w:rPr>
            </w:pPr>
            <w:r w:rsidRPr="001A66F7">
              <w:rPr>
                <w:lang w:val="es-ES"/>
              </w:rPr>
              <w:t>Servicios fijo, móvil, de operaciones espaciales (espacio-Tierra) (espacio-espacio), de exploración de la Tierra por satélite (espacio-Tierra) (espacio-esp</w:t>
            </w:r>
            <w:r>
              <w:rPr>
                <w:lang w:val="es-ES"/>
              </w:rPr>
              <w:t>acio), de investigación espacial (espacio-Tierra) (espacio-espacio) como servicios existentes en la banda de frecuencias</w:t>
            </w:r>
            <w:r w:rsidR="008320A3" w:rsidRPr="001A66F7">
              <w:rPr>
                <w:lang w:val="es-ES"/>
              </w:rPr>
              <w:t xml:space="preserve"> 2</w:t>
            </w:r>
            <w:r w:rsidR="00EB661F">
              <w:rPr>
                <w:lang w:val="es-ES"/>
              </w:rPr>
              <w:t> </w:t>
            </w:r>
            <w:r w:rsidR="008320A3" w:rsidRPr="001A66F7">
              <w:rPr>
                <w:lang w:val="es-ES"/>
              </w:rPr>
              <w:t>200</w:t>
            </w:r>
            <w:r w:rsidR="00EB661F">
              <w:rPr>
                <w:lang w:val="es-ES"/>
              </w:rPr>
              <w:noBreakHyphen/>
            </w:r>
            <w:r w:rsidR="008320A3" w:rsidRPr="001A66F7">
              <w:rPr>
                <w:lang w:val="es-ES"/>
              </w:rPr>
              <w:t>2</w:t>
            </w:r>
            <w:r w:rsidR="00EB661F">
              <w:rPr>
                <w:lang w:val="es-ES"/>
              </w:rPr>
              <w:t> </w:t>
            </w:r>
            <w:r w:rsidR="008320A3" w:rsidRPr="001A66F7">
              <w:rPr>
                <w:lang w:val="es-ES"/>
              </w:rPr>
              <w:t>215 MHz.</w:t>
            </w:r>
          </w:p>
        </w:tc>
      </w:tr>
      <w:tr w:rsidR="008320A3" w:rsidRPr="00EF6C3B" w14:paraId="09FC7A3D" w14:textId="77777777" w:rsidTr="00160976">
        <w:trPr>
          <w:trHeight w:val="300"/>
        </w:trPr>
        <w:tc>
          <w:tcPr>
            <w:tcW w:w="9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1BEB42AC" w14:textId="00A70460" w:rsidR="008320A3" w:rsidRPr="00EF6C3B" w:rsidRDefault="001A66F7" w:rsidP="00160976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Indicación de posibles dificultades</w:t>
            </w:r>
            <w:r w:rsidR="008320A3" w:rsidRPr="00EF6C3B">
              <w:rPr>
                <w:b/>
                <w:bCs/>
                <w:szCs w:val="24"/>
              </w:rPr>
              <w:t>:</w:t>
            </w:r>
          </w:p>
          <w:p w14:paraId="2B698412" w14:textId="04ED3F38" w:rsidR="008320A3" w:rsidRPr="00EF6C3B" w:rsidRDefault="008320A3" w:rsidP="00160976">
            <w:r w:rsidRPr="00EF6C3B">
              <w:t>No</w:t>
            </w:r>
            <w:r w:rsidR="001A66F7">
              <w:t xml:space="preserve"> se ha identificado ninguna</w:t>
            </w:r>
          </w:p>
        </w:tc>
      </w:tr>
      <w:tr w:rsidR="008320A3" w:rsidRPr="001A66F7" w14:paraId="143B28C9" w14:textId="77777777" w:rsidTr="00160976">
        <w:trPr>
          <w:trHeight w:val="300"/>
        </w:trPr>
        <w:tc>
          <w:tcPr>
            <w:tcW w:w="9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35EA2584" w14:textId="4D12D1D7" w:rsidR="008320A3" w:rsidRPr="001A66F7" w:rsidRDefault="001A66F7" w:rsidP="00160976">
            <w:pPr>
              <w:jc w:val="both"/>
              <w:rPr>
                <w:b/>
                <w:bCs/>
                <w:szCs w:val="24"/>
                <w:lang w:val="es-ES"/>
              </w:rPr>
            </w:pPr>
            <w:r w:rsidRPr="001A66F7">
              <w:rPr>
                <w:b/>
                <w:bCs/>
                <w:i/>
                <w:iCs/>
                <w:szCs w:val="24"/>
                <w:lang w:val="es-ES"/>
              </w:rPr>
              <w:t>Estudios previos o en curso sobre el tema</w:t>
            </w:r>
            <w:r w:rsidR="008320A3" w:rsidRPr="001A66F7">
              <w:rPr>
                <w:b/>
                <w:bCs/>
                <w:szCs w:val="24"/>
                <w:lang w:val="es-ES"/>
              </w:rPr>
              <w:t>:</w:t>
            </w:r>
          </w:p>
          <w:p w14:paraId="72AE0AFF" w14:textId="118FBA20" w:rsidR="008320A3" w:rsidRPr="001A66F7" w:rsidRDefault="001A66F7" w:rsidP="00160976">
            <w:pPr>
              <w:rPr>
                <w:lang w:val="es-ES"/>
              </w:rPr>
            </w:pPr>
            <w:r w:rsidRPr="001A66F7">
              <w:rPr>
                <w:lang w:val="es-ES"/>
              </w:rPr>
              <w:t xml:space="preserve">Nunca se han realizado en la UIT estudios de coexistencia sobre </w:t>
            </w:r>
            <w:r w:rsidR="00EB661F">
              <w:rPr>
                <w:lang w:val="es-ES"/>
              </w:rPr>
              <w:t>«</w:t>
            </w:r>
            <w:r w:rsidRPr="001A66F7">
              <w:rPr>
                <w:lang w:val="es-ES"/>
              </w:rPr>
              <w:t>la utilización de la componente de</w:t>
            </w:r>
            <w:r>
              <w:rPr>
                <w:lang w:val="es-ES"/>
              </w:rPr>
              <w:t xml:space="preserve"> satélite de las</w:t>
            </w:r>
            <w:r w:rsidR="008320A3" w:rsidRPr="001A66F7">
              <w:rPr>
                <w:lang w:val="es-ES"/>
              </w:rPr>
              <w:t xml:space="preserve"> IMT</w:t>
            </w:r>
            <w:r w:rsidR="00EB661F">
              <w:rPr>
                <w:lang w:val="es-ES"/>
              </w:rPr>
              <w:t>»</w:t>
            </w:r>
            <w:r w:rsidR="008320A3" w:rsidRPr="001A66F7">
              <w:rPr>
                <w:lang w:val="es-ES"/>
              </w:rPr>
              <w:t xml:space="preserve"> </w:t>
            </w:r>
            <w:r>
              <w:rPr>
                <w:lang w:val="es-ES"/>
              </w:rPr>
              <w:t>en las bandas de frecuencias en cuestión</w:t>
            </w:r>
            <w:r w:rsidR="008320A3" w:rsidRPr="001A66F7">
              <w:rPr>
                <w:lang w:val="es-ES"/>
              </w:rPr>
              <w:t xml:space="preserve">. </w:t>
            </w:r>
          </w:p>
          <w:p w14:paraId="19E8D4DF" w14:textId="2786CEAF" w:rsidR="008320A3" w:rsidRPr="001A66F7" w:rsidRDefault="001A66F7" w:rsidP="00160976">
            <w:pPr>
              <w:rPr>
                <w:lang w:val="es-ES"/>
              </w:rPr>
            </w:pPr>
            <w:r w:rsidRPr="001A66F7">
              <w:rPr>
                <w:lang w:val="es-ES"/>
              </w:rPr>
              <w:t>En estudios previos sólo se abordaron las necesidades de espectro de la componente de satélite de las Telecomunicaciones Móviles Internacionales</w:t>
            </w:r>
            <w:r w:rsidR="008320A3" w:rsidRPr="001A66F7">
              <w:rPr>
                <w:lang w:val="es-ES"/>
              </w:rPr>
              <w:t xml:space="preserve"> (IMT) - IMT-2000 </w:t>
            </w:r>
            <w:r w:rsidRPr="001A66F7">
              <w:rPr>
                <w:lang w:val="es-ES"/>
              </w:rPr>
              <w:t>y</w:t>
            </w:r>
            <w:r>
              <w:rPr>
                <w:lang w:val="es-ES"/>
              </w:rPr>
              <w:t xml:space="preserve"> sistemas posteriores a las</w:t>
            </w:r>
            <w:r w:rsidR="008320A3" w:rsidRPr="001A66F7">
              <w:rPr>
                <w:lang w:val="es-ES"/>
              </w:rPr>
              <w:t xml:space="preserve"> IMT-2000 (</w:t>
            </w:r>
            <w:r>
              <w:rPr>
                <w:lang w:val="es-ES"/>
              </w:rPr>
              <w:t>Informe UIT</w:t>
            </w:r>
            <w:r w:rsidR="008320A3" w:rsidRPr="001A66F7">
              <w:rPr>
                <w:lang w:val="es-ES"/>
              </w:rPr>
              <w:t xml:space="preserve">-R M.2077), </w:t>
            </w:r>
            <w:r>
              <w:rPr>
                <w:lang w:val="es-ES"/>
              </w:rPr>
              <w:t>así como las necesidades de espectro de las nuevas aplicaciones del SMS de banda ancha en la gama de frecuencias</w:t>
            </w:r>
            <w:r w:rsidR="008320A3" w:rsidRPr="001A66F7">
              <w:rPr>
                <w:lang w:val="es-ES"/>
              </w:rPr>
              <w:t xml:space="preserve"> 4-16 GHz </w:t>
            </w:r>
            <w:r>
              <w:rPr>
                <w:lang w:val="es-ES"/>
              </w:rPr>
              <w:t>(Informes UIT</w:t>
            </w:r>
            <w:r w:rsidR="008320A3" w:rsidRPr="001A66F7">
              <w:rPr>
                <w:lang w:val="es-ES"/>
              </w:rPr>
              <w:t xml:space="preserve">-R M.2218 </w:t>
            </w:r>
            <w:r>
              <w:rPr>
                <w:lang w:val="es-ES"/>
              </w:rPr>
              <w:t>y UIT</w:t>
            </w:r>
            <w:r w:rsidR="008320A3" w:rsidRPr="001A66F7">
              <w:rPr>
                <w:lang w:val="es-ES"/>
              </w:rPr>
              <w:t>-R M.2221).</w:t>
            </w:r>
          </w:p>
        </w:tc>
      </w:tr>
      <w:tr w:rsidR="008320A3" w:rsidRPr="001A66F7" w14:paraId="74F2A2DE" w14:textId="77777777" w:rsidTr="00160976">
        <w:trPr>
          <w:trHeight w:val="300"/>
        </w:trPr>
        <w:tc>
          <w:tcPr>
            <w:tcW w:w="4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B8C0CC" w14:textId="77777777" w:rsidR="00EB661F" w:rsidRDefault="001A66F7" w:rsidP="00160976">
            <w:pPr>
              <w:jc w:val="both"/>
              <w:rPr>
                <w:b/>
                <w:bCs/>
                <w:color w:val="000000" w:themeColor="text1"/>
                <w:szCs w:val="24"/>
                <w:lang w:val="es-ES"/>
              </w:rPr>
            </w:pPr>
            <w:r w:rsidRPr="001A66F7">
              <w:rPr>
                <w:b/>
                <w:bCs/>
                <w:i/>
                <w:iCs/>
                <w:color w:val="000000" w:themeColor="text1"/>
                <w:szCs w:val="24"/>
                <w:lang w:val="es-ES"/>
              </w:rPr>
              <w:t>Estudios que han de efectuarse a cargo de</w:t>
            </w:r>
            <w:r w:rsidR="008320A3" w:rsidRPr="001A66F7">
              <w:rPr>
                <w:b/>
                <w:bCs/>
                <w:color w:val="000000" w:themeColor="text1"/>
                <w:szCs w:val="24"/>
                <w:lang w:val="es-ES"/>
              </w:rPr>
              <w:t>:</w:t>
            </w:r>
          </w:p>
          <w:p w14:paraId="3C985C38" w14:textId="6384763C" w:rsidR="008320A3" w:rsidRPr="001A66F7" w:rsidRDefault="001A66F7" w:rsidP="00160976">
            <w:pPr>
              <w:jc w:val="both"/>
              <w:rPr>
                <w:lang w:val="es-ES"/>
              </w:rPr>
            </w:pPr>
            <w:r>
              <w:rPr>
                <w:rFonts w:ascii="TimesNewRomanPSMT" w:hAnsi="TimesNewRomanPSMT"/>
                <w:lang w:val="es-ES"/>
              </w:rPr>
              <w:t>GT</w:t>
            </w:r>
            <w:r w:rsidR="008320A3" w:rsidRPr="001A66F7">
              <w:rPr>
                <w:lang w:val="es-ES"/>
              </w:rPr>
              <w:t xml:space="preserve"> 4C</w:t>
            </w:r>
          </w:p>
          <w:p w14:paraId="3C16A8D6" w14:textId="77777777" w:rsidR="008320A3" w:rsidRPr="001A66F7" w:rsidRDefault="008320A3" w:rsidP="00160976">
            <w:pPr>
              <w:jc w:val="both"/>
              <w:rPr>
                <w:lang w:val="es-ES"/>
              </w:rPr>
            </w:pPr>
            <w:r w:rsidRPr="001A66F7">
              <w:rPr>
                <w:b/>
                <w:bCs/>
                <w:i/>
                <w:iCs/>
                <w:color w:val="000000" w:themeColor="text1"/>
                <w:szCs w:val="24"/>
                <w:lang w:val="es-ES"/>
              </w:rPr>
              <w:t xml:space="preserve"> </w:t>
            </w:r>
          </w:p>
        </w:tc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4C57E113" w14:textId="0B6ABC70" w:rsidR="008320A3" w:rsidRPr="001A66F7" w:rsidRDefault="001A66F7" w:rsidP="00160976">
            <w:pPr>
              <w:rPr>
                <w:rFonts w:ascii="TimesNewRomanPSMT" w:hAnsi="TimesNewRomanPSMT"/>
                <w:lang w:val="es-ES"/>
              </w:rPr>
            </w:pPr>
            <w:r w:rsidRPr="001A66F7">
              <w:rPr>
                <w:b/>
                <w:bCs/>
                <w:i/>
                <w:iCs/>
                <w:color w:val="000000" w:themeColor="text1"/>
                <w:szCs w:val="24"/>
                <w:lang w:val="es-ES"/>
              </w:rPr>
              <w:t>con participación de</w:t>
            </w:r>
            <w:r w:rsidR="008320A3" w:rsidRPr="001A66F7">
              <w:rPr>
                <w:b/>
                <w:bCs/>
                <w:color w:val="000000" w:themeColor="text1"/>
                <w:szCs w:val="24"/>
                <w:lang w:val="es-ES"/>
              </w:rPr>
              <w:t>:</w:t>
            </w:r>
            <w:r w:rsidR="008320A3" w:rsidRPr="001A66F7">
              <w:rPr>
                <w:rFonts w:ascii="TimesNewRomanPSMT" w:hAnsi="TimesNewRomanPSMT"/>
                <w:lang w:val="es-ES"/>
              </w:rPr>
              <w:t xml:space="preserve"> </w:t>
            </w:r>
          </w:p>
          <w:p w14:paraId="62626CBE" w14:textId="773266A1" w:rsidR="008320A3" w:rsidRPr="001A66F7" w:rsidRDefault="001A66F7" w:rsidP="00160976">
            <w:pPr>
              <w:rPr>
                <w:lang w:val="es-ES"/>
              </w:rPr>
            </w:pPr>
            <w:r w:rsidRPr="001A66F7">
              <w:rPr>
                <w:lang w:val="es-ES"/>
              </w:rPr>
              <w:t>GT</w:t>
            </w:r>
            <w:r w:rsidR="008320A3" w:rsidRPr="001A66F7">
              <w:rPr>
                <w:lang w:val="es-ES"/>
              </w:rPr>
              <w:t xml:space="preserve"> 4A, </w:t>
            </w:r>
            <w:r w:rsidRPr="001A66F7">
              <w:rPr>
                <w:lang w:val="es-ES"/>
              </w:rPr>
              <w:t>GT</w:t>
            </w:r>
            <w:r w:rsidR="008320A3" w:rsidRPr="001A66F7">
              <w:rPr>
                <w:lang w:val="es-ES"/>
              </w:rPr>
              <w:t xml:space="preserve"> 4B, </w:t>
            </w:r>
            <w:r w:rsidRPr="001A66F7">
              <w:rPr>
                <w:lang w:val="es-ES"/>
              </w:rPr>
              <w:t>GT</w:t>
            </w:r>
            <w:r w:rsidR="008320A3" w:rsidRPr="001A66F7">
              <w:rPr>
                <w:lang w:val="es-ES"/>
              </w:rPr>
              <w:t xml:space="preserve"> 5A, </w:t>
            </w:r>
            <w:r w:rsidRPr="001A66F7">
              <w:rPr>
                <w:lang w:val="es-ES"/>
              </w:rPr>
              <w:t>GT</w:t>
            </w:r>
            <w:r w:rsidR="008320A3" w:rsidRPr="001A66F7">
              <w:rPr>
                <w:lang w:val="es-ES"/>
              </w:rPr>
              <w:t xml:space="preserve"> 5D, </w:t>
            </w:r>
            <w:r w:rsidRPr="001A66F7">
              <w:rPr>
                <w:lang w:val="es-ES"/>
              </w:rPr>
              <w:t>GT</w:t>
            </w:r>
            <w:r w:rsidR="008320A3" w:rsidRPr="001A66F7">
              <w:rPr>
                <w:lang w:val="es-ES"/>
              </w:rPr>
              <w:t xml:space="preserve"> 7B, </w:t>
            </w:r>
            <w:r w:rsidRPr="001A66F7">
              <w:rPr>
                <w:lang w:val="es-ES"/>
              </w:rPr>
              <w:t>GT</w:t>
            </w:r>
            <w:r w:rsidR="008320A3" w:rsidRPr="001A66F7">
              <w:rPr>
                <w:lang w:val="es-ES"/>
              </w:rPr>
              <w:t xml:space="preserve"> 7C</w:t>
            </w:r>
          </w:p>
        </w:tc>
      </w:tr>
      <w:tr w:rsidR="008320A3" w:rsidRPr="00EF6C3B" w14:paraId="2B4833ED" w14:textId="77777777" w:rsidTr="00160976">
        <w:trPr>
          <w:trHeight w:val="300"/>
        </w:trPr>
        <w:tc>
          <w:tcPr>
            <w:tcW w:w="9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1B5F036E" w14:textId="39A5FEBF" w:rsidR="008320A3" w:rsidRPr="001A66F7" w:rsidRDefault="001A66F7" w:rsidP="00160976">
            <w:pPr>
              <w:jc w:val="both"/>
              <w:rPr>
                <w:b/>
                <w:bCs/>
                <w:color w:val="000000" w:themeColor="text1"/>
                <w:szCs w:val="24"/>
                <w:lang w:val="es-ES"/>
              </w:rPr>
            </w:pPr>
            <w:r w:rsidRPr="001A66F7">
              <w:rPr>
                <w:b/>
                <w:bCs/>
                <w:i/>
                <w:iCs/>
                <w:color w:val="000000" w:themeColor="text1"/>
                <w:szCs w:val="24"/>
                <w:lang w:val="es-ES"/>
              </w:rPr>
              <w:t>Comisiones de Estudio del UIT-R intere</w:t>
            </w:r>
            <w:r>
              <w:rPr>
                <w:b/>
                <w:bCs/>
                <w:i/>
                <w:iCs/>
                <w:color w:val="000000" w:themeColor="text1"/>
                <w:szCs w:val="24"/>
                <w:lang w:val="es-ES"/>
              </w:rPr>
              <w:t>sadas</w:t>
            </w:r>
            <w:r w:rsidR="008320A3" w:rsidRPr="001A66F7">
              <w:rPr>
                <w:b/>
                <w:bCs/>
                <w:color w:val="000000" w:themeColor="text1"/>
                <w:szCs w:val="24"/>
                <w:lang w:val="es-ES"/>
              </w:rPr>
              <w:t>:</w:t>
            </w:r>
          </w:p>
          <w:p w14:paraId="27135247" w14:textId="5A9CF366" w:rsidR="008320A3" w:rsidRPr="00EF6C3B" w:rsidRDefault="001A66F7" w:rsidP="00160976">
            <w:r>
              <w:t>CE</w:t>
            </w:r>
            <w:r w:rsidR="008320A3" w:rsidRPr="00EF6C3B">
              <w:t xml:space="preserve"> 4, </w:t>
            </w:r>
            <w:r>
              <w:t>CE</w:t>
            </w:r>
            <w:r w:rsidR="008320A3" w:rsidRPr="00EF6C3B">
              <w:t xml:space="preserve"> 5, </w:t>
            </w:r>
            <w:r>
              <w:t>CE</w:t>
            </w:r>
            <w:r w:rsidR="008320A3" w:rsidRPr="00EF6C3B">
              <w:t xml:space="preserve"> 7</w:t>
            </w:r>
            <w:r w:rsidR="008320A3" w:rsidRPr="00EF6C3B">
              <w:rPr>
                <w:b/>
                <w:bCs/>
                <w:i/>
                <w:iCs/>
                <w:szCs w:val="24"/>
              </w:rPr>
              <w:t xml:space="preserve"> </w:t>
            </w:r>
          </w:p>
        </w:tc>
      </w:tr>
      <w:tr w:rsidR="008320A3" w:rsidRPr="001A66F7" w14:paraId="65ACCC6F" w14:textId="77777777" w:rsidTr="00160976">
        <w:trPr>
          <w:trHeight w:val="300"/>
        </w:trPr>
        <w:tc>
          <w:tcPr>
            <w:tcW w:w="9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4D7427E1" w14:textId="77777777" w:rsidR="005F5BBD" w:rsidRDefault="001A66F7" w:rsidP="00160976">
            <w:pPr>
              <w:jc w:val="both"/>
              <w:rPr>
                <w:b/>
                <w:bCs/>
                <w:i/>
                <w:iCs/>
                <w:szCs w:val="24"/>
                <w:lang w:val="es-ES"/>
              </w:rPr>
            </w:pPr>
            <w:r w:rsidRPr="001A66F7">
              <w:rPr>
                <w:b/>
                <w:bCs/>
                <w:i/>
                <w:iCs/>
                <w:szCs w:val="24"/>
                <w:lang w:val="es-ES"/>
              </w:rPr>
              <w:t xml:space="preserve">Consecuencias en los recursos de </w:t>
            </w:r>
            <w:r>
              <w:rPr>
                <w:b/>
                <w:bCs/>
                <w:i/>
                <w:iCs/>
                <w:szCs w:val="24"/>
                <w:lang w:val="es-ES"/>
              </w:rPr>
              <w:t>la UIT, incluidas las implicaciones financieras</w:t>
            </w:r>
          </w:p>
          <w:p w14:paraId="0BFCE58A" w14:textId="038CD92C" w:rsidR="008320A3" w:rsidRPr="001A66F7" w:rsidRDefault="001A66F7" w:rsidP="00160976">
            <w:pPr>
              <w:jc w:val="both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i/>
                <w:iCs/>
                <w:szCs w:val="24"/>
                <w:lang w:val="es-ES"/>
              </w:rPr>
              <w:t>(véase el</w:t>
            </w:r>
            <w:r w:rsidR="008320A3" w:rsidRPr="001A66F7">
              <w:rPr>
                <w:b/>
                <w:bCs/>
                <w:i/>
                <w:iCs/>
                <w:szCs w:val="24"/>
                <w:lang w:val="es-ES"/>
              </w:rPr>
              <w:t xml:space="preserve"> CV126)</w:t>
            </w:r>
            <w:r w:rsidR="008320A3" w:rsidRPr="001A66F7">
              <w:rPr>
                <w:b/>
                <w:bCs/>
                <w:szCs w:val="24"/>
                <w:lang w:val="es-ES"/>
              </w:rPr>
              <w:t>:</w:t>
            </w:r>
          </w:p>
          <w:p w14:paraId="7FFE9BD2" w14:textId="714B854A" w:rsidR="008320A3" w:rsidRPr="001A66F7" w:rsidRDefault="001A66F7" w:rsidP="00160976">
            <w:pPr>
              <w:rPr>
                <w:lang w:val="es-ES"/>
              </w:rPr>
            </w:pPr>
            <w:r w:rsidRPr="001A66F7">
              <w:rPr>
                <w:lang w:val="es-ES"/>
              </w:rPr>
              <w:t>Se espera que las implicaciones financieras de todas las actividades/estudios emprendidos en relación con es</w:t>
            </w:r>
            <w:r>
              <w:rPr>
                <w:lang w:val="es-ES"/>
              </w:rPr>
              <w:t>ta propuesta de punto del orden del día queden cubiertas por el presupuesto ordinario del UIT-R y, una vez acordada, por el presupuesto ordinario de la CMR-27</w:t>
            </w:r>
            <w:r w:rsidR="008320A3" w:rsidRPr="001A66F7">
              <w:rPr>
                <w:lang w:val="es-ES"/>
              </w:rPr>
              <w:t>.</w:t>
            </w:r>
          </w:p>
        </w:tc>
      </w:tr>
      <w:tr w:rsidR="008320A3" w:rsidRPr="008320A3" w14:paraId="277623CB" w14:textId="77777777" w:rsidTr="00160976">
        <w:trPr>
          <w:trHeight w:val="300"/>
        </w:trPr>
        <w:tc>
          <w:tcPr>
            <w:tcW w:w="48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312BB5FC" w14:textId="447179AE" w:rsidR="008320A3" w:rsidRPr="001A66F7" w:rsidRDefault="001A66F7" w:rsidP="00160976">
            <w:pPr>
              <w:jc w:val="both"/>
              <w:rPr>
                <w:lang w:val="es-ES"/>
              </w:rPr>
            </w:pPr>
            <w:r w:rsidRPr="001A66F7">
              <w:rPr>
                <w:b/>
                <w:bCs/>
                <w:i/>
                <w:iCs/>
                <w:szCs w:val="24"/>
                <w:lang w:val="es-ES"/>
              </w:rPr>
              <w:lastRenderedPageBreak/>
              <w:t>Propuesta regional común</w:t>
            </w:r>
            <w:r w:rsidR="008320A3" w:rsidRPr="001A66F7">
              <w:rPr>
                <w:b/>
                <w:bCs/>
                <w:szCs w:val="24"/>
                <w:lang w:val="es-ES"/>
              </w:rPr>
              <w:t xml:space="preserve">: </w:t>
            </w:r>
            <w:r w:rsidRPr="001A66F7">
              <w:rPr>
                <w:szCs w:val="24"/>
                <w:lang w:val="es-ES"/>
              </w:rPr>
              <w:t>Sí</w:t>
            </w:r>
            <w:r w:rsidR="008320A3" w:rsidRPr="001A66F7">
              <w:rPr>
                <w:szCs w:val="24"/>
                <w:lang w:val="es-ES"/>
              </w:rPr>
              <w:t>/No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74F16174" w14:textId="67D95A31" w:rsidR="008320A3" w:rsidRPr="001A66F7" w:rsidRDefault="001A66F7" w:rsidP="00160976">
            <w:pPr>
              <w:jc w:val="both"/>
              <w:rPr>
                <w:lang w:val="es-ES"/>
              </w:rPr>
            </w:pPr>
            <w:r w:rsidRPr="001A66F7">
              <w:rPr>
                <w:b/>
                <w:bCs/>
                <w:i/>
                <w:iCs/>
                <w:szCs w:val="24"/>
                <w:lang w:val="es-ES"/>
              </w:rPr>
              <w:t>Propuesta presentada por más d</w:t>
            </w:r>
            <w:r w:rsidR="00082F1F">
              <w:rPr>
                <w:b/>
                <w:bCs/>
                <w:i/>
                <w:iCs/>
                <w:szCs w:val="24"/>
                <w:lang w:val="es-ES"/>
              </w:rPr>
              <w:t>e</w:t>
            </w:r>
            <w:r w:rsidRPr="001A66F7">
              <w:rPr>
                <w:b/>
                <w:bCs/>
                <w:i/>
                <w:iCs/>
                <w:szCs w:val="24"/>
                <w:lang w:val="es-ES"/>
              </w:rPr>
              <w:t xml:space="preserve"> un p</w:t>
            </w:r>
            <w:r>
              <w:rPr>
                <w:b/>
                <w:bCs/>
                <w:i/>
                <w:iCs/>
                <w:szCs w:val="24"/>
                <w:lang w:val="es-ES"/>
              </w:rPr>
              <w:t>aís</w:t>
            </w:r>
            <w:r w:rsidR="008320A3" w:rsidRPr="001A66F7">
              <w:rPr>
                <w:b/>
                <w:bCs/>
                <w:szCs w:val="24"/>
                <w:lang w:val="es-ES"/>
              </w:rPr>
              <w:t xml:space="preserve">: </w:t>
            </w:r>
            <w:r w:rsidRPr="001A66F7">
              <w:rPr>
                <w:szCs w:val="24"/>
                <w:lang w:val="es-ES"/>
              </w:rPr>
              <w:t>Sí</w:t>
            </w:r>
            <w:r w:rsidR="008320A3" w:rsidRPr="001A66F7">
              <w:rPr>
                <w:szCs w:val="24"/>
                <w:lang w:val="es-ES"/>
              </w:rPr>
              <w:t>/No</w:t>
            </w:r>
          </w:p>
          <w:p w14:paraId="6B34A855" w14:textId="0C98EC68" w:rsidR="008320A3" w:rsidRPr="008320A3" w:rsidRDefault="008320A3" w:rsidP="00160976">
            <w:pPr>
              <w:jc w:val="both"/>
              <w:rPr>
                <w:lang w:val="en-US"/>
              </w:rPr>
            </w:pPr>
            <w:r w:rsidRPr="008320A3">
              <w:rPr>
                <w:b/>
                <w:bCs/>
                <w:i/>
                <w:iCs/>
                <w:szCs w:val="24"/>
                <w:lang w:val="en-US"/>
              </w:rPr>
              <w:t>N</w:t>
            </w:r>
            <w:r w:rsidR="001A66F7">
              <w:rPr>
                <w:b/>
                <w:bCs/>
                <w:i/>
                <w:iCs/>
                <w:szCs w:val="24"/>
                <w:lang w:val="en-US"/>
              </w:rPr>
              <w:t>úmero de países</w:t>
            </w:r>
            <w:r w:rsidRPr="008320A3">
              <w:rPr>
                <w:b/>
                <w:bCs/>
                <w:szCs w:val="24"/>
                <w:lang w:val="en-US"/>
              </w:rPr>
              <w:t>:</w:t>
            </w:r>
          </w:p>
          <w:p w14:paraId="5E2AB532" w14:textId="77777777" w:rsidR="008320A3" w:rsidRPr="008320A3" w:rsidRDefault="008320A3" w:rsidP="00160976">
            <w:pPr>
              <w:jc w:val="both"/>
              <w:rPr>
                <w:lang w:val="en-US"/>
              </w:rPr>
            </w:pPr>
            <w:r w:rsidRPr="008320A3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</w:p>
        </w:tc>
      </w:tr>
      <w:tr w:rsidR="008320A3" w:rsidRPr="00EF6C3B" w14:paraId="61C49DE4" w14:textId="77777777" w:rsidTr="00160976">
        <w:trPr>
          <w:trHeight w:val="300"/>
        </w:trPr>
        <w:tc>
          <w:tcPr>
            <w:tcW w:w="96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A47FA69" w14:textId="788E7A3A" w:rsidR="008320A3" w:rsidRPr="00EF6C3B" w:rsidRDefault="001A66F7" w:rsidP="00160976">
            <w:pPr>
              <w:jc w:val="both"/>
            </w:pPr>
            <w:r>
              <w:rPr>
                <w:b/>
                <w:bCs/>
                <w:i/>
                <w:iCs/>
                <w:szCs w:val="24"/>
              </w:rPr>
              <w:t>Observaciones</w:t>
            </w:r>
          </w:p>
          <w:p w14:paraId="365E7BEA" w14:textId="77777777" w:rsidR="008320A3" w:rsidRPr="00EF6C3B" w:rsidRDefault="008320A3" w:rsidP="00160976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</w:tr>
    </w:tbl>
    <w:p w14:paraId="0CB00684" w14:textId="77777777" w:rsidR="005F5BBD" w:rsidRDefault="005F5BBD" w:rsidP="00411C49">
      <w:pPr>
        <w:pStyle w:val="Reasons"/>
      </w:pPr>
    </w:p>
    <w:p w14:paraId="57F6A18F" w14:textId="77777777" w:rsidR="005F5BBD" w:rsidRDefault="005F5BBD">
      <w:pPr>
        <w:jc w:val="center"/>
      </w:pPr>
      <w:r>
        <w:t>______________</w:t>
      </w:r>
    </w:p>
    <w:sectPr w:rsidR="005F5BBD"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098CA" w14:textId="77777777" w:rsidR="00666B37" w:rsidRDefault="00666B37">
      <w:r>
        <w:separator/>
      </w:r>
    </w:p>
  </w:endnote>
  <w:endnote w:type="continuationSeparator" w:id="0">
    <w:p w14:paraId="6914F33D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C19F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A7F382" w14:textId="366A6ABF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6077">
      <w:rPr>
        <w:noProof/>
      </w:rPr>
      <w:t>08.11.23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0A09" w14:textId="00C2A8C6" w:rsidR="0077084A" w:rsidRDefault="00C52761" w:rsidP="004E6AB5">
    <w:pPr>
      <w:pStyle w:val="Footer"/>
      <w:rPr>
        <w:lang w:val="en-US"/>
      </w:rPr>
    </w:pPr>
    <w:fldSimple w:instr=" FILENAME \p  \* MERGEFORMAT ">
      <w:r w:rsidR="004E6AB5">
        <w:t>P:\ESP\ITU-R\CONF-R\CMR23\100\186S.docx</w:t>
      </w:r>
    </w:fldSimple>
    <w:r w:rsidR="004E6AB5">
      <w:t xml:space="preserve"> </w:t>
    </w:r>
    <w:r w:rsidR="00944C3D">
      <w:rPr>
        <w:lang w:val="en-US"/>
      </w:rPr>
      <w:t>(530521)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BDFE" w14:textId="13192787" w:rsidR="0077084A" w:rsidRPr="00944C3D" w:rsidRDefault="00C52761" w:rsidP="004E6AB5">
    <w:pPr>
      <w:pStyle w:val="Footer"/>
      <w:rPr>
        <w:lang w:val="en-US"/>
      </w:rPr>
    </w:pPr>
    <w:fldSimple w:instr=" FILENAME \p  \* MERGEFORMAT ">
      <w:r w:rsidR="004E6AB5">
        <w:t>P:\ESP\ITU-R\CONF-R\CMR23\100\186S.docx</w:t>
      </w:r>
    </w:fldSimple>
    <w:r w:rsidR="004E6AB5">
      <w:t xml:space="preserve"> </w:t>
    </w:r>
    <w:r w:rsidR="00944C3D">
      <w:rPr>
        <w:lang w:val="en-US"/>
      </w:rPr>
      <w:t>(530521)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5D51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46F9AEF8" w14:textId="77777777" w:rsidR="00666B37" w:rsidRDefault="00666B37">
      <w:r>
        <w:continuationSeparator/>
      </w:r>
    </w:p>
  </w:footnote>
  <w:footnote w:id="1">
    <w:p w14:paraId="0787E35A" w14:textId="4A0AFA2C" w:rsidR="008320A3" w:rsidRPr="0080033B" w:rsidRDefault="008320A3" w:rsidP="008320A3">
      <w:pPr>
        <w:pStyle w:val="FootnoteText"/>
        <w:rPr>
          <w:lang w:val="en-US"/>
        </w:rPr>
      </w:pPr>
      <w:r>
        <w:rPr>
          <w:rStyle w:val="FootnoteReference"/>
          <w:rFonts w:eastAsia="BatangChe"/>
        </w:rPr>
        <w:footnoteRef/>
      </w:r>
      <w:r w:rsidRPr="008320A3">
        <w:rPr>
          <w:lang w:val="en-US"/>
        </w:rPr>
        <w:tab/>
      </w:r>
      <w:r w:rsidR="00B01BB8">
        <w:rPr>
          <w:lang w:val="en-US"/>
        </w:rPr>
        <w:t>«</w:t>
      </w:r>
      <w:r>
        <w:rPr>
          <w:lang w:val="en-US"/>
        </w:rPr>
        <w:t>The Mobile Economy</w:t>
      </w:r>
      <w:r w:rsidR="00B01BB8">
        <w:rPr>
          <w:lang w:val="en-US"/>
        </w:rPr>
        <w:t>»</w:t>
      </w:r>
      <w:r>
        <w:rPr>
          <w:lang w:val="en-US"/>
        </w:rPr>
        <w:t xml:space="preserve">, GSMA 2022, </w:t>
      </w:r>
      <w:hyperlink r:id="rId1" w:history="1">
        <w:r w:rsidRPr="00FC3A90">
          <w:rPr>
            <w:rStyle w:val="Hyperlink"/>
            <w:lang w:val="en-US"/>
          </w:rPr>
          <w:t>www.gsma.com/mobileeconomy</w:t>
        </w:r>
      </w:hyperlink>
      <w:r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7E33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705F0B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186-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71295269">
    <w:abstractNumId w:val="8"/>
  </w:num>
  <w:num w:numId="2" w16cid:durableId="12894121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86297775">
    <w:abstractNumId w:val="9"/>
  </w:num>
  <w:num w:numId="4" w16cid:durableId="1175263343">
    <w:abstractNumId w:val="7"/>
  </w:num>
  <w:num w:numId="5" w16cid:durableId="1955088827">
    <w:abstractNumId w:val="6"/>
  </w:num>
  <w:num w:numId="6" w16cid:durableId="2082093964">
    <w:abstractNumId w:val="5"/>
  </w:num>
  <w:num w:numId="7" w16cid:durableId="1259680971">
    <w:abstractNumId w:val="4"/>
  </w:num>
  <w:num w:numId="8" w16cid:durableId="1695761625">
    <w:abstractNumId w:val="3"/>
  </w:num>
  <w:num w:numId="9" w16cid:durableId="451048329">
    <w:abstractNumId w:val="2"/>
  </w:num>
  <w:num w:numId="10" w16cid:durableId="1479684486">
    <w:abstractNumId w:val="1"/>
  </w:num>
  <w:num w:numId="11" w16cid:durableId="175284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2F1F"/>
    <w:rsid w:val="00087AE8"/>
    <w:rsid w:val="00091054"/>
    <w:rsid w:val="000954B3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A66F7"/>
    <w:rsid w:val="001C41FA"/>
    <w:rsid w:val="001E2B52"/>
    <w:rsid w:val="001E3F27"/>
    <w:rsid w:val="001E5926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2A95"/>
    <w:rsid w:val="002C5D6C"/>
    <w:rsid w:val="002E701F"/>
    <w:rsid w:val="003248A9"/>
    <w:rsid w:val="00324FFA"/>
    <w:rsid w:val="0032680B"/>
    <w:rsid w:val="00336979"/>
    <w:rsid w:val="00363A65"/>
    <w:rsid w:val="003B1E8C"/>
    <w:rsid w:val="003B3BB3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4E6AB5"/>
    <w:rsid w:val="004F6D7F"/>
    <w:rsid w:val="005133B5"/>
    <w:rsid w:val="00524392"/>
    <w:rsid w:val="00530AD6"/>
    <w:rsid w:val="00532097"/>
    <w:rsid w:val="00556A1D"/>
    <w:rsid w:val="0058350F"/>
    <w:rsid w:val="00583C7E"/>
    <w:rsid w:val="0059098E"/>
    <w:rsid w:val="005D46FB"/>
    <w:rsid w:val="005F2605"/>
    <w:rsid w:val="005F3B0E"/>
    <w:rsid w:val="005F3DB8"/>
    <w:rsid w:val="005F559C"/>
    <w:rsid w:val="005F5BBD"/>
    <w:rsid w:val="00602857"/>
    <w:rsid w:val="006124AD"/>
    <w:rsid w:val="00624009"/>
    <w:rsid w:val="00642A1C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10ABB"/>
    <w:rsid w:val="007354E9"/>
    <w:rsid w:val="007424E8"/>
    <w:rsid w:val="0074579D"/>
    <w:rsid w:val="00765578"/>
    <w:rsid w:val="00766333"/>
    <w:rsid w:val="0077084A"/>
    <w:rsid w:val="007952C7"/>
    <w:rsid w:val="007B1252"/>
    <w:rsid w:val="007C0B95"/>
    <w:rsid w:val="007C2317"/>
    <w:rsid w:val="007D330A"/>
    <w:rsid w:val="007F1691"/>
    <w:rsid w:val="0080079E"/>
    <w:rsid w:val="008320A3"/>
    <w:rsid w:val="008504C2"/>
    <w:rsid w:val="00866984"/>
    <w:rsid w:val="00866AE6"/>
    <w:rsid w:val="008750A8"/>
    <w:rsid w:val="008D3316"/>
    <w:rsid w:val="008E5AF2"/>
    <w:rsid w:val="0090121B"/>
    <w:rsid w:val="009144C9"/>
    <w:rsid w:val="0094091F"/>
    <w:rsid w:val="00944C3D"/>
    <w:rsid w:val="00962171"/>
    <w:rsid w:val="00973754"/>
    <w:rsid w:val="009C0BED"/>
    <w:rsid w:val="009C44E0"/>
    <w:rsid w:val="009E11EC"/>
    <w:rsid w:val="009F6896"/>
    <w:rsid w:val="00A021CC"/>
    <w:rsid w:val="00A118DB"/>
    <w:rsid w:val="00A4450C"/>
    <w:rsid w:val="00A47B26"/>
    <w:rsid w:val="00AA5E6C"/>
    <w:rsid w:val="00AC49B1"/>
    <w:rsid w:val="00AE5677"/>
    <w:rsid w:val="00AE658F"/>
    <w:rsid w:val="00AF2F78"/>
    <w:rsid w:val="00B01BB8"/>
    <w:rsid w:val="00B149CE"/>
    <w:rsid w:val="00B239FA"/>
    <w:rsid w:val="00B372AB"/>
    <w:rsid w:val="00B47331"/>
    <w:rsid w:val="00B52D55"/>
    <w:rsid w:val="00B73AE2"/>
    <w:rsid w:val="00B8288C"/>
    <w:rsid w:val="00B86034"/>
    <w:rsid w:val="00BE2E80"/>
    <w:rsid w:val="00BE5EDD"/>
    <w:rsid w:val="00BE6A1F"/>
    <w:rsid w:val="00C02AAB"/>
    <w:rsid w:val="00C126C4"/>
    <w:rsid w:val="00C44E9E"/>
    <w:rsid w:val="00C52761"/>
    <w:rsid w:val="00C60DE8"/>
    <w:rsid w:val="00C63EB5"/>
    <w:rsid w:val="00C825CC"/>
    <w:rsid w:val="00C87DA7"/>
    <w:rsid w:val="00CA4945"/>
    <w:rsid w:val="00CC01E0"/>
    <w:rsid w:val="00CD5FEE"/>
    <w:rsid w:val="00CE60D2"/>
    <w:rsid w:val="00CE7431"/>
    <w:rsid w:val="00CF6077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75CB3"/>
    <w:rsid w:val="00EA52FB"/>
    <w:rsid w:val="00EA77F0"/>
    <w:rsid w:val="00EB661F"/>
    <w:rsid w:val="00ED6790"/>
    <w:rsid w:val="00EE341A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D53A9F8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qFormat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link w:val="RestitleChar"/>
    <w:qFormat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aliases w:val="CEO_Hyperlink,超级链接,ECC 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20A3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link w:val="enumlev1"/>
    <w:qFormat/>
    <w:locked/>
    <w:rsid w:val="008320A3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qFormat/>
    <w:locked/>
    <w:rsid w:val="008320A3"/>
    <w:rPr>
      <w:rFonts w:ascii="Times New Roman" w:hAnsi="Times New Roman"/>
      <w:i/>
      <w:sz w:val="24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8320A3"/>
    <w:rPr>
      <w:rFonts w:ascii="Times New Roman" w:hAnsi="Times New Roman"/>
      <w:sz w:val="24"/>
      <w:lang w:val="es-ES_tradnl" w:eastAsia="en-US"/>
    </w:rPr>
  </w:style>
  <w:style w:type="character" w:customStyle="1" w:styleId="RestitleChar">
    <w:name w:val="Res_title Char"/>
    <w:link w:val="Restitle"/>
    <w:qFormat/>
    <w:locked/>
    <w:rsid w:val="008320A3"/>
    <w:rPr>
      <w:rFonts w:ascii="Times New Roman Bold" w:hAnsi="Times New Roman Bold"/>
      <w:b/>
      <w:sz w:val="28"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B01B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u.int/pub/R-RES-R.56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sma.com/mobileecono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R23-WRC23-C-0186!!MSW-S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F11C99-6488-42DC-A726-1214364F5D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E9C07AE-91E7-4514-8A0B-A85EDB295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D04E5-9E6F-4D43-B3CF-AE0C37234621}">
  <ds:schemaRefs>
    <ds:schemaRef ds:uri="http://schemas.microsoft.com/office/2006/metadata/properties"/>
    <ds:schemaRef ds:uri="http://purl.org/dc/terms/"/>
    <ds:schemaRef ds:uri="996b2e75-67fd-4955-a3b0-5ab9934cb50b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1AD68A-1525-4014-9E9D-1B071AAEFB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9</Pages>
  <Words>3283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R23-WRC23-C-0186!!MSW-S</vt:lpstr>
    </vt:vector>
  </TitlesOfParts>
  <Manager>Secretaría General - Pool</Manager>
  <Company>Unión Internacional de Telecomunicaciones (UIT)</Company>
  <LinksUpToDate>false</LinksUpToDate>
  <CharactersWithSpaces>20764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R23-WRC23-C-0186!!MSW-S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18</cp:revision>
  <cp:lastPrinted>2003-02-19T20:20:00Z</cp:lastPrinted>
  <dcterms:created xsi:type="dcterms:W3CDTF">2023-11-07T16:15:00Z</dcterms:created>
  <dcterms:modified xsi:type="dcterms:W3CDTF">2023-11-08T09:59:00Z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