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14B4B" w14:paraId="607A5871" w14:textId="77777777" w:rsidTr="004C6D0B">
        <w:trPr>
          <w:cantSplit/>
        </w:trPr>
        <w:tc>
          <w:tcPr>
            <w:tcW w:w="1418" w:type="dxa"/>
            <w:vAlign w:val="center"/>
          </w:tcPr>
          <w:p w14:paraId="6FCA108D" w14:textId="77777777" w:rsidR="004C6D0B" w:rsidRPr="00214B4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4B4B">
              <w:rPr>
                <w:noProof/>
              </w:rPr>
              <w:drawing>
                <wp:inline distT="0" distB="0" distL="0" distR="0" wp14:anchorId="2D86BFE9" wp14:editId="257D0A5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5E9E3A4" w14:textId="77777777" w:rsidR="004C6D0B" w:rsidRPr="00214B4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14B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14B4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8CECC23" w14:textId="77777777" w:rsidR="004C6D0B" w:rsidRPr="00214B4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214B4B">
              <w:rPr>
                <w:noProof/>
              </w:rPr>
              <w:drawing>
                <wp:inline distT="0" distB="0" distL="0" distR="0" wp14:anchorId="4902726A" wp14:editId="7DEC18EE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14B4B" w14:paraId="5673437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09FDF4F" w14:textId="77777777" w:rsidR="005651C9" w:rsidRPr="00214B4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046C7FF" w14:textId="77777777" w:rsidR="005651C9" w:rsidRPr="00214B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14B4B" w14:paraId="240F141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EF15261" w14:textId="77777777" w:rsidR="005651C9" w:rsidRPr="00214B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AF214A7" w14:textId="77777777" w:rsidR="005651C9" w:rsidRPr="00214B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14B4B" w14:paraId="3BDBE5E2" w14:textId="77777777" w:rsidTr="001226EC">
        <w:trPr>
          <w:cantSplit/>
        </w:trPr>
        <w:tc>
          <w:tcPr>
            <w:tcW w:w="6771" w:type="dxa"/>
            <w:gridSpan w:val="2"/>
          </w:tcPr>
          <w:p w14:paraId="7182DD38" w14:textId="77777777" w:rsidR="005651C9" w:rsidRPr="00214B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4B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46D9AE4" w14:textId="77777777" w:rsidR="005651C9" w:rsidRPr="00214B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bCs/>
                <w:sz w:val="18"/>
                <w:szCs w:val="18"/>
              </w:rPr>
              <w:t>Документ 186</w:t>
            </w:r>
            <w:r w:rsidR="005651C9" w:rsidRPr="00214B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14B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14B4B" w14:paraId="4A597798" w14:textId="77777777" w:rsidTr="001226EC">
        <w:trPr>
          <w:cantSplit/>
        </w:trPr>
        <w:tc>
          <w:tcPr>
            <w:tcW w:w="6771" w:type="dxa"/>
            <w:gridSpan w:val="2"/>
          </w:tcPr>
          <w:p w14:paraId="7E0EECC2" w14:textId="77777777" w:rsidR="000F33D8" w:rsidRPr="00214B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D9DD0A1" w14:textId="77777777" w:rsidR="000F33D8" w:rsidRPr="00214B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4B4B">
              <w:rPr>
                <w:rFonts w:ascii="Verdana" w:hAnsi="Verdana"/>
                <w:b/>
                <w:bCs/>
                <w:sz w:val="18"/>
                <w:szCs w:val="18"/>
              </w:rPr>
              <w:t>31 октября 2023 года</w:t>
            </w:r>
          </w:p>
        </w:tc>
      </w:tr>
      <w:tr w:rsidR="000F33D8" w:rsidRPr="00214B4B" w14:paraId="78B43C8C" w14:textId="77777777" w:rsidTr="001226EC">
        <w:trPr>
          <w:cantSplit/>
        </w:trPr>
        <w:tc>
          <w:tcPr>
            <w:tcW w:w="6771" w:type="dxa"/>
            <w:gridSpan w:val="2"/>
          </w:tcPr>
          <w:p w14:paraId="654DEA84" w14:textId="77777777" w:rsidR="000F33D8" w:rsidRPr="00214B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92AC428" w14:textId="77777777" w:rsidR="000F33D8" w:rsidRPr="00214B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4B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14B4B" w14:paraId="19171DFB" w14:textId="77777777" w:rsidTr="009546EA">
        <w:trPr>
          <w:cantSplit/>
        </w:trPr>
        <w:tc>
          <w:tcPr>
            <w:tcW w:w="10031" w:type="dxa"/>
            <w:gridSpan w:val="4"/>
          </w:tcPr>
          <w:p w14:paraId="3583B72E" w14:textId="77777777" w:rsidR="000F33D8" w:rsidRPr="00214B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14B4B" w14:paraId="5A889DD1" w14:textId="77777777">
        <w:trPr>
          <w:cantSplit/>
        </w:trPr>
        <w:tc>
          <w:tcPr>
            <w:tcW w:w="10031" w:type="dxa"/>
            <w:gridSpan w:val="4"/>
          </w:tcPr>
          <w:p w14:paraId="26E5D77D" w14:textId="77777777" w:rsidR="000F33D8" w:rsidRPr="00214B4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214B4B">
              <w:rPr>
                <w:szCs w:val="26"/>
              </w:rPr>
              <w:t>Папуа-Новая Гвинея</w:t>
            </w:r>
          </w:p>
        </w:tc>
      </w:tr>
      <w:tr w:rsidR="000F33D8" w:rsidRPr="00214B4B" w14:paraId="1D5C6E06" w14:textId="77777777">
        <w:trPr>
          <w:cantSplit/>
        </w:trPr>
        <w:tc>
          <w:tcPr>
            <w:tcW w:w="10031" w:type="dxa"/>
            <w:gridSpan w:val="4"/>
          </w:tcPr>
          <w:p w14:paraId="461B38BC" w14:textId="77777777" w:rsidR="000F33D8" w:rsidRPr="00214B4B" w:rsidRDefault="00E920F9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214B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14B4B" w14:paraId="5246FE2D" w14:textId="77777777">
        <w:trPr>
          <w:cantSplit/>
        </w:trPr>
        <w:tc>
          <w:tcPr>
            <w:tcW w:w="10031" w:type="dxa"/>
            <w:gridSpan w:val="4"/>
          </w:tcPr>
          <w:p w14:paraId="7DF59AF7" w14:textId="77777777" w:rsidR="000F33D8" w:rsidRPr="00214B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14B4B" w14:paraId="5DB2785E" w14:textId="77777777">
        <w:trPr>
          <w:cantSplit/>
        </w:trPr>
        <w:tc>
          <w:tcPr>
            <w:tcW w:w="10031" w:type="dxa"/>
            <w:gridSpan w:val="4"/>
          </w:tcPr>
          <w:p w14:paraId="0891D559" w14:textId="77777777" w:rsidR="000F33D8" w:rsidRPr="00214B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14B4B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22C0A177" w14:textId="77777777" w:rsidR="00276DC5" w:rsidRPr="00214B4B" w:rsidRDefault="00BC104E" w:rsidP="00AE133A">
      <w:r w:rsidRPr="00214B4B">
        <w:t>10</w:t>
      </w:r>
      <w:r w:rsidRPr="00214B4B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214B4B">
        <w:rPr>
          <w:b/>
          <w:bCs/>
          <w:iCs/>
        </w:rPr>
        <w:t>804 (</w:t>
      </w:r>
      <w:r w:rsidRPr="00214B4B">
        <w:rPr>
          <w:b/>
          <w:bCs/>
        </w:rPr>
        <w:t>Пересм. ВКР-</w:t>
      </w:r>
      <w:r w:rsidRPr="00214B4B">
        <w:rPr>
          <w:b/>
          <w:bCs/>
          <w:iCs/>
        </w:rPr>
        <w:t>19)</w:t>
      </w:r>
      <w:r w:rsidRPr="00214B4B">
        <w:t>,</w:t>
      </w:r>
    </w:p>
    <w:p w14:paraId="52FF1A9C" w14:textId="77777777" w:rsidR="00E920F9" w:rsidRPr="00214B4B" w:rsidRDefault="00E920F9" w:rsidP="00E920F9">
      <w:pPr>
        <w:pStyle w:val="Headingb"/>
        <w:rPr>
          <w:lang w:val="ru-RU" w:eastAsia="ko-KR"/>
        </w:rPr>
      </w:pPr>
      <w:r w:rsidRPr="00214B4B">
        <w:rPr>
          <w:lang w:val="ru-RU" w:eastAsia="ko-KR"/>
        </w:rPr>
        <w:t>Базовая информация</w:t>
      </w:r>
    </w:p>
    <w:p w14:paraId="1FACBE59" w14:textId="189E2AE6" w:rsidR="00E920F9" w:rsidRPr="00214B4B" w:rsidRDefault="00D5676E" w:rsidP="00E920F9">
      <w:pPr>
        <w:rPr>
          <w:rFonts w:eastAsia="SimSun"/>
          <w:highlight w:val="lightGray"/>
          <w:lang w:eastAsia="zh-CN"/>
        </w:rPr>
      </w:pPr>
      <w:r w:rsidRPr="00214B4B">
        <w:t xml:space="preserve">В пункте 10 повестки дня ВКР-23 предлагается рекомендовать </w:t>
      </w:r>
      <w:r w:rsidR="00E920F9" w:rsidRPr="00214B4B">
        <w:t xml:space="preserve">Совету пункты для включения в повестку дня ВКР-27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 МСЭ и Резолюцией </w:t>
      </w:r>
      <w:r w:rsidR="00E920F9" w:rsidRPr="00214B4B">
        <w:rPr>
          <w:b/>
          <w:bCs/>
          <w:iCs/>
        </w:rPr>
        <w:t>804 (</w:t>
      </w:r>
      <w:r w:rsidR="00E920F9" w:rsidRPr="00214B4B">
        <w:rPr>
          <w:b/>
          <w:bCs/>
        </w:rPr>
        <w:t>Пересм. ВКР-</w:t>
      </w:r>
      <w:r w:rsidR="00E920F9" w:rsidRPr="00214B4B">
        <w:rPr>
          <w:b/>
          <w:bCs/>
          <w:iCs/>
        </w:rPr>
        <w:t>19)</w:t>
      </w:r>
      <w:r w:rsidR="00E920F9" w:rsidRPr="00214B4B">
        <w:t xml:space="preserve">. </w:t>
      </w:r>
      <w:r w:rsidR="004456E6" w:rsidRPr="00214B4B">
        <w:t>В конце 2022</w:t>
      </w:r>
      <w:r w:rsidR="00214B4B" w:rsidRPr="00214B4B">
        <w:t> </w:t>
      </w:r>
      <w:r w:rsidR="004456E6" w:rsidRPr="00214B4B">
        <w:t xml:space="preserve">года операторы спутниковой связи, операторы сетей </w:t>
      </w:r>
      <w:r w:rsidR="00516996" w:rsidRPr="00214B4B">
        <w:t xml:space="preserve">подвижной </w:t>
      </w:r>
      <w:r w:rsidR="004456E6" w:rsidRPr="00214B4B">
        <w:t>связи, производители мобильных чипсетов и устройств, а также производители инфраструктуры объявили о</w:t>
      </w:r>
      <w:r w:rsidR="00214B4B" w:rsidRPr="00214B4B">
        <w:t> </w:t>
      </w:r>
      <w:r w:rsidR="004456E6" w:rsidRPr="00214B4B">
        <w:t xml:space="preserve">сотрудничестве и </w:t>
      </w:r>
      <w:r w:rsidR="00516996" w:rsidRPr="00214B4B">
        <w:t xml:space="preserve">о </w:t>
      </w:r>
      <w:r w:rsidR="004456E6" w:rsidRPr="00214B4B">
        <w:t xml:space="preserve">планах по разработке и внедрению технологий для приложений, </w:t>
      </w:r>
      <w:r w:rsidR="00516996" w:rsidRPr="00214B4B">
        <w:t xml:space="preserve">использование которых ожидается в </w:t>
      </w:r>
      <w:r w:rsidR="004456E6" w:rsidRPr="00214B4B">
        <w:t>спутниково</w:t>
      </w:r>
      <w:r w:rsidR="00516996" w:rsidRPr="00214B4B">
        <w:t>м</w:t>
      </w:r>
      <w:r w:rsidR="004456E6" w:rsidRPr="00214B4B">
        <w:t xml:space="preserve"> </w:t>
      </w:r>
      <w:r w:rsidR="00516996" w:rsidRPr="00214B4B">
        <w:t xml:space="preserve">сегменте </w:t>
      </w:r>
      <w:r w:rsidR="004456E6" w:rsidRPr="00214B4B">
        <w:t xml:space="preserve">IMT-2020. В некоторых странах спутниковые операторы и производители устройств сделали первый шаг и </w:t>
      </w:r>
      <w:r w:rsidR="00516996" w:rsidRPr="00214B4B">
        <w:t>вы</w:t>
      </w:r>
      <w:r w:rsidR="004456E6" w:rsidRPr="00214B4B">
        <w:t xml:space="preserve">пустили приложения для обмена сообщениями, </w:t>
      </w:r>
      <w:r w:rsidR="00516996" w:rsidRPr="00214B4B">
        <w:t xml:space="preserve">которые </w:t>
      </w:r>
      <w:r w:rsidR="00141D68" w:rsidRPr="00214B4B">
        <w:t xml:space="preserve">осуществляют взаимодействие </w:t>
      </w:r>
      <w:r w:rsidR="004456E6" w:rsidRPr="00214B4B">
        <w:t xml:space="preserve">напрямую между наземными </w:t>
      </w:r>
      <w:r w:rsidR="00141D68" w:rsidRPr="00214B4B">
        <w:t>устройствами подвижной связи</w:t>
      </w:r>
      <w:r w:rsidR="004456E6" w:rsidRPr="00214B4B">
        <w:t xml:space="preserve"> и спутниками. Эти приложения прямой связи с устройством (D2D) </w:t>
      </w:r>
      <w:r w:rsidR="00141D68" w:rsidRPr="00214B4B">
        <w:t xml:space="preserve">– это </w:t>
      </w:r>
      <w:r w:rsidR="00C558BD" w:rsidRPr="00214B4B">
        <w:t>предвестники</w:t>
      </w:r>
      <w:r w:rsidR="004456E6" w:rsidRPr="00214B4B">
        <w:t>, котор</w:t>
      </w:r>
      <w:r w:rsidR="00C558BD" w:rsidRPr="00214B4B">
        <w:t>ые</w:t>
      </w:r>
      <w:r w:rsidR="004456E6" w:rsidRPr="00214B4B">
        <w:t xml:space="preserve"> подтвержда</w:t>
      </w:r>
      <w:r w:rsidR="00C558BD" w:rsidRPr="00214B4B">
        <w:t>ю</w:t>
      </w:r>
      <w:r w:rsidR="004456E6" w:rsidRPr="00214B4B">
        <w:t xml:space="preserve">т </w:t>
      </w:r>
      <w:r w:rsidR="00141D68" w:rsidRPr="00214B4B">
        <w:t>сценарии</w:t>
      </w:r>
      <w:r w:rsidR="004456E6" w:rsidRPr="00214B4B">
        <w:t xml:space="preserve"> использования и растущие потребности в </w:t>
      </w:r>
      <w:r w:rsidR="00141D68" w:rsidRPr="00214B4B">
        <w:t xml:space="preserve">спутниковом сегменте </w:t>
      </w:r>
      <w:r w:rsidR="004456E6" w:rsidRPr="00214B4B">
        <w:t xml:space="preserve">IMT-2020 для улучшенной </w:t>
      </w:r>
      <w:r w:rsidR="0002396C" w:rsidRPr="00214B4B">
        <w:t>подвижной</w:t>
      </w:r>
      <w:r w:rsidR="004456E6" w:rsidRPr="00214B4B">
        <w:t xml:space="preserve"> широкополосной связи, </w:t>
      </w:r>
      <w:r w:rsidR="001F65B2" w:rsidRPr="00214B4B">
        <w:t xml:space="preserve">связи высокой надежности </w:t>
      </w:r>
      <w:r w:rsidR="004456E6" w:rsidRPr="00214B4B">
        <w:t xml:space="preserve">и </w:t>
      </w:r>
      <w:r w:rsidR="005A387F" w:rsidRPr="00214B4B">
        <w:t>потоковой связи машинного типа</w:t>
      </w:r>
      <w:r w:rsidR="004456E6" w:rsidRPr="00214B4B">
        <w:t>. Спутниковый</w:t>
      </w:r>
      <w:r w:rsidR="00214B4B" w:rsidRPr="00214B4B">
        <w:t xml:space="preserve"> </w:t>
      </w:r>
      <w:r w:rsidR="001171DA" w:rsidRPr="00214B4B">
        <w:t>сегмент</w:t>
      </w:r>
      <w:r w:rsidR="004456E6" w:rsidRPr="00214B4B">
        <w:t xml:space="preserve"> IMT-2020 может использоваться</w:t>
      </w:r>
      <w:r w:rsidR="00FE289E" w:rsidRPr="00214B4B">
        <w:t>,</w:t>
      </w:r>
      <w:r w:rsidR="004456E6" w:rsidRPr="00214B4B">
        <w:t xml:space="preserve"> для </w:t>
      </w:r>
      <w:r w:rsidR="00FE289E" w:rsidRPr="00214B4B">
        <w:t xml:space="preserve">того чтобы </w:t>
      </w:r>
      <w:r w:rsidR="004456E6" w:rsidRPr="00214B4B">
        <w:t>обеспеч</w:t>
      </w:r>
      <w:r w:rsidR="00FE289E" w:rsidRPr="00214B4B">
        <w:t>ивать</w:t>
      </w:r>
      <w:r w:rsidR="004456E6" w:rsidRPr="00214B4B">
        <w:t xml:space="preserve">: </w:t>
      </w:r>
    </w:p>
    <w:p w14:paraId="6EF1A4AC" w14:textId="7157CA2D" w:rsidR="004456E6" w:rsidRPr="00214B4B" w:rsidRDefault="00214B4B" w:rsidP="004456E6">
      <w:pPr>
        <w:pStyle w:val="enumlev1"/>
        <w:rPr>
          <w:rFonts w:eastAsia="SimSun"/>
          <w:lang w:eastAsia="zh-CN"/>
        </w:rPr>
      </w:pPr>
      <w:r w:rsidRPr="00214B4B">
        <w:rPr>
          <w:rFonts w:eastAsia="SimSun"/>
          <w:lang w:eastAsia="zh-CN"/>
        </w:rPr>
        <w:t>−</w:t>
      </w:r>
      <w:r w:rsidR="004456E6" w:rsidRPr="00214B4B">
        <w:rPr>
          <w:rFonts w:eastAsia="SimSun"/>
          <w:lang w:eastAsia="zh-CN"/>
        </w:rPr>
        <w:tab/>
      </w:r>
      <w:r w:rsidR="007044A7" w:rsidRPr="00214B4B">
        <w:rPr>
          <w:rFonts w:eastAsia="SimSun"/>
          <w:lang w:eastAsia="zh-CN"/>
        </w:rPr>
        <w:t>возможност</w:t>
      </w:r>
      <w:r w:rsidR="00FE289E" w:rsidRPr="00214B4B">
        <w:rPr>
          <w:rFonts w:eastAsia="SimSun"/>
          <w:lang w:eastAsia="zh-CN"/>
        </w:rPr>
        <w:t>ь</w:t>
      </w:r>
      <w:r w:rsidR="007044A7" w:rsidRPr="00214B4B">
        <w:rPr>
          <w:rFonts w:eastAsia="SimSun"/>
          <w:lang w:eastAsia="zh-CN"/>
        </w:rPr>
        <w:t xml:space="preserve"> глобального подключения к устройствам конечных пользователей;</w:t>
      </w:r>
    </w:p>
    <w:p w14:paraId="47475A89" w14:textId="64384B77" w:rsidR="004456E6" w:rsidRPr="00214B4B" w:rsidRDefault="00214B4B" w:rsidP="004456E6">
      <w:pPr>
        <w:pStyle w:val="enumlev1"/>
        <w:rPr>
          <w:rFonts w:eastAsia="SimSun"/>
          <w:lang w:eastAsia="zh-CN"/>
        </w:rPr>
      </w:pPr>
      <w:r w:rsidRPr="00214B4B">
        <w:rPr>
          <w:rFonts w:eastAsia="SimSun"/>
          <w:lang w:eastAsia="zh-CN"/>
        </w:rPr>
        <w:t>−</w:t>
      </w:r>
      <w:r w:rsidR="007044A7" w:rsidRPr="00214B4B">
        <w:rPr>
          <w:rFonts w:eastAsia="SimSun"/>
          <w:lang w:eastAsia="zh-CN"/>
        </w:rPr>
        <w:tab/>
        <w:t>устойчивост</w:t>
      </w:r>
      <w:r w:rsidR="00FE289E" w:rsidRPr="00214B4B">
        <w:rPr>
          <w:rFonts w:eastAsia="SimSun"/>
          <w:lang w:eastAsia="zh-CN"/>
        </w:rPr>
        <w:t>ь</w:t>
      </w:r>
      <w:r w:rsidR="007044A7" w:rsidRPr="00214B4B">
        <w:rPr>
          <w:rFonts w:eastAsia="SimSun"/>
          <w:lang w:eastAsia="zh-CN"/>
        </w:rPr>
        <w:t xml:space="preserve"> сет</w:t>
      </w:r>
      <w:r w:rsidR="001F3BF2" w:rsidRPr="00214B4B">
        <w:rPr>
          <w:rFonts w:eastAsia="SimSun"/>
          <w:lang w:eastAsia="zh-CN"/>
        </w:rPr>
        <w:t>ей</w:t>
      </w:r>
      <w:r w:rsidR="007044A7" w:rsidRPr="00214B4B">
        <w:rPr>
          <w:rFonts w:eastAsia="SimSun"/>
          <w:lang w:eastAsia="zh-CN"/>
        </w:rPr>
        <w:t xml:space="preserve"> благодаря высокой доступности в сочетании с высокой надежностью;</w:t>
      </w:r>
    </w:p>
    <w:p w14:paraId="176923F2" w14:textId="3D279C01" w:rsidR="004456E6" w:rsidRPr="00214B4B" w:rsidRDefault="00214B4B" w:rsidP="004456E6">
      <w:pPr>
        <w:pStyle w:val="enumlev1"/>
        <w:rPr>
          <w:rFonts w:eastAsia="SimSun"/>
          <w:lang w:eastAsia="zh-CN"/>
        </w:rPr>
      </w:pPr>
      <w:r w:rsidRPr="00214B4B">
        <w:rPr>
          <w:rFonts w:eastAsia="SimSun"/>
          <w:lang w:eastAsia="zh-CN"/>
        </w:rPr>
        <w:t>−</w:t>
      </w:r>
      <w:r w:rsidR="007044A7" w:rsidRPr="00214B4B">
        <w:rPr>
          <w:rFonts w:eastAsia="SimSun"/>
          <w:lang w:eastAsia="zh-CN"/>
        </w:rPr>
        <w:tab/>
        <w:t>возможност</w:t>
      </w:r>
      <w:r w:rsidR="00FE289E" w:rsidRPr="00214B4B">
        <w:rPr>
          <w:rFonts w:eastAsia="SimSun"/>
          <w:lang w:eastAsia="zh-CN"/>
        </w:rPr>
        <w:t>ь</w:t>
      </w:r>
      <w:r w:rsidR="007044A7" w:rsidRPr="00214B4B">
        <w:rPr>
          <w:rFonts w:eastAsia="SimSun"/>
          <w:lang w:eastAsia="zh-CN"/>
        </w:rPr>
        <w:t xml:space="preserve"> подключения </w:t>
      </w:r>
      <w:r w:rsidR="00A62198" w:rsidRPr="00214B4B">
        <w:rPr>
          <w:rFonts w:eastAsia="SimSun"/>
          <w:lang w:eastAsia="zh-CN"/>
        </w:rPr>
        <w:t>в сфере транспорта</w:t>
      </w:r>
      <w:r w:rsidR="007044A7" w:rsidRPr="00214B4B">
        <w:rPr>
          <w:rFonts w:eastAsia="SimSun"/>
          <w:lang w:eastAsia="zh-CN"/>
        </w:rPr>
        <w:t>;</w:t>
      </w:r>
    </w:p>
    <w:p w14:paraId="3794BD27" w14:textId="04E7A37C" w:rsidR="004456E6" w:rsidRPr="00214B4B" w:rsidRDefault="00214B4B" w:rsidP="004456E6">
      <w:pPr>
        <w:pStyle w:val="enumlev1"/>
        <w:rPr>
          <w:rFonts w:eastAsia="SimSun"/>
          <w:lang w:eastAsia="zh-CN"/>
        </w:rPr>
      </w:pPr>
      <w:r w:rsidRPr="00214B4B">
        <w:rPr>
          <w:rFonts w:eastAsia="SimSun"/>
          <w:lang w:eastAsia="zh-CN"/>
        </w:rPr>
        <w:t>−</w:t>
      </w:r>
      <w:r w:rsidR="007044A7" w:rsidRPr="00214B4B">
        <w:rPr>
          <w:rFonts w:eastAsia="SimSun"/>
          <w:lang w:eastAsia="zh-CN"/>
        </w:rPr>
        <w:tab/>
        <w:t>реагировани</w:t>
      </w:r>
      <w:r w:rsidR="00FE289E" w:rsidRPr="00214B4B">
        <w:rPr>
          <w:rFonts w:eastAsia="SimSun"/>
          <w:lang w:eastAsia="zh-CN"/>
        </w:rPr>
        <w:t>е</w:t>
      </w:r>
      <w:r w:rsidR="007044A7" w:rsidRPr="00214B4B">
        <w:rPr>
          <w:rFonts w:eastAsia="SimSun"/>
          <w:lang w:eastAsia="zh-CN"/>
        </w:rPr>
        <w:t xml:space="preserve"> на чрезвычайные ситуации и </w:t>
      </w:r>
      <w:r w:rsidR="00F35F6E" w:rsidRPr="00214B4B">
        <w:rPr>
          <w:rFonts w:eastAsia="SimSun"/>
          <w:lang w:eastAsia="zh-CN"/>
        </w:rPr>
        <w:t>обеспечения общественной безопасности</w:t>
      </w:r>
      <w:r w:rsidR="001F3BF2" w:rsidRPr="00214B4B">
        <w:rPr>
          <w:rFonts w:eastAsia="SimSun"/>
          <w:lang w:eastAsia="zh-CN"/>
        </w:rPr>
        <w:t>;</w:t>
      </w:r>
    </w:p>
    <w:p w14:paraId="408817CF" w14:textId="172449AB" w:rsidR="004456E6" w:rsidRPr="00214B4B" w:rsidRDefault="00214B4B" w:rsidP="004456E6">
      <w:pPr>
        <w:pStyle w:val="enumlev1"/>
        <w:rPr>
          <w:rFonts w:eastAsia="SimSun"/>
          <w:highlight w:val="lightGray"/>
          <w:lang w:eastAsia="zh-CN"/>
        </w:rPr>
      </w:pPr>
      <w:r w:rsidRPr="00214B4B">
        <w:rPr>
          <w:rFonts w:eastAsia="SimSun"/>
          <w:lang w:eastAsia="zh-CN"/>
        </w:rPr>
        <w:t>−</w:t>
      </w:r>
      <w:r w:rsidR="007044A7" w:rsidRPr="00214B4B">
        <w:rPr>
          <w:rFonts w:eastAsia="SimSun"/>
          <w:lang w:eastAsia="zh-CN"/>
        </w:rPr>
        <w:tab/>
        <w:t>доставк</w:t>
      </w:r>
      <w:r w:rsidR="00FE289E" w:rsidRPr="00214B4B">
        <w:rPr>
          <w:rFonts w:eastAsia="SimSun"/>
          <w:lang w:eastAsia="zh-CN"/>
        </w:rPr>
        <w:t>у</w:t>
      </w:r>
      <w:r w:rsidR="007044A7" w:rsidRPr="00214B4B">
        <w:rPr>
          <w:rFonts w:eastAsia="SimSun"/>
          <w:lang w:eastAsia="zh-CN"/>
        </w:rPr>
        <w:t xml:space="preserve"> контента в </w:t>
      </w:r>
      <w:r w:rsidR="00AC4CFB" w:rsidRPr="00214B4B">
        <w:rPr>
          <w:rFonts w:eastAsia="SimSun"/>
          <w:lang w:eastAsia="zh-CN"/>
        </w:rPr>
        <w:t xml:space="preserve">широковещательном или многоадресном режимах </w:t>
      </w:r>
      <w:r w:rsidR="007044A7" w:rsidRPr="00214B4B">
        <w:rPr>
          <w:rFonts w:eastAsia="SimSun"/>
          <w:lang w:eastAsia="zh-CN"/>
        </w:rPr>
        <w:t xml:space="preserve">рассылки на устройства конечных </w:t>
      </w:r>
      <w:r w:rsidR="004456E6" w:rsidRPr="00214B4B">
        <w:rPr>
          <w:rFonts w:eastAsia="SimSun"/>
          <w:lang w:eastAsia="zh-CN"/>
        </w:rPr>
        <w:t>пользователей.</w:t>
      </w:r>
    </w:p>
    <w:p w14:paraId="4D8AB7BB" w14:textId="0BA83AF0" w:rsidR="004456E6" w:rsidRPr="00214B4B" w:rsidRDefault="004456E6" w:rsidP="00E920F9">
      <w:pPr>
        <w:rPr>
          <w:rFonts w:eastAsia="SimSun"/>
          <w:highlight w:val="lightGray"/>
          <w:lang w:eastAsia="zh-CN"/>
        </w:rPr>
      </w:pPr>
      <w:r w:rsidRPr="00214B4B">
        <w:rPr>
          <w:rFonts w:eastAsia="SimSun"/>
          <w:lang w:eastAsia="zh-CN"/>
        </w:rPr>
        <w:t xml:space="preserve">Полезность подвижной спутниковой службы (ПСС) в целевых полосах частот, близость этих полос частот к существующим полосам частот, определенным для спутникового и наземного </w:t>
      </w:r>
      <w:r w:rsidR="00702390" w:rsidRPr="00214B4B">
        <w:rPr>
          <w:rFonts w:eastAsia="SimSun"/>
          <w:lang w:eastAsia="zh-CN"/>
        </w:rPr>
        <w:t>сегментов</w:t>
      </w:r>
      <w:r w:rsidRPr="00214B4B">
        <w:rPr>
          <w:rFonts w:eastAsia="SimSun"/>
          <w:lang w:eastAsia="zh-CN"/>
        </w:rPr>
        <w:t xml:space="preserve"> IMT-2020, преимущества глобальных распределений и определений для глобально ориентированных </w:t>
      </w:r>
      <w:r w:rsidR="00702390" w:rsidRPr="00214B4B">
        <w:rPr>
          <w:rFonts w:eastAsia="SimSun"/>
          <w:lang w:eastAsia="zh-CN"/>
        </w:rPr>
        <w:t>служб</w:t>
      </w:r>
      <w:r w:rsidRPr="00214B4B">
        <w:rPr>
          <w:rFonts w:eastAsia="SimSun"/>
          <w:lang w:eastAsia="zh-CN"/>
        </w:rPr>
        <w:t>, таки</w:t>
      </w:r>
      <w:r w:rsidR="00702390" w:rsidRPr="00214B4B">
        <w:rPr>
          <w:rFonts w:eastAsia="SimSun"/>
          <w:lang w:eastAsia="zh-CN"/>
        </w:rPr>
        <w:t>х</w:t>
      </w:r>
      <w:r w:rsidRPr="00214B4B">
        <w:rPr>
          <w:rFonts w:eastAsia="SimSun"/>
          <w:lang w:eastAsia="zh-CN"/>
        </w:rPr>
        <w:t xml:space="preserve"> как </w:t>
      </w:r>
      <w:r w:rsidR="00702390" w:rsidRPr="00214B4B">
        <w:rPr>
          <w:rFonts w:eastAsia="SimSun"/>
          <w:lang w:eastAsia="zh-CN"/>
        </w:rPr>
        <w:t xml:space="preserve">ПСС </w:t>
      </w:r>
      <w:r w:rsidRPr="00214B4B">
        <w:rPr>
          <w:rFonts w:eastAsia="SimSun"/>
          <w:lang w:eastAsia="zh-CN"/>
        </w:rPr>
        <w:t xml:space="preserve">и спутниковый </w:t>
      </w:r>
      <w:r w:rsidR="00702390" w:rsidRPr="00214B4B">
        <w:rPr>
          <w:rFonts w:eastAsia="SimSun"/>
          <w:lang w:eastAsia="zh-CN"/>
        </w:rPr>
        <w:t xml:space="preserve">сегмент </w:t>
      </w:r>
      <w:r w:rsidRPr="00214B4B">
        <w:rPr>
          <w:rFonts w:eastAsia="SimSun"/>
          <w:lang w:eastAsia="zh-CN"/>
        </w:rPr>
        <w:t xml:space="preserve">IMT-2020, убедительно указывают на то, что </w:t>
      </w:r>
      <w:r w:rsidR="00702390" w:rsidRPr="00214B4B">
        <w:rPr>
          <w:rFonts w:eastAsia="SimSun"/>
          <w:lang w:eastAsia="zh-CN"/>
        </w:rPr>
        <w:lastRenderedPageBreak/>
        <w:t xml:space="preserve">необходим соответствующий </w:t>
      </w:r>
      <w:r w:rsidRPr="00214B4B">
        <w:rPr>
          <w:rFonts w:eastAsia="SimSun"/>
          <w:lang w:eastAsia="zh-CN"/>
        </w:rPr>
        <w:t xml:space="preserve">пункт повестки дня ВКР-27 и что </w:t>
      </w:r>
      <w:r w:rsidR="00702390" w:rsidRPr="00214B4B">
        <w:rPr>
          <w:rFonts w:eastAsia="SimSun"/>
          <w:lang w:eastAsia="zh-CN"/>
        </w:rPr>
        <w:t>работа по</w:t>
      </w:r>
      <w:r w:rsidRPr="00214B4B">
        <w:rPr>
          <w:rFonts w:eastAsia="SimSun"/>
          <w:lang w:eastAsia="zh-CN"/>
        </w:rPr>
        <w:t xml:space="preserve"> тако</w:t>
      </w:r>
      <w:r w:rsidR="00702390" w:rsidRPr="00214B4B">
        <w:rPr>
          <w:rFonts w:eastAsia="SimSun"/>
          <w:lang w:eastAsia="zh-CN"/>
        </w:rPr>
        <w:t>му</w:t>
      </w:r>
      <w:r w:rsidRPr="00214B4B">
        <w:rPr>
          <w:rFonts w:eastAsia="SimSun"/>
          <w:lang w:eastAsia="zh-CN"/>
        </w:rPr>
        <w:t xml:space="preserve"> пункт</w:t>
      </w:r>
      <w:r w:rsidR="00702390" w:rsidRPr="00214B4B">
        <w:rPr>
          <w:rFonts w:eastAsia="SimSun"/>
          <w:lang w:eastAsia="zh-CN"/>
        </w:rPr>
        <w:t>у</w:t>
      </w:r>
      <w:r w:rsidRPr="00214B4B">
        <w:rPr>
          <w:rFonts w:eastAsia="SimSun"/>
          <w:lang w:eastAsia="zh-CN"/>
        </w:rPr>
        <w:t xml:space="preserve"> повестки дня </w:t>
      </w:r>
      <w:r w:rsidR="00702390" w:rsidRPr="00214B4B">
        <w:rPr>
          <w:rFonts w:eastAsia="SimSun"/>
          <w:lang w:eastAsia="zh-CN"/>
        </w:rPr>
        <w:t xml:space="preserve">определенно </w:t>
      </w:r>
      <w:r w:rsidRPr="00214B4B">
        <w:rPr>
          <w:rFonts w:eastAsia="SimSun"/>
          <w:lang w:eastAsia="zh-CN"/>
        </w:rPr>
        <w:t>внесет вклад в достижение целей ООН в области устойчивого развития, которым</w:t>
      </w:r>
      <w:r w:rsidR="0079363A" w:rsidRPr="00214B4B">
        <w:rPr>
          <w:rFonts w:eastAsia="SimSun"/>
          <w:lang w:eastAsia="zh-CN"/>
        </w:rPr>
        <w:t>и</w:t>
      </w:r>
      <w:r w:rsidRPr="00214B4B">
        <w:rPr>
          <w:rFonts w:eastAsia="SimSun"/>
          <w:lang w:eastAsia="zh-CN"/>
        </w:rPr>
        <w:t xml:space="preserve"> </w:t>
      </w:r>
      <w:r w:rsidR="0079363A" w:rsidRPr="00214B4B">
        <w:rPr>
          <w:rFonts w:eastAsia="SimSun"/>
          <w:lang w:eastAsia="zh-CN"/>
        </w:rPr>
        <w:t xml:space="preserve">занимается </w:t>
      </w:r>
      <w:r w:rsidRPr="00214B4B">
        <w:rPr>
          <w:rFonts w:eastAsia="SimSun"/>
          <w:lang w:eastAsia="zh-CN"/>
        </w:rPr>
        <w:t xml:space="preserve">МСЭ, </w:t>
      </w:r>
      <w:r w:rsidR="0079363A" w:rsidRPr="00214B4B">
        <w:rPr>
          <w:rFonts w:eastAsia="SimSun"/>
          <w:lang w:eastAsia="zh-CN"/>
        </w:rPr>
        <w:t xml:space="preserve">таких как недорогостоящая </w:t>
      </w:r>
      <w:r w:rsidRPr="00214B4B">
        <w:rPr>
          <w:rFonts w:eastAsia="SimSun"/>
          <w:lang w:eastAsia="zh-CN"/>
        </w:rPr>
        <w:t xml:space="preserve">и чистая энергия, ответственное производство и потребление, борьба с изменением климата и устойчивые города и сообщества. В </w:t>
      </w:r>
      <w:r w:rsidR="0079363A" w:rsidRPr="00214B4B">
        <w:rPr>
          <w:rFonts w:eastAsia="SimSun"/>
          <w:lang w:eastAsia="zh-CN"/>
        </w:rPr>
        <w:t>настоящем</w:t>
      </w:r>
      <w:r w:rsidRPr="00214B4B">
        <w:rPr>
          <w:rFonts w:eastAsia="SimSun"/>
          <w:lang w:eastAsia="zh-CN"/>
        </w:rPr>
        <w:t xml:space="preserve"> вкладе предлагается новый пункт повестки дня ВКР-27</w:t>
      </w:r>
      <w:r w:rsidR="00E81868" w:rsidRPr="00214B4B">
        <w:rPr>
          <w:rFonts w:eastAsia="SimSun"/>
          <w:lang w:eastAsia="zh-CN"/>
        </w:rPr>
        <w:t>:</w:t>
      </w:r>
      <w:r w:rsidRPr="00214B4B">
        <w:rPr>
          <w:rFonts w:eastAsia="SimSun"/>
          <w:lang w:eastAsia="zh-CN"/>
        </w:rPr>
        <w:t xml:space="preserve"> </w:t>
      </w:r>
      <w:r w:rsidR="0048714D" w:rsidRPr="00214B4B">
        <w:rPr>
          <w:rFonts w:eastAsia="SimSun"/>
          <w:lang w:eastAsia="zh-CN"/>
        </w:rPr>
        <w:t>"</w:t>
      </w:r>
      <w:r w:rsidRPr="00214B4B">
        <w:rPr>
          <w:rFonts w:eastAsia="SimSun"/>
          <w:lang w:eastAsia="zh-CN"/>
        </w:rPr>
        <w:t>рассмотреть первичное распределение полос частот 2010</w:t>
      </w:r>
      <w:r w:rsidR="00576F89">
        <w:rPr>
          <w:rFonts w:eastAsia="SimSun"/>
          <w:lang w:eastAsia="zh-CN"/>
        </w:rPr>
        <w:t>−</w:t>
      </w:r>
      <w:r w:rsidRPr="00214B4B">
        <w:rPr>
          <w:rFonts w:eastAsia="SimSun"/>
          <w:lang w:eastAsia="zh-CN"/>
        </w:rPr>
        <w:t>2025 МГц (Земля-космос) и 2160</w:t>
      </w:r>
      <w:r w:rsidR="00576F89">
        <w:rPr>
          <w:rFonts w:eastAsia="SimSun"/>
          <w:lang w:eastAsia="zh-CN"/>
        </w:rPr>
        <w:t>−</w:t>
      </w:r>
      <w:r w:rsidRPr="00214B4B">
        <w:rPr>
          <w:rFonts w:eastAsia="SimSun"/>
          <w:lang w:eastAsia="zh-CN"/>
        </w:rPr>
        <w:t>2170 МГц (космос-Земля) в Районах 1 и 3</w:t>
      </w:r>
      <w:r w:rsidR="009024DB" w:rsidRPr="00214B4B">
        <w:rPr>
          <w:rFonts w:eastAsia="SimSun"/>
          <w:lang w:eastAsia="zh-CN"/>
        </w:rPr>
        <w:t>, а также</w:t>
      </w:r>
      <w:r w:rsidRPr="00214B4B">
        <w:rPr>
          <w:rFonts w:eastAsia="SimSun"/>
          <w:lang w:eastAsia="zh-CN"/>
        </w:rPr>
        <w:t xml:space="preserve"> 2200</w:t>
      </w:r>
      <w:r w:rsidR="00576F89">
        <w:rPr>
          <w:rFonts w:eastAsia="SimSun"/>
          <w:lang w:eastAsia="zh-CN"/>
        </w:rPr>
        <w:t>−</w:t>
      </w:r>
      <w:r w:rsidRPr="00214B4B">
        <w:rPr>
          <w:rFonts w:eastAsia="SimSun"/>
          <w:lang w:eastAsia="zh-CN"/>
        </w:rPr>
        <w:t>2215</w:t>
      </w:r>
      <w:r w:rsidR="00576F89">
        <w:rPr>
          <w:rFonts w:eastAsia="SimSun"/>
          <w:lang w:eastAsia="zh-CN"/>
        </w:rPr>
        <w:t> </w:t>
      </w:r>
      <w:r w:rsidRPr="00214B4B">
        <w:rPr>
          <w:rFonts w:eastAsia="SimSun"/>
          <w:lang w:eastAsia="zh-CN"/>
        </w:rPr>
        <w:t>МГц (космос-Земля) на глобальной основе подвижной спутниковой служб</w:t>
      </w:r>
      <w:r w:rsidR="00810D83" w:rsidRPr="00214B4B">
        <w:rPr>
          <w:rFonts w:eastAsia="SimSun"/>
          <w:lang w:eastAsia="zh-CN"/>
        </w:rPr>
        <w:t>е</w:t>
      </w:r>
      <w:r w:rsidRPr="00214B4B">
        <w:rPr>
          <w:rFonts w:eastAsia="SimSun"/>
          <w:lang w:eastAsia="zh-CN"/>
        </w:rPr>
        <w:t xml:space="preserve"> для спутникового </w:t>
      </w:r>
      <w:r w:rsidR="00810D83" w:rsidRPr="00214B4B">
        <w:rPr>
          <w:rFonts w:eastAsia="SimSun"/>
          <w:lang w:eastAsia="zh-CN"/>
        </w:rPr>
        <w:t>сегмента</w:t>
      </w:r>
      <w:r w:rsidRPr="00214B4B">
        <w:rPr>
          <w:rFonts w:eastAsia="SimSun"/>
          <w:lang w:eastAsia="zh-CN"/>
        </w:rPr>
        <w:t xml:space="preserve"> IMT-2020</w:t>
      </w:r>
      <w:r w:rsidR="0048714D" w:rsidRPr="00214B4B">
        <w:rPr>
          <w:rFonts w:eastAsia="SimSun"/>
          <w:lang w:eastAsia="zh-CN"/>
        </w:rPr>
        <w:t>"</w:t>
      </w:r>
      <w:r w:rsidRPr="00214B4B">
        <w:rPr>
          <w:rFonts w:eastAsia="SimSun"/>
          <w:lang w:eastAsia="zh-CN"/>
        </w:rPr>
        <w:t>.</w:t>
      </w:r>
    </w:p>
    <w:p w14:paraId="48022542" w14:textId="4FE9D17E" w:rsidR="00E920F9" w:rsidRPr="00576F89" w:rsidRDefault="004456E6" w:rsidP="00E920F9">
      <w:pPr>
        <w:pStyle w:val="Headingb"/>
        <w:rPr>
          <w:highlight w:val="lightGray"/>
          <w:lang w:val="en-US"/>
        </w:rPr>
      </w:pPr>
      <w:r w:rsidRPr="00214B4B">
        <w:rPr>
          <w:lang w:val="ru-RU"/>
        </w:rPr>
        <w:t>Мнения и предложения</w:t>
      </w:r>
    </w:p>
    <w:p w14:paraId="72B83787" w14:textId="21B4E152" w:rsidR="004456E6" w:rsidRPr="00214B4B" w:rsidRDefault="00CB5FB9" w:rsidP="00E920F9">
      <w:pPr>
        <w:rPr>
          <w:rFonts w:eastAsia="SimSun"/>
          <w:highlight w:val="lightGray"/>
          <w:lang w:eastAsia="zh-CN"/>
        </w:rPr>
      </w:pPr>
      <w:r w:rsidRPr="00214B4B">
        <w:rPr>
          <w:rFonts w:eastAsia="SimSun"/>
          <w:lang w:eastAsia="zh-CN"/>
        </w:rPr>
        <w:t>Авторы</w:t>
      </w:r>
      <w:r w:rsidR="004456E6" w:rsidRPr="00214B4B">
        <w:rPr>
          <w:rFonts w:eastAsia="SimSun"/>
          <w:lang w:eastAsia="zh-CN"/>
        </w:rPr>
        <w:t xml:space="preserve"> данно</w:t>
      </w:r>
      <w:r w:rsidRPr="00214B4B">
        <w:rPr>
          <w:rFonts w:eastAsia="SimSun"/>
          <w:lang w:eastAsia="zh-CN"/>
        </w:rPr>
        <w:t>го документа</w:t>
      </w:r>
      <w:r w:rsidR="004456E6" w:rsidRPr="00214B4B">
        <w:rPr>
          <w:rFonts w:eastAsia="SimSun"/>
          <w:lang w:eastAsia="zh-CN"/>
        </w:rPr>
        <w:t xml:space="preserve"> предлагают новый пункт повестки дня ВКР-27</w:t>
      </w:r>
      <w:r w:rsidR="008110C7" w:rsidRPr="00214B4B">
        <w:rPr>
          <w:rFonts w:eastAsia="SimSun"/>
          <w:lang w:eastAsia="zh-CN"/>
        </w:rPr>
        <w:t>:</w:t>
      </w:r>
      <w:r w:rsidR="004456E6" w:rsidRPr="00214B4B">
        <w:rPr>
          <w:rFonts w:eastAsia="SimSun"/>
          <w:lang w:eastAsia="zh-CN"/>
        </w:rPr>
        <w:t xml:space="preserve"> </w:t>
      </w:r>
      <w:r w:rsidRPr="00214B4B">
        <w:rPr>
          <w:rFonts w:eastAsia="SimSun"/>
          <w:lang w:eastAsia="zh-CN"/>
        </w:rPr>
        <w:t>"рассмотреть первичное распределение полос частот 2010</w:t>
      </w:r>
      <w:r w:rsidR="001F75F8">
        <w:rPr>
          <w:rFonts w:eastAsia="SimSun"/>
          <w:lang w:val="en-US" w:eastAsia="zh-CN"/>
        </w:rPr>
        <w:t>−</w:t>
      </w:r>
      <w:r w:rsidRPr="00214B4B">
        <w:rPr>
          <w:rFonts w:eastAsia="SimSun"/>
          <w:lang w:eastAsia="zh-CN"/>
        </w:rPr>
        <w:t>2025 МГц (Земля-космос) и 2160</w:t>
      </w:r>
      <w:r w:rsidR="001F75F8">
        <w:rPr>
          <w:rFonts w:eastAsia="SimSun"/>
          <w:lang w:val="en-US" w:eastAsia="zh-CN"/>
        </w:rPr>
        <w:t>−</w:t>
      </w:r>
      <w:r w:rsidRPr="00214B4B">
        <w:rPr>
          <w:rFonts w:eastAsia="SimSun"/>
          <w:lang w:eastAsia="zh-CN"/>
        </w:rPr>
        <w:t>2170 МГц (космос-Земля) в Районах 1 и 3</w:t>
      </w:r>
      <w:r w:rsidR="008110C7" w:rsidRPr="00214B4B">
        <w:rPr>
          <w:rFonts w:eastAsia="SimSun"/>
          <w:lang w:eastAsia="zh-CN"/>
        </w:rPr>
        <w:t>, а также</w:t>
      </w:r>
      <w:r w:rsidRPr="00214B4B">
        <w:rPr>
          <w:rFonts w:eastAsia="SimSun"/>
          <w:lang w:eastAsia="zh-CN"/>
        </w:rPr>
        <w:t xml:space="preserve"> 2200−2215 МГц (космос-Земля) на глобальной основе подвижной спутниковой службе для спутникового сегмента IMT-2020"</w:t>
      </w:r>
      <w:r w:rsidR="004456E6" w:rsidRPr="00214B4B">
        <w:rPr>
          <w:rFonts w:eastAsia="SimSun"/>
          <w:lang w:eastAsia="zh-CN"/>
        </w:rPr>
        <w:t xml:space="preserve">. Полную информацию о предложении в </w:t>
      </w:r>
      <w:r w:rsidR="00AD53D5" w:rsidRPr="00214B4B">
        <w:rPr>
          <w:rFonts w:eastAsia="SimSun"/>
          <w:lang w:eastAsia="zh-CN"/>
        </w:rPr>
        <w:t>соответствии с</w:t>
      </w:r>
      <w:r w:rsidR="001F75F8">
        <w:rPr>
          <w:rFonts w:eastAsia="SimSun"/>
          <w:lang w:val="en-US" w:eastAsia="zh-CN"/>
        </w:rPr>
        <w:t> </w:t>
      </w:r>
      <w:r w:rsidR="00AD53D5" w:rsidRPr="00214B4B">
        <w:rPr>
          <w:rFonts w:eastAsia="SimSun"/>
          <w:lang w:eastAsia="zh-CN"/>
        </w:rPr>
        <w:t>шаблоном МСЭ</w:t>
      </w:r>
      <w:r w:rsidR="004456E6" w:rsidRPr="00214B4B">
        <w:rPr>
          <w:rFonts w:eastAsia="SimSun"/>
          <w:lang w:eastAsia="zh-CN"/>
        </w:rPr>
        <w:t xml:space="preserve"> можно найти в </w:t>
      </w:r>
      <w:r w:rsidR="00853FAF" w:rsidRPr="00214B4B">
        <w:rPr>
          <w:rFonts w:eastAsia="SimSun"/>
          <w:lang w:eastAsia="zh-CN"/>
        </w:rPr>
        <w:t>п</w:t>
      </w:r>
      <w:r w:rsidR="004456E6" w:rsidRPr="00214B4B">
        <w:rPr>
          <w:rFonts w:eastAsia="SimSun"/>
          <w:lang w:eastAsia="zh-CN"/>
        </w:rPr>
        <w:t>риложении ниже.</w:t>
      </w:r>
    </w:p>
    <w:p w14:paraId="09E1F79B" w14:textId="77777777" w:rsidR="009B5CC2" w:rsidRPr="00214B4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14B4B">
        <w:br w:type="page"/>
      </w:r>
    </w:p>
    <w:p w14:paraId="3CE4A557" w14:textId="77777777" w:rsidR="00474559" w:rsidRPr="00214B4B" w:rsidRDefault="00BC104E">
      <w:pPr>
        <w:pStyle w:val="Proposal"/>
      </w:pPr>
      <w:r w:rsidRPr="00214B4B">
        <w:lastRenderedPageBreak/>
        <w:t>ADD</w:t>
      </w:r>
      <w:r w:rsidRPr="00214B4B">
        <w:tab/>
        <w:t>PNG/186/1</w:t>
      </w:r>
    </w:p>
    <w:p w14:paraId="2AA7BEA4" w14:textId="77777777" w:rsidR="00E81EC8" w:rsidRPr="00214B4B" w:rsidRDefault="00E81EC8" w:rsidP="00E81EC8">
      <w:pPr>
        <w:pStyle w:val="ResNo"/>
      </w:pPr>
      <w:r w:rsidRPr="00214B4B">
        <w:t>ПРОЕКТ НОВОЙ РЕЗОЛЮЦИИ [PNG/WRC-27 Agenda-XXX] (ВКР-23)</w:t>
      </w:r>
    </w:p>
    <w:p w14:paraId="004970B9" w14:textId="0A4A83D3" w:rsidR="00E81EC8" w:rsidRPr="00214B4B" w:rsidRDefault="00E81EC8" w:rsidP="00E81EC8">
      <w:pPr>
        <w:pStyle w:val="Restitle"/>
      </w:pPr>
      <w:bookmarkStart w:id="8" w:name="_Toc35863789"/>
      <w:bookmarkStart w:id="9" w:name="_Toc35864118"/>
      <w:bookmarkStart w:id="10" w:name="_Toc36020503"/>
      <w:bookmarkStart w:id="11" w:name="_Toc39740338"/>
      <w:r w:rsidRPr="00214B4B">
        <w:t>Повестка дня Всемирной конференции радиосвязи 202</w:t>
      </w:r>
      <w:r w:rsidR="001F75F8">
        <w:rPr>
          <w:lang w:val="en-US"/>
        </w:rPr>
        <w:t>7</w:t>
      </w:r>
      <w:r w:rsidRPr="00214B4B">
        <w:t xml:space="preserve"> года</w:t>
      </w:r>
      <w:bookmarkEnd w:id="8"/>
      <w:bookmarkEnd w:id="9"/>
      <w:bookmarkEnd w:id="10"/>
      <w:bookmarkEnd w:id="11"/>
    </w:p>
    <w:p w14:paraId="1C762633" w14:textId="77777777" w:rsidR="00E81EC8" w:rsidRPr="00214B4B" w:rsidRDefault="00E81EC8" w:rsidP="00E81EC8">
      <w:pPr>
        <w:pStyle w:val="Normalaftertitle"/>
      </w:pPr>
      <w:r w:rsidRPr="00214B4B">
        <w:t>Всемирная конференция радиосвязи (Дубай, 2023 г.),</w:t>
      </w:r>
    </w:p>
    <w:p w14:paraId="7BA446D2" w14:textId="77777777" w:rsidR="00E81EC8" w:rsidRPr="00214B4B" w:rsidRDefault="00E81EC8" w:rsidP="00E81EC8">
      <w:r w:rsidRPr="00214B4B">
        <w:t>…</w:t>
      </w:r>
    </w:p>
    <w:p w14:paraId="683DDBC6" w14:textId="77777777" w:rsidR="00E81EC8" w:rsidRPr="00214B4B" w:rsidRDefault="00E81EC8" w:rsidP="00E81EC8">
      <w:pPr>
        <w:pStyle w:val="Call"/>
      </w:pPr>
      <w:r w:rsidRPr="00214B4B">
        <w:t>решает</w:t>
      </w:r>
    </w:p>
    <w:p w14:paraId="282533F1" w14:textId="77777777" w:rsidR="00E81EC8" w:rsidRPr="00214B4B" w:rsidRDefault="00E81EC8" w:rsidP="00E81EC8">
      <w:r w:rsidRPr="00214B4B">
        <w:t>...</w:t>
      </w:r>
    </w:p>
    <w:p w14:paraId="36466571" w14:textId="03048CA9" w:rsidR="00E81EC8" w:rsidRPr="00214B4B" w:rsidRDefault="00E81EC8" w:rsidP="00E81EC8">
      <w:r w:rsidRPr="00214B4B">
        <w:rPr>
          <w:szCs w:val="24"/>
          <w:lang w:eastAsia="ko-KR"/>
        </w:rPr>
        <w:t>1.X</w:t>
      </w:r>
      <w:r w:rsidRPr="00214B4B">
        <w:rPr>
          <w:szCs w:val="24"/>
          <w:lang w:eastAsia="ko-KR"/>
        </w:rPr>
        <w:tab/>
      </w:r>
      <w:r w:rsidR="004B0A83" w:rsidRPr="00214B4B">
        <w:rPr>
          <w:szCs w:val="24"/>
          <w:lang w:eastAsia="ko-KR"/>
        </w:rPr>
        <w:t xml:space="preserve">в соответствии с Резолюцией </w:t>
      </w:r>
      <w:r w:rsidR="004B0A83" w:rsidRPr="00214B4B">
        <w:rPr>
          <w:b/>
          <w:bCs/>
          <w:szCs w:val="24"/>
          <w:lang w:eastAsia="ko-KR"/>
        </w:rPr>
        <w:t>[XXX] (Пересм. ВКР-23)</w:t>
      </w:r>
      <w:r w:rsidR="004B0A83" w:rsidRPr="00214B4B">
        <w:rPr>
          <w:szCs w:val="24"/>
          <w:lang w:eastAsia="ko-KR"/>
        </w:rPr>
        <w:t>, рассмотреть первичное распределение полос частот 2010</w:t>
      </w:r>
      <w:r w:rsidR="001F75F8">
        <w:rPr>
          <w:szCs w:val="24"/>
          <w:lang w:val="en-US" w:eastAsia="ko-KR"/>
        </w:rPr>
        <w:t>−</w:t>
      </w:r>
      <w:r w:rsidR="004B0A83" w:rsidRPr="00214B4B">
        <w:rPr>
          <w:szCs w:val="24"/>
          <w:lang w:eastAsia="ko-KR"/>
        </w:rPr>
        <w:t>2025 МГц (Земля-космос) и 2160</w:t>
      </w:r>
      <w:r w:rsidR="001F75F8">
        <w:rPr>
          <w:szCs w:val="24"/>
          <w:lang w:val="en-US" w:eastAsia="ko-KR"/>
        </w:rPr>
        <w:t>−</w:t>
      </w:r>
      <w:r w:rsidR="004B0A83" w:rsidRPr="00214B4B">
        <w:rPr>
          <w:szCs w:val="24"/>
          <w:lang w:eastAsia="ko-KR"/>
        </w:rPr>
        <w:t>2170 МГц (космос-Земля) в Районах 1 и 3</w:t>
      </w:r>
      <w:r w:rsidR="00D91BCD" w:rsidRPr="00214B4B">
        <w:rPr>
          <w:szCs w:val="24"/>
          <w:lang w:eastAsia="ko-KR"/>
        </w:rPr>
        <w:t>, а также</w:t>
      </w:r>
      <w:r w:rsidR="004B0A83" w:rsidRPr="00214B4B">
        <w:rPr>
          <w:szCs w:val="24"/>
          <w:lang w:eastAsia="ko-KR"/>
        </w:rPr>
        <w:t xml:space="preserve"> 2200−2215 МГц (космос-Земля) на глобальной основе подвижной спутниковой службе для спутникового сегмента IMT-2020</w:t>
      </w:r>
      <w:r w:rsidR="00CB1B3E" w:rsidRPr="00214B4B">
        <w:rPr>
          <w:szCs w:val="24"/>
          <w:lang w:eastAsia="ko-KR"/>
        </w:rPr>
        <w:t>;</w:t>
      </w:r>
    </w:p>
    <w:p w14:paraId="45AE5F11" w14:textId="77777777" w:rsidR="00E81EC8" w:rsidRPr="00214B4B" w:rsidRDefault="00E81EC8" w:rsidP="00E81EC8">
      <w:pPr>
        <w:rPr>
          <w:rFonts w:eastAsia="SimSun"/>
          <w:lang w:eastAsia="zh-CN"/>
        </w:rPr>
      </w:pPr>
      <w:r w:rsidRPr="00214B4B">
        <w:rPr>
          <w:rFonts w:eastAsia="SimSun"/>
          <w:lang w:eastAsia="zh-CN"/>
        </w:rPr>
        <w:t>...</w:t>
      </w:r>
    </w:p>
    <w:p w14:paraId="4D81DFCC" w14:textId="77777777" w:rsidR="00E81EC8" w:rsidRPr="00214B4B" w:rsidRDefault="00E81EC8" w:rsidP="00E81EC8">
      <w:pPr>
        <w:pStyle w:val="Reasons"/>
      </w:pPr>
    </w:p>
    <w:p w14:paraId="0A738009" w14:textId="77777777" w:rsidR="00E81EC8" w:rsidRPr="00214B4B" w:rsidRDefault="00E81EC8" w:rsidP="00E81EC8">
      <w:pPr>
        <w:pStyle w:val="Proposal"/>
      </w:pPr>
      <w:r w:rsidRPr="00214B4B">
        <w:t>ADD</w:t>
      </w:r>
      <w:r w:rsidRPr="00214B4B">
        <w:tab/>
        <w:t>PNG/186/2</w:t>
      </w:r>
    </w:p>
    <w:p w14:paraId="0C039477" w14:textId="3B9135D0" w:rsidR="00E81EC8" w:rsidRPr="00214B4B" w:rsidRDefault="001F75F8" w:rsidP="00E81EC8">
      <w:pPr>
        <w:pStyle w:val="ResNo"/>
      </w:pPr>
      <w:r w:rsidRPr="00214B4B">
        <w:t xml:space="preserve">ПРОЕКТ НОВОЙ РЕЗОЛЮЦИИ </w:t>
      </w:r>
      <w:r w:rsidR="00E81EC8" w:rsidRPr="00214B4B">
        <w:t>[XXX] (</w:t>
      </w:r>
      <w:r w:rsidR="00375F99" w:rsidRPr="00214B4B">
        <w:t>ВКР</w:t>
      </w:r>
      <w:r w:rsidR="00E81EC8" w:rsidRPr="00214B4B">
        <w:t>-23)</w:t>
      </w:r>
    </w:p>
    <w:p w14:paraId="00635FBE" w14:textId="13387053" w:rsidR="00E81EC8" w:rsidRPr="00214B4B" w:rsidRDefault="00CB1B3E" w:rsidP="00E81EC8">
      <w:pPr>
        <w:pStyle w:val="Restitle"/>
      </w:pPr>
      <w:r w:rsidRPr="00214B4B">
        <w:t xml:space="preserve">Исследования </w:t>
      </w:r>
      <w:r w:rsidR="00316940" w:rsidRPr="00214B4B">
        <w:t xml:space="preserve">по вопросам, связанным с частотами, </w:t>
      </w:r>
      <w:r w:rsidR="00350E2A" w:rsidRPr="00214B4B">
        <w:t xml:space="preserve">в </w:t>
      </w:r>
      <w:r w:rsidRPr="00214B4B">
        <w:t>полос</w:t>
      </w:r>
      <w:r w:rsidR="00350E2A" w:rsidRPr="00214B4B">
        <w:t>ах</w:t>
      </w:r>
      <w:r w:rsidRPr="00214B4B">
        <w:t xml:space="preserve"> 2010</w:t>
      </w:r>
      <w:r w:rsidR="000D67C8">
        <w:rPr>
          <w:lang w:val="en-US"/>
        </w:rPr>
        <w:t>−</w:t>
      </w:r>
      <w:r w:rsidRPr="00214B4B">
        <w:t>2025 МГц и</w:t>
      </w:r>
      <w:r w:rsidR="00214B4B" w:rsidRPr="00214B4B">
        <w:t> </w:t>
      </w:r>
      <w:r w:rsidRPr="00214B4B">
        <w:t>2160</w:t>
      </w:r>
      <w:r w:rsidR="000D67C8">
        <w:rPr>
          <w:lang w:val="en-US"/>
        </w:rPr>
        <w:t>−</w:t>
      </w:r>
      <w:r w:rsidRPr="00214B4B">
        <w:t>2170 МГц в Районах 1 и 3</w:t>
      </w:r>
      <w:r w:rsidR="00C75C40" w:rsidRPr="00214B4B">
        <w:t>, а также</w:t>
      </w:r>
      <w:r w:rsidRPr="00214B4B">
        <w:t xml:space="preserve"> 2200</w:t>
      </w:r>
      <w:r w:rsidR="000D67C8">
        <w:rPr>
          <w:lang w:val="en-US"/>
        </w:rPr>
        <w:t>−</w:t>
      </w:r>
      <w:r w:rsidRPr="00214B4B">
        <w:t xml:space="preserve">2215 МГц </w:t>
      </w:r>
      <w:r w:rsidR="00AD69E8" w:rsidRPr="00214B4B">
        <w:t>во всем мире</w:t>
      </w:r>
      <w:r w:rsidR="00350E2A" w:rsidRPr="00214B4B">
        <w:t xml:space="preserve"> </w:t>
      </w:r>
      <w:r w:rsidRPr="00214B4B">
        <w:t>для</w:t>
      </w:r>
      <w:r w:rsidR="00214B4B" w:rsidRPr="00214B4B">
        <w:t> </w:t>
      </w:r>
      <w:r w:rsidRPr="00214B4B">
        <w:t xml:space="preserve">будущего развития систем подвижной спутниковой связи и определения </w:t>
      </w:r>
      <w:r w:rsidR="000A6E9E" w:rsidRPr="00214B4B">
        <w:t>для</w:t>
      </w:r>
      <w:r w:rsidR="00214B4B" w:rsidRPr="00214B4B">
        <w:t> </w:t>
      </w:r>
      <w:r w:rsidRPr="00214B4B">
        <w:t xml:space="preserve">спутникового </w:t>
      </w:r>
      <w:r w:rsidR="00350E2A" w:rsidRPr="00214B4B">
        <w:t>сегмента</w:t>
      </w:r>
      <w:r w:rsidRPr="00214B4B">
        <w:t xml:space="preserve"> Международной подвижной электросвязи</w:t>
      </w:r>
      <w:r w:rsidR="00DF7149" w:rsidRPr="00214B4B">
        <w:t>-</w:t>
      </w:r>
      <w:r w:rsidRPr="00214B4B">
        <w:t>2020</w:t>
      </w:r>
    </w:p>
    <w:p w14:paraId="7F5CAC93" w14:textId="77777777" w:rsidR="00E81EC8" w:rsidRPr="00214B4B" w:rsidRDefault="00375F99" w:rsidP="00E81EC8">
      <w:pPr>
        <w:pStyle w:val="Normalaftertitle"/>
      </w:pPr>
      <w:r w:rsidRPr="00214B4B">
        <w:t>Всемирная конференция радиосвязи (Дубай, 2023 г.),</w:t>
      </w:r>
    </w:p>
    <w:p w14:paraId="21557838" w14:textId="77777777" w:rsidR="00E81EC8" w:rsidRPr="00214B4B" w:rsidRDefault="00375F99" w:rsidP="00E81EC8">
      <w:pPr>
        <w:pStyle w:val="Call"/>
      </w:pPr>
      <w:r w:rsidRPr="00214B4B">
        <w:t>учитывая</w:t>
      </w:r>
      <w:r w:rsidRPr="00214B4B">
        <w:rPr>
          <w:i w:val="0"/>
        </w:rPr>
        <w:t>,</w:t>
      </w:r>
    </w:p>
    <w:p w14:paraId="3ACB3B98" w14:textId="1CDBF375" w:rsidR="00CB1B3E" w:rsidRPr="00214B4B" w:rsidRDefault="00CB1B3E" w:rsidP="00CB1B3E">
      <w:pPr>
        <w:rPr>
          <w:i/>
          <w:iCs/>
        </w:rPr>
      </w:pPr>
      <w:r w:rsidRPr="00214B4B">
        <w:rPr>
          <w:i/>
          <w:iCs/>
        </w:rPr>
        <w:t>a)</w:t>
      </w:r>
      <w:r w:rsidRPr="00214B4B">
        <w:rPr>
          <w:i/>
          <w:iCs/>
        </w:rPr>
        <w:tab/>
      </w:r>
      <w:r w:rsidRPr="00214B4B">
        <w:t xml:space="preserve">что Международная </w:t>
      </w:r>
      <w:r w:rsidR="000D2376" w:rsidRPr="00214B4B">
        <w:t>подвижная</w:t>
      </w:r>
      <w:r w:rsidRPr="00214B4B">
        <w:t xml:space="preserve"> электросвязь (IMT) состоит из наземного и спутникового </w:t>
      </w:r>
      <w:r w:rsidR="000D2376" w:rsidRPr="00214B4B">
        <w:t>сегментов</w:t>
      </w:r>
      <w:r w:rsidRPr="00214B4B">
        <w:t>;</w:t>
      </w:r>
    </w:p>
    <w:p w14:paraId="21B9FD2E" w14:textId="3D17A29A" w:rsidR="00CB1B3E" w:rsidRPr="00214B4B" w:rsidRDefault="00CB1B3E" w:rsidP="00CB1B3E">
      <w:pPr>
        <w:rPr>
          <w:i/>
          <w:iCs/>
        </w:rPr>
      </w:pPr>
      <w:r w:rsidRPr="00214B4B">
        <w:rPr>
          <w:i/>
          <w:iCs/>
        </w:rPr>
        <w:t>b)</w:t>
      </w:r>
      <w:r w:rsidRPr="00214B4B">
        <w:rPr>
          <w:i/>
          <w:iCs/>
        </w:rPr>
        <w:tab/>
      </w:r>
      <w:r w:rsidR="00A76984" w:rsidRPr="00214B4B">
        <w:t>что</w:t>
      </w:r>
      <w:r w:rsidR="00A76984" w:rsidRPr="00214B4B">
        <w:rPr>
          <w:i/>
          <w:iCs/>
        </w:rPr>
        <w:t xml:space="preserve"> </w:t>
      </w:r>
      <w:r w:rsidRPr="00214B4B">
        <w:t>IMT предназначена для предоставления услуг электросвязи во всем мире, независимо от местоположения и типа сети или терминала;</w:t>
      </w:r>
    </w:p>
    <w:p w14:paraId="0D563B2B" w14:textId="4A7CD5E5" w:rsidR="00CB1B3E" w:rsidRPr="00214B4B" w:rsidRDefault="00CB1B3E" w:rsidP="00CB1B3E">
      <w:pPr>
        <w:rPr>
          <w:i/>
          <w:iCs/>
          <w:highlight w:val="lightGray"/>
        </w:rPr>
      </w:pPr>
      <w:r w:rsidRPr="00214B4B">
        <w:rPr>
          <w:i/>
          <w:iCs/>
        </w:rPr>
        <w:t>c)</w:t>
      </w:r>
      <w:r w:rsidRPr="00214B4B">
        <w:rPr>
          <w:i/>
          <w:iCs/>
        </w:rPr>
        <w:tab/>
      </w:r>
      <w:r w:rsidRPr="00214B4B">
        <w:t xml:space="preserve">что спутниковые системы развернуты для обеспечения </w:t>
      </w:r>
      <w:r w:rsidR="003B2657" w:rsidRPr="00214B4B">
        <w:t xml:space="preserve">работы </w:t>
      </w:r>
      <w:r w:rsidRPr="00214B4B">
        <w:t xml:space="preserve">спутникового </w:t>
      </w:r>
      <w:r w:rsidR="00D875DF" w:rsidRPr="00214B4B">
        <w:t>сегмента</w:t>
      </w:r>
      <w:r w:rsidR="00214B4B" w:rsidRPr="00214B4B">
        <w:t> </w:t>
      </w:r>
      <w:r w:rsidRPr="00214B4B">
        <w:t>IMT;</w:t>
      </w:r>
    </w:p>
    <w:p w14:paraId="430CFD9A" w14:textId="115540D0" w:rsidR="00CB1B3E" w:rsidRPr="00214B4B" w:rsidRDefault="00CB1B3E" w:rsidP="00CB1B3E">
      <w:pPr>
        <w:rPr>
          <w:i/>
          <w:iCs/>
        </w:rPr>
      </w:pPr>
      <w:r w:rsidRPr="00214B4B">
        <w:rPr>
          <w:i/>
          <w:iCs/>
        </w:rPr>
        <w:t>d)</w:t>
      </w:r>
      <w:r w:rsidRPr="00214B4B">
        <w:rPr>
          <w:i/>
          <w:iCs/>
        </w:rPr>
        <w:tab/>
      </w:r>
      <w:r w:rsidRPr="00214B4B">
        <w:t xml:space="preserve">что связь </w:t>
      </w:r>
      <w:r w:rsidR="005429C7" w:rsidRPr="00214B4B">
        <w:t xml:space="preserve">с использованием </w:t>
      </w:r>
      <w:r w:rsidRPr="00214B4B">
        <w:t xml:space="preserve">подвижной спутниковой службы (ПСС) способна преодолеть практические и логистические трудности, </w:t>
      </w:r>
      <w:r w:rsidR="009B7692" w:rsidRPr="00214B4B">
        <w:t>характерны</w:t>
      </w:r>
      <w:r w:rsidR="00A76984" w:rsidRPr="00214B4B">
        <w:t>е</w:t>
      </w:r>
      <w:r w:rsidR="009B7692" w:rsidRPr="00214B4B">
        <w:t xml:space="preserve"> для</w:t>
      </w:r>
      <w:r w:rsidRPr="00214B4B">
        <w:t xml:space="preserve"> наземны</w:t>
      </w:r>
      <w:r w:rsidR="009B7692" w:rsidRPr="00214B4B">
        <w:t>х</w:t>
      </w:r>
      <w:r w:rsidRPr="00214B4B">
        <w:t xml:space="preserve"> установ</w:t>
      </w:r>
      <w:r w:rsidR="009B7692" w:rsidRPr="00214B4B">
        <w:t>ок</w:t>
      </w:r>
      <w:r w:rsidRPr="00214B4B">
        <w:t>;</w:t>
      </w:r>
    </w:p>
    <w:p w14:paraId="6469DC8D" w14:textId="0EA41813" w:rsidR="00CB1B3E" w:rsidRPr="00214B4B" w:rsidRDefault="00CB1B3E" w:rsidP="00CB1B3E">
      <w:pPr>
        <w:rPr>
          <w:i/>
          <w:iCs/>
        </w:rPr>
      </w:pPr>
      <w:r w:rsidRPr="00214B4B">
        <w:rPr>
          <w:i/>
          <w:iCs/>
        </w:rPr>
        <w:t>e)</w:t>
      </w:r>
      <w:r w:rsidRPr="00214B4B">
        <w:rPr>
          <w:i/>
          <w:iCs/>
        </w:rPr>
        <w:tab/>
      </w:r>
      <w:r w:rsidRPr="00214B4B">
        <w:t xml:space="preserve">что </w:t>
      </w:r>
      <w:r w:rsidR="005407F3" w:rsidRPr="00214B4B">
        <w:t>ПСС</w:t>
      </w:r>
      <w:r w:rsidRPr="00214B4B">
        <w:t xml:space="preserve"> является проверенным, практичным и экономически эффективным методом предоставления услуг электросвязи в отдаленных и сельских районах;</w:t>
      </w:r>
    </w:p>
    <w:p w14:paraId="0C9950E0" w14:textId="322683F0" w:rsidR="00CB1B3E" w:rsidRPr="00214B4B" w:rsidRDefault="00CB1B3E" w:rsidP="00CB1B3E">
      <w:pPr>
        <w:rPr>
          <w:i/>
          <w:iCs/>
          <w:highlight w:val="lightGray"/>
        </w:rPr>
      </w:pPr>
      <w:r w:rsidRPr="00214B4B">
        <w:rPr>
          <w:i/>
          <w:iCs/>
        </w:rPr>
        <w:t>f)</w:t>
      </w:r>
      <w:r w:rsidRPr="00214B4B">
        <w:rPr>
          <w:i/>
          <w:iCs/>
        </w:rPr>
        <w:tab/>
      </w:r>
      <w:r w:rsidRPr="00214B4B">
        <w:t>что связь ПСС способствует глобальному экономическому и социальному развитию, особенно в отдаленных районах и сельских общинах;</w:t>
      </w:r>
    </w:p>
    <w:p w14:paraId="38A68F45" w14:textId="0AA06E8D" w:rsidR="00CB1B3E" w:rsidRPr="00214B4B" w:rsidRDefault="00CB1B3E" w:rsidP="00CB1B3E">
      <w:r w:rsidRPr="00214B4B">
        <w:rPr>
          <w:i/>
          <w:iCs/>
        </w:rPr>
        <w:t>g)</w:t>
      </w:r>
      <w:r w:rsidRPr="00214B4B">
        <w:rPr>
          <w:i/>
          <w:iCs/>
        </w:rPr>
        <w:tab/>
      </w:r>
      <w:r w:rsidRPr="00214B4B">
        <w:t>что связь ПСС является эффективным средством сокращения цифрового разрыва;</w:t>
      </w:r>
    </w:p>
    <w:p w14:paraId="68D30D6D" w14:textId="47BDBAF7" w:rsidR="00CB1B3E" w:rsidRPr="00214B4B" w:rsidRDefault="00CB1B3E" w:rsidP="00CB1B3E">
      <w:pPr>
        <w:rPr>
          <w:i/>
          <w:iCs/>
        </w:rPr>
      </w:pPr>
      <w:r w:rsidRPr="00214B4B">
        <w:rPr>
          <w:i/>
          <w:iCs/>
        </w:rPr>
        <w:t>h)</w:t>
      </w:r>
      <w:r w:rsidRPr="00214B4B">
        <w:rPr>
          <w:i/>
          <w:iCs/>
        </w:rPr>
        <w:tab/>
      </w:r>
      <w:r w:rsidRPr="00214B4B">
        <w:t xml:space="preserve">что Проект партнерства третьего поколения (3GPP) </w:t>
      </w:r>
      <w:r w:rsidR="00B217C4" w:rsidRPr="00214B4B">
        <w:t xml:space="preserve">в своей версии 17 </w:t>
      </w:r>
      <w:r w:rsidR="0072497A" w:rsidRPr="00214B4B">
        <w:t>подготовил</w:t>
      </w:r>
      <w:r w:rsidRPr="00214B4B">
        <w:t xml:space="preserve"> спецификаци</w:t>
      </w:r>
      <w:r w:rsidR="00116D3F" w:rsidRPr="00214B4B">
        <w:t>ю</w:t>
      </w:r>
      <w:r w:rsidRPr="00214B4B">
        <w:t xml:space="preserve"> неназемных сетей</w:t>
      </w:r>
      <w:r w:rsidR="00882D57" w:rsidRPr="00214B4B">
        <w:t xml:space="preserve"> (NTN) </w:t>
      </w:r>
      <w:r w:rsidRPr="00214B4B">
        <w:t xml:space="preserve">на базе </w:t>
      </w:r>
      <w:r w:rsidR="008676C8" w:rsidRPr="00214B4B">
        <w:t xml:space="preserve">стандарта 5G "Новое радио" </w:t>
      </w:r>
      <w:r w:rsidRPr="00214B4B">
        <w:t xml:space="preserve">и </w:t>
      </w:r>
      <w:r w:rsidR="008676C8" w:rsidRPr="00214B4B">
        <w:t>ведет работу по в</w:t>
      </w:r>
      <w:r w:rsidRPr="00214B4B">
        <w:t>ерсии</w:t>
      </w:r>
      <w:r w:rsidR="00B217C4" w:rsidRPr="00214B4B">
        <w:t> </w:t>
      </w:r>
      <w:r w:rsidRPr="00214B4B">
        <w:t>18;</w:t>
      </w:r>
    </w:p>
    <w:p w14:paraId="6DAA9523" w14:textId="54BA61DB" w:rsidR="00CB1B3E" w:rsidRPr="00214B4B" w:rsidRDefault="00CB1B3E" w:rsidP="00CB1B3E">
      <w:pPr>
        <w:rPr>
          <w:i/>
          <w:iCs/>
          <w:highlight w:val="lightGray"/>
        </w:rPr>
      </w:pPr>
      <w:r w:rsidRPr="00214B4B">
        <w:rPr>
          <w:i/>
          <w:iCs/>
        </w:rPr>
        <w:lastRenderedPageBreak/>
        <w:t>i)</w:t>
      </w:r>
      <w:r w:rsidRPr="00214B4B">
        <w:rPr>
          <w:i/>
          <w:iCs/>
        </w:rPr>
        <w:tab/>
      </w:r>
      <w:r w:rsidRPr="00214B4B">
        <w:t xml:space="preserve">что NTN на базе </w:t>
      </w:r>
      <w:r w:rsidR="00B217C4" w:rsidRPr="00214B4B">
        <w:t>стандарта 5G "Новое радио"</w:t>
      </w:r>
      <w:r w:rsidRPr="00214B4B">
        <w:t>, как ожидается, станет кандидат</w:t>
      </w:r>
      <w:r w:rsidR="001B5473" w:rsidRPr="00214B4B">
        <w:t>ной</w:t>
      </w:r>
      <w:r w:rsidRPr="00214B4B">
        <w:t xml:space="preserve"> технологи</w:t>
      </w:r>
      <w:r w:rsidR="001B5473" w:rsidRPr="00214B4B">
        <w:t>ей</w:t>
      </w:r>
      <w:r w:rsidRPr="00214B4B">
        <w:t xml:space="preserve"> радиодоступа для спутникового </w:t>
      </w:r>
      <w:r w:rsidR="00B217C4" w:rsidRPr="00214B4B">
        <w:t>сегмента</w:t>
      </w:r>
      <w:r w:rsidRPr="00214B4B">
        <w:t xml:space="preserve"> IMT-2020;</w:t>
      </w:r>
    </w:p>
    <w:p w14:paraId="391AA97C" w14:textId="0D48FD62" w:rsidR="00CB1B3E" w:rsidRPr="00214B4B" w:rsidRDefault="00CB1B3E" w:rsidP="00CB1B3E">
      <w:pPr>
        <w:rPr>
          <w:i/>
          <w:iCs/>
        </w:rPr>
      </w:pPr>
      <w:r w:rsidRPr="00214B4B">
        <w:rPr>
          <w:i/>
          <w:iCs/>
        </w:rPr>
        <w:t>j)</w:t>
      </w:r>
      <w:r w:rsidRPr="00214B4B">
        <w:rPr>
          <w:i/>
          <w:iCs/>
        </w:rPr>
        <w:tab/>
      </w:r>
      <w:r w:rsidRPr="00214B4B">
        <w:t xml:space="preserve">что спутниковый </w:t>
      </w:r>
      <w:r w:rsidR="001B5473" w:rsidRPr="00214B4B">
        <w:t>сегмент</w:t>
      </w:r>
      <w:r w:rsidRPr="00214B4B">
        <w:t xml:space="preserve"> IMT-2020 обеспечит разнообразные сценарии использования, включая спутниковые варианты </w:t>
      </w:r>
      <w:r w:rsidR="001B5473" w:rsidRPr="00214B4B">
        <w:t xml:space="preserve">усовершенствованной </w:t>
      </w:r>
      <w:r w:rsidRPr="00214B4B">
        <w:t xml:space="preserve">подвижной широкополосной связи, </w:t>
      </w:r>
      <w:r w:rsidR="00625B55" w:rsidRPr="00214B4B">
        <w:t xml:space="preserve">потоковую связь машинного типа </w:t>
      </w:r>
      <w:r w:rsidRPr="00214B4B">
        <w:t xml:space="preserve">и категории </w:t>
      </w:r>
      <w:r w:rsidR="00850FD0" w:rsidRPr="00214B4B">
        <w:t xml:space="preserve">услуг </w:t>
      </w:r>
      <w:r w:rsidRPr="00214B4B">
        <w:t>сверхнадежн</w:t>
      </w:r>
      <w:r w:rsidR="00850FD0" w:rsidRPr="00214B4B">
        <w:t xml:space="preserve">ой </w:t>
      </w:r>
      <w:r w:rsidR="00625B55" w:rsidRPr="00214B4B">
        <w:t>передач</w:t>
      </w:r>
      <w:r w:rsidR="00207BD8" w:rsidRPr="00214B4B">
        <w:t>и</w:t>
      </w:r>
      <w:r w:rsidR="00625B55" w:rsidRPr="00214B4B">
        <w:t xml:space="preserve"> данных </w:t>
      </w:r>
      <w:r w:rsidRPr="00214B4B">
        <w:t>и специ</w:t>
      </w:r>
      <w:r w:rsidR="00207BD8" w:rsidRPr="00214B4B">
        <w:t>альных</w:t>
      </w:r>
      <w:r w:rsidRPr="00214B4B">
        <w:t xml:space="preserve"> </w:t>
      </w:r>
      <w:r w:rsidR="00850FD0" w:rsidRPr="00214B4B">
        <w:t xml:space="preserve">услуг </w:t>
      </w:r>
      <w:r w:rsidRPr="00214B4B">
        <w:t xml:space="preserve">спутниковой связи </w:t>
      </w:r>
      <w:r w:rsidR="002A21ED" w:rsidRPr="00214B4B">
        <w:t>высокой надежности</w:t>
      </w:r>
      <w:r w:rsidRPr="00214B4B">
        <w:t>;</w:t>
      </w:r>
    </w:p>
    <w:p w14:paraId="4EE4D276" w14:textId="442D3E84" w:rsidR="00CB1B3E" w:rsidRPr="00214B4B" w:rsidRDefault="00CB1B3E" w:rsidP="00CB1B3E">
      <w:pPr>
        <w:rPr>
          <w:i/>
          <w:iCs/>
        </w:rPr>
      </w:pPr>
      <w:r w:rsidRPr="00214B4B">
        <w:rPr>
          <w:i/>
          <w:iCs/>
        </w:rPr>
        <w:t>k)</w:t>
      </w:r>
      <w:r w:rsidRPr="00214B4B">
        <w:rPr>
          <w:i/>
          <w:iCs/>
        </w:rPr>
        <w:tab/>
      </w:r>
      <w:r w:rsidRPr="00214B4B">
        <w:t xml:space="preserve">что непрерывный спектр для спутникового </w:t>
      </w:r>
      <w:r w:rsidR="001B5473" w:rsidRPr="00214B4B">
        <w:t>сегмент</w:t>
      </w:r>
      <w:r w:rsidRPr="00214B4B">
        <w:t>а IMT позволит повысить эффективность управления использованием спектра;</w:t>
      </w:r>
    </w:p>
    <w:p w14:paraId="7124324C" w14:textId="16C42459" w:rsidR="00CB1B3E" w:rsidRPr="00214B4B" w:rsidRDefault="00CB1B3E" w:rsidP="00CB1B3E">
      <w:pPr>
        <w:rPr>
          <w:i/>
          <w:iCs/>
        </w:rPr>
      </w:pPr>
      <w:r w:rsidRPr="00214B4B">
        <w:rPr>
          <w:i/>
          <w:iCs/>
        </w:rPr>
        <w:t>l)</w:t>
      </w:r>
      <w:r w:rsidRPr="00214B4B">
        <w:rPr>
          <w:i/>
          <w:iCs/>
        </w:rPr>
        <w:tab/>
      </w:r>
      <w:r w:rsidRPr="00214B4B">
        <w:t xml:space="preserve">что </w:t>
      </w:r>
      <w:r w:rsidR="000C301A" w:rsidRPr="00214B4B">
        <w:t xml:space="preserve">растет </w:t>
      </w:r>
      <w:r w:rsidRPr="00214B4B">
        <w:t>число подвижных спутниковых систем и увеличивается потребность в спектре для подходящих распределений ПСС;</w:t>
      </w:r>
    </w:p>
    <w:p w14:paraId="5975120F" w14:textId="77777777" w:rsidR="00E81EC8" w:rsidRPr="00214B4B" w:rsidRDefault="00E81EC8" w:rsidP="00E81EC8">
      <w:pPr>
        <w:rPr>
          <w:i/>
          <w:iCs/>
        </w:rPr>
      </w:pPr>
      <w:r w:rsidRPr="00214B4B">
        <w:rPr>
          <w:i/>
          <w:iCs/>
        </w:rPr>
        <w:t>m)</w:t>
      </w:r>
      <w:r w:rsidRPr="00214B4B">
        <w:tab/>
      </w:r>
      <w:r w:rsidR="00375F99" w:rsidRPr="00214B4B">
        <w:t>что необходима регламентарная определенность в отношении доступного спектра для целей проектирования и планирования использования спутниковых и земных станций</w:t>
      </w:r>
      <w:r w:rsidRPr="00214B4B">
        <w:t>,</w:t>
      </w:r>
    </w:p>
    <w:p w14:paraId="7B42A083" w14:textId="037809E6" w:rsidR="00E81EC8" w:rsidRPr="00214B4B" w:rsidRDefault="00375F99" w:rsidP="00E81EC8">
      <w:pPr>
        <w:pStyle w:val="Call"/>
      </w:pPr>
      <w:r w:rsidRPr="00214B4B">
        <w:t>отмечая</w:t>
      </w:r>
      <w:r w:rsidR="000C301A" w:rsidRPr="001E6440">
        <w:rPr>
          <w:i w:val="0"/>
          <w:iCs/>
        </w:rPr>
        <w:t>,</w:t>
      </w:r>
    </w:p>
    <w:p w14:paraId="5E2510EF" w14:textId="7DB32E5D" w:rsidR="00190FDA" w:rsidRPr="00214B4B" w:rsidRDefault="00190FDA" w:rsidP="00190FDA">
      <w:pPr>
        <w:rPr>
          <w:color w:val="000000" w:themeColor="text1"/>
        </w:rPr>
      </w:pPr>
      <w:r w:rsidRPr="00214B4B">
        <w:rPr>
          <w:i/>
          <w:iCs/>
          <w:color w:val="000000" w:themeColor="text1"/>
        </w:rPr>
        <w:t>а)</w:t>
      </w:r>
      <w:r w:rsidRPr="00214B4B">
        <w:rPr>
          <w:i/>
          <w:iCs/>
          <w:color w:val="000000" w:themeColor="text1"/>
        </w:rPr>
        <w:tab/>
      </w:r>
      <w:r w:rsidRPr="00214B4B">
        <w:rPr>
          <w:color w:val="000000" w:themeColor="text1"/>
        </w:rPr>
        <w:t xml:space="preserve">что </w:t>
      </w:r>
      <w:r w:rsidR="000C301A" w:rsidRPr="00214B4B">
        <w:rPr>
          <w:color w:val="000000" w:themeColor="text1"/>
        </w:rPr>
        <w:t>был одобрен</w:t>
      </w:r>
      <w:r w:rsidRPr="00214B4B">
        <w:rPr>
          <w:color w:val="000000" w:themeColor="text1"/>
        </w:rPr>
        <w:t xml:space="preserve"> Отчет МСЭ-</w:t>
      </w:r>
      <w:r w:rsidR="000C301A" w:rsidRPr="00214B4B">
        <w:rPr>
          <w:color w:val="000000" w:themeColor="text1"/>
        </w:rPr>
        <w:t>R</w:t>
      </w:r>
      <w:r w:rsidRPr="00214B4B">
        <w:rPr>
          <w:color w:val="000000" w:themeColor="text1"/>
        </w:rPr>
        <w:t xml:space="preserve"> М.2514-0 </w:t>
      </w:r>
      <w:r w:rsidR="0024330C" w:rsidRPr="00214B4B">
        <w:rPr>
          <w:color w:val="000000" w:themeColor="text1"/>
        </w:rPr>
        <w:t>"Видение, требования и руководство по оценке спутникового(ых) радиоинтерфейса(ов) IMT-2020"</w:t>
      </w:r>
      <w:r w:rsidRPr="00214B4B">
        <w:rPr>
          <w:color w:val="000000" w:themeColor="text1"/>
        </w:rPr>
        <w:t>;</w:t>
      </w:r>
    </w:p>
    <w:p w14:paraId="334DA4B3" w14:textId="5E06A34A" w:rsidR="00190FDA" w:rsidRPr="00214B4B" w:rsidRDefault="00190FDA" w:rsidP="00190FDA">
      <w:pPr>
        <w:rPr>
          <w:color w:val="000000" w:themeColor="text1"/>
        </w:rPr>
      </w:pPr>
      <w:r w:rsidRPr="00214B4B">
        <w:rPr>
          <w:i/>
          <w:iCs/>
          <w:color w:val="000000" w:themeColor="text1"/>
        </w:rPr>
        <w:t>b)</w:t>
      </w:r>
      <w:r w:rsidRPr="00214B4B">
        <w:rPr>
          <w:i/>
          <w:iCs/>
          <w:color w:val="000000" w:themeColor="text1"/>
        </w:rPr>
        <w:tab/>
      </w:r>
      <w:r w:rsidRPr="00214B4B">
        <w:rPr>
          <w:color w:val="000000" w:themeColor="text1"/>
        </w:rPr>
        <w:t xml:space="preserve">что </w:t>
      </w:r>
      <w:r w:rsidR="00EF6856" w:rsidRPr="00214B4B">
        <w:rPr>
          <w:color w:val="000000" w:themeColor="text1"/>
        </w:rPr>
        <w:t xml:space="preserve">МСЭ-R </w:t>
      </w:r>
      <w:r w:rsidR="00AE1130" w:rsidRPr="00214B4B">
        <w:rPr>
          <w:color w:val="000000" w:themeColor="text1"/>
        </w:rPr>
        <w:t xml:space="preserve">проводит </w:t>
      </w:r>
      <w:r w:rsidR="004B6141" w:rsidRPr="00214B4B">
        <w:rPr>
          <w:color w:val="000000" w:themeColor="text1"/>
        </w:rPr>
        <w:t xml:space="preserve">работу по </w:t>
      </w:r>
      <w:r w:rsidRPr="00214B4B">
        <w:rPr>
          <w:color w:val="000000" w:themeColor="text1"/>
        </w:rPr>
        <w:t>оценк</w:t>
      </w:r>
      <w:r w:rsidR="004B6141" w:rsidRPr="00214B4B">
        <w:rPr>
          <w:color w:val="000000" w:themeColor="text1"/>
        </w:rPr>
        <w:t>е</w:t>
      </w:r>
      <w:r w:rsidRPr="00214B4B">
        <w:rPr>
          <w:color w:val="000000" w:themeColor="text1"/>
        </w:rPr>
        <w:t xml:space="preserve"> </w:t>
      </w:r>
      <w:r w:rsidR="00FE289E" w:rsidRPr="00214B4B">
        <w:rPr>
          <w:color w:val="000000" w:themeColor="text1"/>
        </w:rPr>
        <w:t>возможных</w:t>
      </w:r>
      <w:r w:rsidRPr="00214B4B">
        <w:rPr>
          <w:color w:val="000000" w:themeColor="text1"/>
        </w:rPr>
        <w:t xml:space="preserve"> технологий радиодоступа для спутникового </w:t>
      </w:r>
      <w:r w:rsidR="001B5473" w:rsidRPr="00214B4B">
        <w:rPr>
          <w:color w:val="000000" w:themeColor="text1"/>
        </w:rPr>
        <w:t>сегмент</w:t>
      </w:r>
      <w:r w:rsidRPr="00214B4B">
        <w:rPr>
          <w:color w:val="000000" w:themeColor="text1"/>
        </w:rPr>
        <w:t>а IMT</w:t>
      </w:r>
      <w:r w:rsidR="00A85737" w:rsidRPr="00214B4B">
        <w:rPr>
          <w:color w:val="000000" w:themeColor="text1"/>
        </w:rPr>
        <w:t>, котор</w:t>
      </w:r>
      <w:r w:rsidR="004B6141" w:rsidRPr="00214B4B">
        <w:rPr>
          <w:color w:val="000000" w:themeColor="text1"/>
        </w:rPr>
        <w:t>ая</w:t>
      </w:r>
      <w:r w:rsidR="00A85737" w:rsidRPr="00214B4B">
        <w:rPr>
          <w:color w:val="000000" w:themeColor="text1"/>
        </w:rPr>
        <w:t>, как ожидается, долж</w:t>
      </w:r>
      <w:r w:rsidR="004B6141" w:rsidRPr="00214B4B">
        <w:rPr>
          <w:color w:val="000000" w:themeColor="text1"/>
        </w:rPr>
        <w:t>на</w:t>
      </w:r>
      <w:r w:rsidR="00A85737" w:rsidRPr="00214B4B">
        <w:rPr>
          <w:color w:val="000000" w:themeColor="text1"/>
        </w:rPr>
        <w:t xml:space="preserve"> завершиться</w:t>
      </w:r>
      <w:r w:rsidRPr="00214B4B">
        <w:rPr>
          <w:color w:val="000000" w:themeColor="text1"/>
        </w:rPr>
        <w:t xml:space="preserve"> до 2025 года,</w:t>
      </w:r>
    </w:p>
    <w:p w14:paraId="62058469" w14:textId="77777777" w:rsidR="00E81EC8" w:rsidRPr="00214B4B" w:rsidRDefault="00375F99" w:rsidP="00E81EC8">
      <w:pPr>
        <w:pStyle w:val="Call"/>
      </w:pPr>
      <w:r w:rsidRPr="00214B4B">
        <w:t>признавая</w:t>
      </w:r>
      <w:r w:rsidRPr="00214B4B">
        <w:rPr>
          <w:i w:val="0"/>
        </w:rPr>
        <w:t>,</w:t>
      </w:r>
    </w:p>
    <w:p w14:paraId="08B5AD5A" w14:textId="7E55849F" w:rsidR="00E81EC8" w:rsidRPr="00214B4B" w:rsidRDefault="00E81EC8" w:rsidP="00E81EC8">
      <w:r w:rsidRPr="00214B4B">
        <w:rPr>
          <w:i/>
          <w:iCs/>
        </w:rPr>
        <w:t>a)</w:t>
      </w:r>
      <w:r w:rsidRPr="00214B4B">
        <w:tab/>
      </w:r>
      <w:r w:rsidR="00510C18" w:rsidRPr="00214B4B">
        <w:t xml:space="preserve">что </w:t>
      </w:r>
      <w:r w:rsidR="0071515F" w:rsidRPr="00214B4B">
        <w:t>в соответствии с п.</w:t>
      </w:r>
      <w:r w:rsidRPr="00214B4B">
        <w:t xml:space="preserve"> </w:t>
      </w:r>
      <w:r w:rsidRPr="00214B4B">
        <w:rPr>
          <w:b/>
          <w:bCs/>
        </w:rPr>
        <w:t>5.388</w:t>
      </w:r>
      <w:r w:rsidR="0071515F" w:rsidRPr="00214B4B">
        <w:t xml:space="preserve"> </w:t>
      </w:r>
      <w:r w:rsidR="00960D10" w:rsidRPr="00214B4B">
        <w:t xml:space="preserve">полосы </w:t>
      </w:r>
      <w:r w:rsidR="001E6440">
        <w:t xml:space="preserve">частот </w:t>
      </w:r>
      <w:r w:rsidR="00960D10" w:rsidRPr="00214B4B">
        <w:t>1885</w:t>
      </w:r>
      <w:r w:rsidR="001E6440">
        <w:t>−</w:t>
      </w:r>
      <w:r w:rsidR="00960D10" w:rsidRPr="00214B4B">
        <w:t>2025 МГц и 2110</w:t>
      </w:r>
      <w:r w:rsidR="001E6440">
        <w:t>−</w:t>
      </w:r>
      <w:r w:rsidR="00960D10" w:rsidRPr="00214B4B">
        <w:t xml:space="preserve">2200 МГц предназначены для использования на </w:t>
      </w:r>
      <w:r w:rsidR="007B6D56" w:rsidRPr="00214B4B">
        <w:t>глобальной</w:t>
      </w:r>
      <w:r w:rsidR="00960D10" w:rsidRPr="00214B4B">
        <w:t xml:space="preserve"> основе администрациями, желающими внедрить IMT. Такое использование не препятствует использованию этих полос другими службами, которым распределены эти полосы. Указанные полосы частот должны быть предоставлены для IMT в соответствии с Резолюцией </w:t>
      </w:r>
      <w:r w:rsidR="00960D10" w:rsidRPr="00214B4B">
        <w:rPr>
          <w:b/>
          <w:bCs/>
        </w:rPr>
        <w:t>212 (Пересм. ВКР-1</w:t>
      </w:r>
      <w:r w:rsidR="00877D46" w:rsidRPr="00214B4B">
        <w:rPr>
          <w:b/>
          <w:bCs/>
        </w:rPr>
        <w:t>9</w:t>
      </w:r>
      <w:r w:rsidRPr="00214B4B">
        <w:rPr>
          <w:b/>
          <w:bCs/>
        </w:rPr>
        <w:t>)</w:t>
      </w:r>
      <w:r w:rsidRPr="00214B4B">
        <w:t xml:space="preserve">; </w:t>
      </w:r>
    </w:p>
    <w:p w14:paraId="7D64AAA0" w14:textId="3FB33150" w:rsidR="00190FDA" w:rsidRPr="00214B4B" w:rsidRDefault="00190FDA" w:rsidP="00190FDA">
      <w:r w:rsidRPr="00214B4B">
        <w:rPr>
          <w:i/>
          <w:iCs/>
        </w:rPr>
        <w:t>b)</w:t>
      </w:r>
      <w:r w:rsidRPr="00214B4B">
        <w:rPr>
          <w:i/>
          <w:iCs/>
        </w:rPr>
        <w:tab/>
      </w:r>
      <w:r w:rsidRPr="00214B4B">
        <w:t>что полоса частот 2010−2025 МГц распределена ПСС на первичной основе для операций Земля-космос в Районе 2;</w:t>
      </w:r>
    </w:p>
    <w:p w14:paraId="52E3D433" w14:textId="1BD3A552" w:rsidR="00190FDA" w:rsidRPr="00214B4B" w:rsidRDefault="00190FDA" w:rsidP="00190FDA">
      <w:pPr>
        <w:rPr>
          <w:i/>
          <w:iCs/>
        </w:rPr>
      </w:pPr>
      <w:r w:rsidRPr="00214B4B">
        <w:rPr>
          <w:i/>
          <w:iCs/>
        </w:rPr>
        <w:t>c)</w:t>
      </w:r>
      <w:r w:rsidRPr="00214B4B">
        <w:rPr>
          <w:i/>
          <w:iCs/>
        </w:rPr>
        <w:tab/>
      </w:r>
      <w:r w:rsidRPr="00214B4B">
        <w:t>что полоса частот 2160</w:t>
      </w:r>
      <w:r w:rsidR="001E6440">
        <w:t>−</w:t>
      </w:r>
      <w:r w:rsidRPr="00214B4B">
        <w:t>2170 МГц распределена ПСС на первичной основе для операций космос-Земля в Районе 2;</w:t>
      </w:r>
    </w:p>
    <w:p w14:paraId="74EDAD3A" w14:textId="34DA69A4" w:rsidR="00E81EC8" w:rsidRPr="00214B4B" w:rsidRDefault="00E81EC8" w:rsidP="00E81EC8">
      <w:r w:rsidRPr="00214B4B">
        <w:rPr>
          <w:i/>
          <w:iCs/>
        </w:rPr>
        <w:t>d)</w:t>
      </w:r>
      <w:r w:rsidRPr="00214B4B">
        <w:tab/>
      </w:r>
      <w:r w:rsidR="00960D10" w:rsidRPr="00214B4B">
        <w:t>что как наземный, так и спутниковый сегменты IMT уже развернуты или рассматривается вопрос об их развертывании в полосах частот 1885</w:t>
      </w:r>
      <w:r w:rsidR="001E6440">
        <w:t>−</w:t>
      </w:r>
      <w:r w:rsidR="00960D10" w:rsidRPr="00214B4B">
        <w:t>2025 МГц и 2110</w:t>
      </w:r>
      <w:r w:rsidR="001E6440">
        <w:t>−</w:t>
      </w:r>
      <w:r w:rsidR="00960D10" w:rsidRPr="00214B4B">
        <w:t>2200 МГц</w:t>
      </w:r>
      <w:r w:rsidRPr="00214B4B">
        <w:t xml:space="preserve">; </w:t>
      </w:r>
    </w:p>
    <w:p w14:paraId="315693D0" w14:textId="68DBAD47" w:rsidR="00954AAB" w:rsidRPr="00214B4B" w:rsidRDefault="00954AAB" w:rsidP="00E81EC8">
      <w:r w:rsidRPr="00214B4B">
        <w:rPr>
          <w:i/>
          <w:iCs/>
        </w:rPr>
        <w:t>e)</w:t>
      </w:r>
      <w:r w:rsidRPr="00214B4B">
        <w:rPr>
          <w:i/>
          <w:iCs/>
        </w:rPr>
        <w:tab/>
      </w:r>
      <w:r w:rsidRPr="00214B4B">
        <w:t>что полосы частот 2010</w:t>
      </w:r>
      <w:r w:rsidR="001E6440">
        <w:t>−</w:t>
      </w:r>
      <w:r w:rsidRPr="00214B4B">
        <w:t>2025 МГц, 2160</w:t>
      </w:r>
      <w:r w:rsidR="001E6440">
        <w:t>−</w:t>
      </w:r>
      <w:r w:rsidRPr="00214B4B">
        <w:t>2170 МГц и 2200</w:t>
      </w:r>
      <w:r w:rsidR="001E6440">
        <w:t>−</w:t>
      </w:r>
      <w:r w:rsidRPr="00214B4B">
        <w:t xml:space="preserve">2215 МГц </w:t>
      </w:r>
      <w:r w:rsidR="009D2D46" w:rsidRPr="00214B4B">
        <w:t xml:space="preserve">являются соседними </w:t>
      </w:r>
      <w:r w:rsidRPr="00214B4B">
        <w:t xml:space="preserve">с полосами частот, которые распределены подвижной спутниковой службе на первичной основе и определены для спутникового </w:t>
      </w:r>
      <w:r w:rsidR="001B5473" w:rsidRPr="00214B4B">
        <w:t>сегмент</w:t>
      </w:r>
      <w:r w:rsidRPr="00214B4B">
        <w:t>а IMT-2020;</w:t>
      </w:r>
    </w:p>
    <w:p w14:paraId="00951F38" w14:textId="681F731F" w:rsidR="00E81EC8" w:rsidRPr="00214B4B" w:rsidRDefault="00E81EC8" w:rsidP="00E81EC8">
      <w:r w:rsidRPr="00214B4B">
        <w:rPr>
          <w:i/>
          <w:iCs/>
        </w:rPr>
        <w:t>f)</w:t>
      </w:r>
      <w:r w:rsidRPr="00214B4B">
        <w:tab/>
      </w:r>
      <w:r w:rsidR="00960D10" w:rsidRPr="00214B4B">
        <w:t>что введение применений возможного нового распределения ПСС не должно налагать ограничения на другие существующие первичные службы, имеющие распределения на первичной основе в рассматриваемых полосах частот, а также в соседних полосах частот</w:t>
      </w:r>
      <w:r w:rsidR="00875FDA" w:rsidRPr="00214B4B">
        <w:t>,</w:t>
      </w:r>
      <w:r w:rsidR="00960D10" w:rsidRPr="00214B4B">
        <w:t xml:space="preserve"> работающих в соответствии с Регламентом радиосвязи</w:t>
      </w:r>
      <w:r w:rsidRPr="00214B4B">
        <w:t>,</w:t>
      </w:r>
    </w:p>
    <w:p w14:paraId="73DB6AA0" w14:textId="4FC2DB8B" w:rsidR="00E81EC8" w:rsidRPr="00214B4B" w:rsidRDefault="00954AAB" w:rsidP="00E81EC8">
      <w:pPr>
        <w:pStyle w:val="Call"/>
        <w:rPr>
          <w:highlight w:val="lightGray"/>
        </w:rPr>
      </w:pPr>
      <w:r w:rsidRPr="00214B4B">
        <w:t xml:space="preserve">решает </w:t>
      </w:r>
      <w:r w:rsidR="00CE6633" w:rsidRPr="00214B4B">
        <w:t xml:space="preserve">предложить Сектору </w:t>
      </w:r>
      <w:r w:rsidRPr="00214B4B">
        <w:t>радиосвязи МСЭ</w:t>
      </w:r>
    </w:p>
    <w:p w14:paraId="576350F5" w14:textId="73FC4D61" w:rsidR="00954AAB" w:rsidRPr="00214B4B" w:rsidRDefault="00E81EC8" w:rsidP="00E81EC8">
      <w:pPr>
        <w:rPr>
          <w:color w:val="000000" w:themeColor="text1"/>
        </w:rPr>
      </w:pPr>
      <w:r w:rsidRPr="00214B4B">
        <w:rPr>
          <w:color w:val="000000" w:themeColor="text1"/>
        </w:rPr>
        <w:t>1</w:t>
      </w:r>
      <w:r w:rsidRPr="00214B4B">
        <w:rPr>
          <w:color w:val="000000" w:themeColor="text1"/>
        </w:rPr>
        <w:tab/>
      </w:r>
      <w:r w:rsidR="007B6BF5" w:rsidRPr="00214B4B">
        <w:rPr>
          <w:color w:val="000000" w:themeColor="text1"/>
        </w:rPr>
        <w:t xml:space="preserve">провести и завершить своевременно до начала ВКР-27 соответствующие исследования технических, эксплуатационных и регламентарных вопросов, касающихся возможного использования </w:t>
      </w:r>
      <w:r w:rsidR="00954AAB" w:rsidRPr="00214B4B">
        <w:rPr>
          <w:color w:val="000000" w:themeColor="text1"/>
        </w:rPr>
        <w:t>спутниково</w:t>
      </w:r>
      <w:r w:rsidR="00373EA7" w:rsidRPr="00214B4B">
        <w:rPr>
          <w:color w:val="000000" w:themeColor="text1"/>
        </w:rPr>
        <w:t>го</w:t>
      </w:r>
      <w:r w:rsidR="00954AAB" w:rsidRPr="00214B4B">
        <w:rPr>
          <w:color w:val="000000" w:themeColor="text1"/>
        </w:rPr>
        <w:t xml:space="preserve"> </w:t>
      </w:r>
      <w:r w:rsidR="007B6BF5" w:rsidRPr="00214B4B">
        <w:rPr>
          <w:color w:val="000000" w:themeColor="text1"/>
        </w:rPr>
        <w:t>сегмента</w:t>
      </w:r>
      <w:r w:rsidR="00954AAB" w:rsidRPr="00214B4B">
        <w:rPr>
          <w:color w:val="000000" w:themeColor="text1"/>
        </w:rPr>
        <w:t xml:space="preserve"> IMT в полосах частот 2010−2025 МГц (Районы 1 и 3), 2160−2170 МГц (</w:t>
      </w:r>
      <w:r w:rsidR="00EB6C99" w:rsidRPr="00214B4B">
        <w:rPr>
          <w:color w:val="000000" w:themeColor="text1"/>
        </w:rPr>
        <w:t xml:space="preserve">Районы </w:t>
      </w:r>
      <w:r w:rsidR="00954AAB" w:rsidRPr="00214B4B">
        <w:rPr>
          <w:color w:val="000000" w:themeColor="text1"/>
        </w:rPr>
        <w:t>1 и 3) и 2200−2215 МГц с учетом:</w:t>
      </w:r>
    </w:p>
    <w:p w14:paraId="7FD3384C" w14:textId="777021C0" w:rsidR="00960D10" w:rsidRPr="00214B4B" w:rsidRDefault="00960D10" w:rsidP="00960D10">
      <w:pPr>
        <w:pStyle w:val="enumlev1"/>
      </w:pPr>
      <w:r w:rsidRPr="00214B4B">
        <w:t>–</w:t>
      </w:r>
      <w:r w:rsidR="00E81EC8" w:rsidRPr="00214B4B">
        <w:tab/>
      </w:r>
      <w:r w:rsidRPr="00214B4B">
        <w:t>меняющи</w:t>
      </w:r>
      <w:r w:rsidR="0012318D" w:rsidRPr="00214B4B">
        <w:t>х</w:t>
      </w:r>
      <w:r w:rsidRPr="00214B4B">
        <w:t>ся потребност</w:t>
      </w:r>
      <w:r w:rsidR="0012318D" w:rsidRPr="00214B4B">
        <w:t>ей</w:t>
      </w:r>
      <w:r w:rsidRPr="00214B4B">
        <w:t xml:space="preserve"> в целях соответствия возникающим </w:t>
      </w:r>
      <w:r w:rsidR="0012318D" w:rsidRPr="00214B4B">
        <w:t>потребностям спутникового сегмента</w:t>
      </w:r>
      <w:r w:rsidRPr="00214B4B">
        <w:t xml:space="preserve"> IMT</w:t>
      </w:r>
      <w:r w:rsidR="0012318D" w:rsidRPr="00214B4B">
        <w:t>-2020</w:t>
      </w:r>
      <w:r w:rsidRPr="00214B4B">
        <w:t>;</w:t>
      </w:r>
    </w:p>
    <w:p w14:paraId="6523B870" w14:textId="0AADBA22" w:rsidR="00960D10" w:rsidRPr="00214B4B" w:rsidRDefault="00960D10" w:rsidP="00960D10">
      <w:pPr>
        <w:pStyle w:val="enumlev1"/>
      </w:pPr>
      <w:r w:rsidRPr="00214B4B">
        <w:t>–</w:t>
      </w:r>
      <w:r w:rsidRPr="00214B4B">
        <w:tab/>
        <w:t>технически</w:t>
      </w:r>
      <w:r w:rsidR="003C48DE" w:rsidRPr="00214B4B">
        <w:t>х</w:t>
      </w:r>
      <w:r w:rsidRPr="00214B4B">
        <w:t xml:space="preserve"> и эксплуатационны</w:t>
      </w:r>
      <w:r w:rsidR="003C48DE" w:rsidRPr="00214B4B">
        <w:t>х</w:t>
      </w:r>
      <w:r w:rsidRPr="00214B4B">
        <w:t xml:space="preserve"> характеристик систем </w:t>
      </w:r>
      <w:r w:rsidR="00A66AE4" w:rsidRPr="00214B4B">
        <w:t xml:space="preserve">спутникового сегмента </w:t>
      </w:r>
      <w:r w:rsidRPr="00214B4B">
        <w:t>IMT</w:t>
      </w:r>
      <w:r w:rsidR="001E6440">
        <w:noBreakHyphen/>
      </w:r>
      <w:r w:rsidR="003C48DE" w:rsidRPr="00214B4B">
        <w:t>2020</w:t>
      </w:r>
      <w:r w:rsidRPr="00214B4B">
        <w:t xml:space="preserve">, которые будут работать в этих конкретных полосах частот, в том числе </w:t>
      </w:r>
      <w:r w:rsidRPr="00214B4B">
        <w:lastRenderedPageBreak/>
        <w:t>развитие</w:t>
      </w:r>
      <w:r w:rsidR="003C48DE" w:rsidRPr="00214B4B">
        <w:t xml:space="preserve"> спутникового сегмента</w:t>
      </w:r>
      <w:r w:rsidRPr="00214B4B">
        <w:t xml:space="preserve"> IMT</w:t>
      </w:r>
      <w:r w:rsidR="003C48DE" w:rsidRPr="00214B4B">
        <w:t>-2020</w:t>
      </w:r>
      <w:r w:rsidRPr="00214B4B">
        <w:t xml:space="preserve"> благодаря достижениям в области технологий и методов эффективного использования спектра;</w:t>
      </w:r>
    </w:p>
    <w:p w14:paraId="26679235" w14:textId="134316CE" w:rsidR="00960D10" w:rsidRPr="00214B4B" w:rsidRDefault="00960D10" w:rsidP="00960D10">
      <w:pPr>
        <w:pStyle w:val="enumlev1"/>
      </w:pPr>
      <w:r w:rsidRPr="00214B4B">
        <w:t>–</w:t>
      </w:r>
      <w:r w:rsidRPr="00214B4B">
        <w:tab/>
        <w:t>сценари</w:t>
      </w:r>
      <w:r w:rsidR="003C48DE" w:rsidRPr="00214B4B">
        <w:t>ев</w:t>
      </w:r>
      <w:r w:rsidRPr="00214B4B">
        <w:t xml:space="preserve"> развертывания, предусматриваемы</w:t>
      </w:r>
      <w:r w:rsidR="003C48DE" w:rsidRPr="00214B4B">
        <w:t>х</w:t>
      </w:r>
      <w:r w:rsidRPr="00214B4B">
        <w:t xml:space="preserve"> для систем </w:t>
      </w:r>
      <w:r w:rsidR="003C48DE" w:rsidRPr="00214B4B">
        <w:t xml:space="preserve">спутникового сегмента </w:t>
      </w:r>
      <w:r w:rsidRPr="00214B4B">
        <w:t>IMT</w:t>
      </w:r>
      <w:r w:rsidR="00214B4B" w:rsidRPr="00214B4B">
        <w:noBreakHyphen/>
      </w:r>
      <w:r w:rsidR="003C48DE" w:rsidRPr="00214B4B">
        <w:t>2020</w:t>
      </w:r>
      <w:r w:rsidRPr="00214B4B">
        <w:t>, и связанны</w:t>
      </w:r>
      <w:r w:rsidR="003C48DE" w:rsidRPr="00214B4B">
        <w:t>х</w:t>
      </w:r>
      <w:r w:rsidRPr="00214B4B">
        <w:t xml:space="preserve"> с ними </w:t>
      </w:r>
      <w:r w:rsidR="00A66AE4" w:rsidRPr="00214B4B">
        <w:t>потребности</w:t>
      </w:r>
      <w:r w:rsidRPr="00214B4B">
        <w:t xml:space="preserve"> </w:t>
      </w:r>
      <w:r w:rsidR="00F45C42" w:rsidRPr="00214B4B">
        <w:t>в</w:t>
      </w:r>
      <w:r w:rsidRPr="00214B4B">
        <w:t xml:space="preserve"> покрыти</w:t>
      </w:r>
      <w:r w:rsidR="00F45C42" w:rsidRPr="00214B4B">
        <w:t>и</w:t>
      </w:r>
      <w:r w:rsidRPr="00214B4B">
        <w:t xml:space="preserve"> и пропускной способности;</w:t>
      </w:r>
    </w:p>
    <w:p w14:paraId="6E60B5D8" w14:textId="70E4E43B" w:rsidR="00960D10" w:rsidRPr="00214B4B" w:rsidRDefault="00960D10" w:rsidP="00960D10">
      <w:pPr>
        <w:pStyle w:val="enumlev1"/>
      </w:pPr>
      <w:r w:rsidRPr="00214B4B">
        <w:t>–</w:t>
      </w:r>
      <w:r w:rsidRPr="00214B4B">
        <w:tab/>
        <w:t>потребност</w:t>
      </w:r>
      <w:r w:rsidR="003C48DE" w:rsidRPr="00214B4B">
        <w:t>ей</w:t>
      </w:r>
      <w:r w:rsidRPr="00214B4B">
        <w:t xml:space="preserve"> развивающихся стран;</w:t>
      </w:r>
    </w:p>
    <w:p w14:paraId="0F2D2153" w14:textId="589578D6" w:rsidR="00E81EC8" w:rsidRPr="00214B4B" w:rsidRDefault="00960D10" w:rsidP="00960D10">
      <w:pPr>
        <w:pStyle w:val="enumlev1"/>
      </w:pPr>
      <w:r w:rsidRPr="00214B4B">
        <w:t>–</w:t>
      </w:r>
      <w:r w:rsidRPr="00214B4B">
        <w:tab/>
        <w:t>срок</w:t>
      </w:r>
      <w:r w:rsidR="003C48DE" w:rsidRPr="00214B4B">
        <w:t>ов</w:t>
      </w:r>
      <w:r w:rsidRPr="00214B4B">
        <w:t>, в которые потребуется спектр</w:t>
      </w:r>
      <w:r w:rsidR="00E81EC8" w:rsidRPr="00214B4B">
        <w:t>;</w:t>
      </w:r>
    </w:p>
    <w:p w14:paraId="405D9A9C" w14:textId="1B58A42C" w:rsidR="001E481F" w:rsidRPr="00214B4B" w:rsidRDefault="00E81EC8" w:rsidP="00E81EC8">
      <w:pPr>
        <w:rPr>
          <w:color w:val="000000" w:themeColor="text1"/>
        </w:rPr>
      </w:pPr>
      <w:r w:rsidRPr="00214B4B">
        <w:rPr>
          <w:color w:val="000000" w:themeColor="text1"/>
        </w:rPr>
        <w:t>2</w:t>
      </w:r>
      <w:r w:rsidRPr="00214B4B">
        <w:rPr>
          <w:color w:val="000000" w:themeColor="text1"/>
        </w:rPr>
        <w:tab/>
      </w:r>
      <w:r w:rsidR="001E481F" w:rsidRPr="00214B4B">
        <w:rPr>
          <w:color w:val="000000" w:themeColor="text1"/>
        </w:rPr>
        <w:t xml:space="preserve">провести и завершить в срок </w:t>
      </w:r>
      <w:r w:rsidR="00F45C42" w:rsidRPr="00214B4B">
        <w:rPr>
          <w:color w:val="000000" w:themeColor="text1"/>
        </w:rPr>
        <w:t>до</w:t>
      </w:r>
      <w:r w:rsidR="001E481F" w:rsidRPr="00214B4B">
        <w:rPr>
          <w:color w:val="000000" w:themeColor="text1"/>
        </w:rPr>
        <w:t xml:space="preserve"> ВКР-27 соответствующие исследования совместного использования частот и совместимости с целью обеспечения защиты существующих служб, </w:t>
      </w:r>
      <w:r w:rsidR="00F45C42" w:rsidRPr="00214B4B">
        <w:rPr>
          <w:color w:val="000000" w:themeColor="text1"/>
        </w:rPr>
        <w:t xml:space="preserve">имеющих </w:t>
      </w:r>
      <w:r w:rsidR="001E481F" w:rsidRPr="00214B4B">
        <w:rPr>
          <w:color w:val="000000" w:themeColor="text1"/>
        </w:rPr>
        <w:t>распределен</w:t>
      </w:r>
      <w:r w:rsidR="00F45C42" w:rsidRPr="00214B4B">
        <w:rPr>
          <w:color w:val="000000" w:themeColor="text1"/>
        </w:rPr>
        <w:t>ия</w:t>
      </w:r>
      <w:r w:rsidR="001E481F" w:rsidRPr="00214B4B">
        <w:rPr>
          <w:color w:val="000000" w:themeColor="text1"/>
        </w:rPr>
        <w:t xml:space="preserve"> на первичной основе в полосах частот 2010−2025 МГц (Районы 1 и 3), 2160−2170 МГц и 2200−2215 МГц (Районы 1 и 3), а также, при необходимости, в соседних полосах частот,</w:t>
      </w:r>
    </w:p>
    <w:p w14:paraId="08086064" w14:textId="77777777" w:rsidR="00E81EC8" w:rsidRPr="00214B4B" w:rsidRDefault="00375F99" w:rsidP="00E81EC8">
      <w:pPr>
        <w:pStyle w:val="Call"/>
      </w:pPr>
      <w:r w:rsidRPr="00214B4B">
        <w:t>решает</w:t>
      </w:r>
    </w:p>
    <w:p w14:paraId="646B545C" w14:textId="0661CC9B" w:rsidR="001E481F" w:rsidRPr="00214B4B" w:rsidRDefault="001E481F" w:rsidP="00E81EC8">
      <w:r w:rsidRPr="00214B4B">
        <w:t xml:space="preserve">предложить ВКР-27 рассмотреть по результатам вышеуказанных исследований дополнительные выделения спектра подвижной спутниковой службе на первичной основе и рассмотреть определение полос частот для спутникового </w:t>
      </w:r>
      <w:r w:rsidR="001B5473" w:rsidRPr="00214B4B">
        <w:t>сегмент</w:t>
      </w:r>
      <w:r w:rsidRPr="00214B4B">
        <w:t>а IMT-2020,</w:t>
      </w:r>
    </w:p>
    <w:p w14:paraId="2C883071" w14:textId="77777777" w:rsidR="00960D10" w:rsidRPr="00214B4B" w:rsidRDefault="00960D10" w:rsidP="00960D10">
      <w:pPr>
        <w:pStyle w:val="Call"/>
      </w:pPr>
      <w:r w:rsidRPr="00214B4B">
        <w:t>предлагает администрациям</w:t>
      </w:r>
    </w:p>
    <w:p w14:paraId="7FB72E8C" w14:textId="77777777" w:rsidR="00E81EC8" w:rsidRPr="00214B4B" w:rsidRDefault="00960D10" w:rsidP="00960D10">
      <w:r w:rsidRPr="00214B4B">
        <w:t>принять активное участие в этих исследованиях, представляя свои вклады в Сектор радиосвязи МСЭ</w:t>
      </w:r>
      <w:r w:rsidR="00E81EC8" w:rsidRPr="00214B4B">
        <w:t>.</w:t>
      </w:r>
    </w:p>
    <w:p w14:paraId="3181A659" w14:textId="77777777" w:rsidR="00474559" w:rsidRPr="00214B4B" w:rsidRDefault="00474559">
      <w:pPr>
        <w:pStyle w:val="Reasons"/>
      </w:pPr>
    </w:p>
    <w:p w14:paraId="55D776FA" w14:textId="77777777" w:rsidR="00960D10" w:rsidRPr="00214B4B" w:rsidRDefault="00960D10" w:rsidP="00960D1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14B4B">
        <w:br w:type="page"/>
      </w:r>
    </w:p>
    <w:p w14:paraId="45FC3C12" w14:textId="77777777" w:rsidR="00872088" w:rsidRPr="00214B4B" w:rsidRDefault="00872088" w:rsidP="00872088">
      <w:pPr>
        <w:pStyle w:val="AnnexNo"/>
      </w:pPr>
      <w:bookmarkStart w:id="12" w:name="_Toc35863784"/>
      <w:r w:rsidRPr="00214B4B">
        <w:lastRenderedPageBreak/>
        <w:t>ДОПОЛНЕНИЕ</w:t>
      </w:r>
      <w:bookmarkEnd w:id="12"/>
    </w:p>
    <w:p w14:paraId="789963EA" w14:textId="791EDC7D" w:rsidR="00872088" w:rsidRPr="00214B4B" w:rsidRDefault="00872088" w:rsidP="00872088">
      <w:pPr>
        <w:pStyle w:val="Annextitle"/>
      </w:pPr>
      <w:bookmarkStart w:id="13" w:name="_Toc35863787"/>
      <w:r w:rsidRPr="00214B4B">
        <w:t>Шаблон для представления предложений по пунктам повестки дня</w:t>
      </w:r>
      <w:bookmarkEnd w:id="13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1"/>
        <w:gridCol w:w="4818"/>
      </w:tblGrid>
      <w:tr w:rsidR="0071515F" w:rsidRPr="00214B4B" w14:paraId="292FAA01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899C3" w14:textId="2914BA13" w:rsidR="0071515F" w:rsidRPr="00214B4B" w:rsidRDefault="00B80804" w:rsidP="00214B4B">
            <w:pPr>
              <w:spacing w:before="60" w:after="60"/>
              <w:rPr>
                <w:szCs w:val="22"/>
                <w:highlight w:val="lightGray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Предмет</w:t>
            </w:r>
            <w:r w:rsidR="0071515F" w:rsidRPr="00214B4B">
              <w:rPr>
                <w:szCs w:val="22"/>
              </w:rPr>
              <w:t xml:space="preserve">: </w:t>
            </w:r>
            <w:r w:rsidR="00EA0C88" w:rsidRPr="00214B4B">
              <w:rPr>
                <w:szCs w:val="22"/>
              </w:rPr>
              <w:t xml:space="preserve">Согласованные на глобальном уровне распределения службе подвижной спутниковой связи для спутникового сегмента Международной </w:t>
            </w:r>
            <w:r w:rsidR="00A60361" w:rsidRPr="00214B4B">
              <w:rPr>
                <w:szCs w:val="22"/>
              </w:rPr>
              <w:t>подвижной</w:t>
            </w:r>
            <w:r w:rsidR="00EA0C88" w:rsidRPr="00214B4B">
              <w:rPr>
                <w:szCs w:val="22"/>
              </w:rPr>
              <w:t xml:space="preserve"> электросвязи (IMT) в диапазоне </w:t>
            </w:r>
            <w:r w:rsidR="00A60361" w:rsidRPr="00214B4B">
              <w:rPr>
                <w:szCs w:val="22"/>
              </w:rPr>
              <w:t>S (</w:t>
            </w:r>
            <w:r w:rsidR="00EA0C88" w:rsidRPr="00214B4B">
              <w:rPr>
                <w:szCs w:val="22"/>
              </w:rPr>
              <w:t>2</w:t>
            </w:r>
            <w:r w:rsidR="00A60361" w:rsidRPr="00214B4B">
              <w:rPr>
                <w:szCs w:val="22"/>
              </w:rPr>
              <w:t> </w:t>
            </w:r>
            <w:r w:rsidR="00EA0C88" w:rsidRPr="00214B4B">
              <w:rPr>
                <w:szCs w:val="22"/>
              </w:rPr>
              <w:t>ГГц</w:t>
            </w:r>
            <w:r w:rsidR="00A60361" w:rsidRPr="00214B4B">
              <w:rPr>
                <w:szCs w:val="22"/>
              </w:rPr>
              <w:t>)</w:t>
            </w:r>
            <w:r w:rsidR="00EA0C88" w:rsidRPr="00214B4B">
              <w:rPr>
                <w:szCs w:val="22"/>
              </w:rPr>
              <w:t>.</w:t>
            </w:r>
          </w:p>
        </w:tc>
      </w:tr>
      <w:tr w:rsidR="0071515F" w:rsidRPr="00214B4B" w14:paraId="36637D1A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9ABE0" w14:textId="563CA1CE" w:rsidR="0071515F" w:rsidRPr="00214B4B" w:rsidRDefault="00B80804" w:rsidP="00214B4B">
            <w:pPr>
              <w:spacing w:before="60" w:after="60"/>
              <w:rPr>
                <w:szCs w:val="22"/>
                <w:highlight w:val="lightGray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Источник</w:t>
            </w:r>
            <w:r w:rsidR="0071515F" w:rsidRPr="00214B4B">
              <w:rPr>
                <w:szCs w:val="22"/>
              </w:rPr>
              <w:t xml:space="preserve">: </w:t>
            </w:r>
            <w:r w:rsidR="009F3D0B" w:rsidRPr="00214B4B">
              <w:rPr>
                <w:szCs w:val="22"/>
              </w:rPr>
              <w:t>п</w:t>
            </w:r>
            <w:r w:rsidRPr="00214B4B">
              <w:rPr>
                <w:szCs w:val="22"/>
              </w:rPr>
              <w:t>одлежит определению</w:t>
            </w:r>
          </w:p>
        </w:tc>
      </w:tr>
      <w:tr w:rsidR="00872088" w:rsidRPr="00214B4B" w14:paraId="68354132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AFEFF" w14:textId="7E78CB74" w:rsidR="00872088" w:rsidRPr="00214B4B" w:rsidRDefault="00872088" w:rsidP="00214B4B">
            <w:pPr>
              <w:spacing w:before="60" w:after="60"/>
              <w:rPr>
                <w:bCs/>
                <w:iCs/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Предложение</w:t>
            </w:r>
            <w:r w:rsidRPr="00214B4B">
              <w:rPr>
                <w:bCs/>
                <w:iCs/>
                <w:szCs w:val="22"/>
              </w:rPr>
              <w:t xml:space="preserve">: </w:t>
            </w:r>
            <w:r w:rsidR="00B80804" w:rsidRPr="00214B4B">
              <w:rPr>
                <w:bCs/>
                <w:iCs/>
                <w:szCs w:val="22"/>
              </w:rPr>
              <w:t xml:space="preserve">Рассмотреть вопрос о распределении и </w:t>
            </w:r>
            <w:r w:rsidR="00B76421" w:rsidRPr="00214B4B">
              <w:rPr>
                <w:bCs/>
                <w:iCs/>
                <w:szCs w:val="22"/>
              </w:rPr>
              <w:t>согласовании на глобальном уровне</w:t>
            </w:r>
            <w:r w:rsidR="00B80804" w:rsidRPr="00214B4B">
              <w:rPr>
                <w:bCs/>
                <w:iCs/>
                <w:szCs w:val="22"/>
              </w:rPr>
              <w:t xml:space="preserve"> полос частот 2010–2025 МГц (Земля-космос) и 2160–2170 МГц (космос-Земля) в Районах 1 и 3 (уже</w:t>
            </w:r>
            <w:r w:rsidR="001E6440">
              <w:rPr>
                <w:bCs/>
                <w:iCs/>
                <w:szCs w:val="22"/>
              </w:rPr>
              <w:t> </w:t>
            </w:r>
            <w:r w:rsidR="00B80804" w:rsidRPr="00214B4B">
              <w:rPr>
                <w:bCs/>
                <w:iCs/>
                <w:szCs w:val="22"/>
              </w:rPr>
              <w:t>распределенных подвижной спутниковой службе в Районе 2)</w:t>
            </w:r>
            <w:r w:rsidR="00BB090A" w:rsidRPr="00214B4B">
              <w:rPr>
                <w:bCs/>
                <w:iCs/>
                <w:szCs w:val="22"/>
              </w:rPr>
              <w:t>, а также</w:t>
            </w:r>
            <w:r w:rsidR="00B80804" w:rsidRPr="00214B4B">
              <w:rPr>
                <w:bCs/>
                <w:iCs/>
                <w:szCs w:val="22"/>
              </w:rPr>
              <w:t xml:space="preserve"> 2200–2215 МГц (космос-Земля) в глобальном масштабе для подвижной спутниковой службы (ПСС) для спутникового </w:t>
            </w:r>
            <w:r w:rsidR="001B5473" w:rsidRPr="00214B4B">
              <w:rPr>
                <w:bCs/>
                <w:iCs/>
                <w:szCs w:val="22"/>
              </w:rPr>
              <w:t>сегмент</w:t>
            </w:r>
            <w:r w:rsidR="00B80804" w:rsidRPr="00214B4B">
              <w:rPr>
                <w:bCs/>
                <w:iCs/>
                <w:szCs w:val="22"/>
              </w:rPr>
              <w:t>а IMT.</w:t>
            </w:r>
          </w:p>
        </w:tc>
      </w:tr>
      <w:tr w:rsidR="00872088" w:rsidRPr="00214B4B" w14:paraId="6D29C7E6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2FCB8" w14:textId="77777777" w:rsidR="00872088" w:rsidRPr="00214B4B" w:rsidRDefault="00872088" w:rsidP="00214B4B">
            <w:pPr>
              <w:spacing w:before="60" w:after="60"/>
              <w:rPr>
                <w:bCs/>
                <w:iCs/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Основание</w:t>
            </w:r>
            <w:r w:rsidRPr="00214B4B">
              <w:rPr>
                <w:b/>
                <w:bCs/>
                <w:szCs w:val="22"/>
              </w:rPr>
              <w:t>/</w:t>
            </w:r>
            <w:r w:rsidRPr="00214B4B">
              <w:rPr>
                <w:b/>
                <w:bCs/>
                <w:i/>
                <w:iCs/>
                <w:szCs w:val="22"/>
              </w:rPr>
              <w:t>причина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343B1F75" w14:textId="07D58B7A" w:rsidR="00BF4DC1" w:rsidRPr="00214B4B" w:rsidRDefault="00BF4DC1" w:rsidP="00214B4B">
            <w:pPr>
              <w:spacing w:before="60" w:after="60"/>
              <w:rPr>
                <w:highlight w:val="lightGray"/>
              </w:rPr>
            </w:pPr>
            <w:r w:rsidRPr="00214B4B">
              <w:t xml:space="preserve">Спутниковая связь является эффективным методом предоставления услуг связи в сельских, отдаленных, необслуживаемых и недостаточно обслуживаемых районах, тем самым служа механизмом сокращения цифрового разрыва и поддержки широкого внедрения цифровой экономики. В этом отношении развитие услуг спутниковой связи </w:t>
            </w:r>
            <w:r w:rsidR="00FD74BC" w:rsidRPr="00214B4B">
              <w:t>содействует достижению</w:t>
            </w:r>
            <w:r w:rsidRPr="00214B4B">
              <w:t xml:space="preserve"> </w:t>
            </w:r>
            <w:r w:rsidR="00FD74BC" w:rsidRPr="00214B4B">
              <w:t>ц</w:t>
            </w:r>
            <w:r w:rsidRPr="00214B4B">
              <w:t>ел</w:t>
            </w:r>
            <w:r w:rsidR="00FD74BC" w:rsidRPr="00214B4B">
              <w:t>ей</w:t>
            </w:r>
            <w:r w:rsidRPr="00214B4B">
              <w:t xml:space="preserve"> </w:t>
            </w:r>
            <w:r w:rsidR="00FD74BC" w:rsidRPr="00214B4B">
              <w:t xml:space="preserve">в области </w:t>
            </w:r>
            <w:r w:rsidRPr="00214B4B">
              <w:t>устойчивого развития (ЦУР)</w:t>
            </w:r>
            <w:r w:rsidR="00FD74BC" w:rsidRPr="00214B4B">
              <w:t xml:space="preserve"> ООН</w:t>
            </w:r>
            <w:r w:rsidRPr="00214B4B">
              <w:t>, направленны</w:t>
            </w:r>
            <w:r w:rsidR="00FD74BC" w:rsidRPr="00214B4B">
              <w:t>х</w:t>
            </w:r>
            <w:r w:rsidRPr="00214B4B">
              <w:t xml:space="preserve"> на сокращение неравенства внутри стран и между ними, создание устойчивой инфраструктуры, содействие </w:t>
            </w:r>
            <w:r w:rsidR="00FD74BC" w:rsidRPr="00214B4B">
              <w:t>открытой для всех</w:t>
            </w:r>
            <w:r w:rsidRPr="00214B4B">
              <w:t xml:space="preserve"> и устойчивой индустриализации и стимулировани</w:t>
            </w:r>
            <w:r w:rsidR="00FD74BC" w:rsidRPr="00214B4B">
              <w:t>е</w:t>
            </w:r>
            <w:r w:rsidRPr="00214B4B">
              <w:t xml:space="preserve"> инноваций. Спутниковые </w:t>
            </w:r>
            <w:r w:rsidR="00FD74BC" w:rsidRPr="00214B4B">
              <w:t>службы</w:t>
            </w:r>
            <w:r w:rsidRPr="00214B4B">
              <w:t xml:space="preserve"> косвенно </w:t>
            </w:r>
            <w:r w:rsidR="00FD74BC" w:rsidRPr="00214B4B">
              <w:t xml:space="preserve">также </w:t>
            </w:r>
            <w:r w:rsidRPr="00214B4B">
              <w:t xml:space="preserve">способствуют достижению других ЦУР, </w:t>
            </w:r>
            <w:r w:rsidR="00116D3D" w:rsidRPr="00214B4B">
              <w:t>которыми занимается МСЭ, таких как недорогостоящая и чистая энергия, ответственное производство и потребление, борьба с изменением климата и устойчивые города и сообщества</w:t>
            </w:r>
            <w:r w:rsidRPr="00214B4B">
              <w:t>.</w:t>
            </w:r>
          </w:p>
          <w:p w14:paraId="65288372" w14:textId="04E57EDD" w:rsidR="00BF4DC1" w:rsidRPr="00214B4B" w:rsidRDefault="00180D0F" w:rsidP="00214B4B">
            <w:pPr>
              <w:spacing w:before="60" w:after="60"/>
            </w:pPr>
            <w:r w:rsidRPr="00214B4B">
              <w:t>На</w:t>
            </w:r>
            <w:r w:rsidR="00BF4DC1" w:rsidRPr="00214B4B">
              <w:t xml:space="preserve"> 2021 год </w:t>
            </w:r>
            <w:r w:rsidR="008A21DE" w:rsidRPr="00214B4B">
              <w:t xml:space="preserve">на услуги мобильной связи </w:t>
            </w:r>
            <w:r w:rsidRPr="00214B4B">
              <w:t>имело контракты</w:t>
            </w:r>
            <w:r w:rsidR="008A21DE" w:rsidRPr="00214B4B">
              <w:t xml:space="preserve"> </w:t>
            </w:r>
            <w:r w:rsidR="00BF4DC1" w:rsidRPr="00214B4B">
              <w:t>5,3 миллиарда человек, что составляет 67% населения мира</w:t>
            </w:r>
            <w:r w:rsidR="00181601" w:rsidRPr="00214B4B">
              <w:rPr>
                <w:rStyle w:val="FootnoteReference"/>
              </w:rPr>
              <w:footnoteReference w:id="1"/>
            </w:r>
            <w:r w:rsidR="00BF4DC1" w:rsidRPr="00214B4B">
              <w:t xml:space="preserve">. Многие из оставшихся 33% проживают в труднодоступных сельских, отдаленных, необслуживаемых и недостаточно обслуживаемых районах. Именно в этих недостаточно обслуживаемых </w:t>
            </w:r>
            <w:r w:rsidR="00464E77" w:rsidRPr="00214B4B">
              <w:t>районах</w:t>
            </w:r>
            <w:r w:rsidR="00BF4DC1" w:rsidRPr="00214B4B">
              <w:t xml:space="preserve"> спутниковые </w:t>
            </w:r>
            <w:r w:rsidR="0099391A" w:rsidRPr="00214B4B">
              <w:t>услуги прямой связи с устройством (D2D</w:t>
            </w:r>
            <w:r w:rsidR="00BF4DC1" w:rsidRPr="00214B4B">
              <w:t>) наиболее важны.</w:t>
            </w:r>
          </w:p>
          <w:p w14:paraId="4960FD57" w14:textId="241FA2E8" w:rsidR="00BF4DC1" w:rsidRPr="00214B4B" w:rsidRDefault="00947F39" w:rsidP="00214B4B">
            <w:pPr>
              <w:spacing w:before="60" w:after="60"/>
              <w:rPr>
                <w:highlight w:val="lightGray"/>
              </w:rPr>
            </w:pPr>
            <w:r w:rsidRPr="00214B4B">
              <w:t>Согласно определению</w:t>
            </w:r>
            <w:r w:rsidR="00BF4DC1" w:rsidRPr="00214B4B">
              <w:t xml:space="preserve"> в Резолюции МСЭ-R 56-2, системы Международной подвижной электросвязи-2020 (IMT-2020) </w:t>
            </w:r>
            <w:r w:rsidRPr="00214B4B">
              <w:t>–</w:t>
            </w:r>
            <w:r w:rsidR="00BF4DC1" w:rsidRPr="00214B4B">
              <w:t xml:space="preserve"> это системы</w:t>
            </w:r>
            <w:r w:rsidRPr="00214B4B">
              <w:t xml:space="preserve"> подвижной связи</w:t>
            </w:r>
            <w:r w:rsidR="00BF4DC1" w:rsidRPr="00214B4B">
              <w:t xml:space="preserve">, </w:t>
            </w:r>
            <w:r w:rsidR="009C61E0" w:rsidRPr="00214B4B">
              <w:t>которые включают новый(е) радиоинтерфейс(ы), поддерживающий(ие) новые возможности</w:t>
            </w:r>
            <w:r w:rsidR="00BF4DC1" w:rsidRPr="00214B4B">
              <w:t xml:space="preserve"> систем</w:t>
            </w:r>
            <w:r w:rsidR="00C715B2" w:rsidRPr="00214B4B">
              <w:t>, превосходящих</w:t>
            </w:r>
            <w:r w:rsidR="00BF4DC1" w:rsidRPr="00214B4B">
              <w:t xml:space="preserve"> IMT-2000 и IMT-Advanced.</w:t>
            </w:r>
          </w:p>
          <w:p w14:paraId="562D3CBD" w14:textId="2397C075" w:rsidR="00BF4DC1" w:rsidRPr="00214B4B" w:rsidRDefault="009F3D0B" w:rsidP="00214B4B">
            <w:pPr>
              <w:spacing w:before="60" w:after="60"/>
              <w:rPr>
                <w:highlight w:val="lightGray"/>
              </w:rPr>
            </w:pPr>
            <w:r w:rsidRPr="00214B4B">
              <w:t>Спутниковый доступ, как одна</w:t>
            </w:r>
            <w:r w:rsidR="00BF4DC1" w:rsidRPr="00214B4B">
              <w:t xml:space="preserve"> из технологий радиодоступа IMT-2020, будет поддерживать мобильность </w:t>
            </w:r>
            <w:r w:rsidR="00A26EB6" w:rsidRPr="00214B4B">
              <w:t>путем</w:t>
            </w:r>
            <w:r w:rsidR="00BF4DC1" w:rsidRPr="00214B4B">
              <w:t xml:space="preserve"> интеграции на уровне терминала, сети и </w:t>
            </w:r>
            <w:r w:rsidR="00114452" w:rsidRPr="00214B4B">
              <w:t>услуги</w:t>
            </w:r>
            <w:r w:rsidR="00BF4DC1" w:rsidRPr="00214B4B">
              <w:t xml:space="preserve">. Предполагается, что </w:t>
            </w:r>
            <w:r w:rsidR="00A26EB6" w:rsidRPr="00214B4B">
              <w:t>компоненты</w:t>
            </w:r>
            <w:r w:rsidR="00BF4DC1" w:rsidRPr="00214B4B">
              <w:t xml:space="preserve"> спутниковой сети обеспечат повсеместное покрытие по всему миру для оборудования конечных пользователей в соответствии со сценариями использования, определенными для спутникового </w:t>
            </w:r>
            <w:r w:rsidR="001B5473" w:rsidRPr="00214B4B">
              <w:t>сегмент</w:t>
            </w:r>
            <w:r w:rsidR="00BF4DC1" w:rsidRPr="00214B4B">
              <w:t>а IMT-2020.</w:t>
            </w:r>
          </w:p>
          <w:p w14:paraId="0AA18739" w14:textId="6840098B" w:rsidR="00BF4DC1" w:rsidRPr="00214B4B" w:rsidRDefault="00BF4DC1" w:rsidP="00214B4B">
            <w:pPr>
              <w:spacing w:before="60" w:after="60"/>
            </w:pPr>
            <w:r w:rsidRPr="00214B4B">
              <w:t>Ожидается, что использование и назначение спутниковых радиоинтерфейсов будут дополнять наземн</w:t>
            </w:r>
            <w:r w:rsidR="007B532A" w:rsidRPr="00214B4B">
              <w:t>ую эксплуатацию</w:t>
            </w:r>
            <w:r w:rsidRPr="00214B4B">
              <w:t xml:space="preserve"> IMT-2020, учитывая уникальную способность спутников </w:t>
            </w:r>
            <w:r w:rsidR="00114452" w:rsidRPr="00214B4B">
              <w:t>преодолевать</w:t>
            </w:r>
            <w:r w:rsidRPr="00214B4B">
              <w:t xml:space="preserve"> проблемы покрытия и сложн</w:t>
            </w:r>
            <w:r w:rsidR="00446258" w:rsidRPr="00214B4B">
              <w:t>ости</w:t>
            </w:r>
            <w:r w:rsidRPr="00214B4B">
              <w:t xml:space="preserve"> </w:t>
            </w:r>
            <w:r w:rsidR="002503A5" w:rsidRPr="00214B4B">
              <w:t>р</w:t>
            </w:r>
            <w:r w:rsidR="00446258" w:rsidRPr="00214B4B">
              <w:t xml:space="preserve">азных </w:t>
            </w:r>
            <w:r w:rsidRPr="00214B4B">
              <w:t>вариант</w:t>
            </w:r>
            <w:r w:rsidR="00446258" w:rsidRPr="00214B4B">
              <w:t>ов</w:t>
            </w:r>
            <w:r w:rsidRPr="00214B4B">
              <w:t xml:space="preserve"> использования. Огромны</w:t>
            </w:r>
            <w:r w:rsidR="006F53EE" w:rsidRPr="00214B4B">
              <w:t>й размер</w:t>
            </w:r>
            <w:r w:rsidRPr="00214B4B">
              <w:t xml:space="preserve"> </w:t>
            </w:r>
            <w:r w:rsidR="007B532A" w:rsidRPr="00214B4B">
              <w:t xml:space="preserve">зон обслуживания </w:t>
            </w:r>
            <w:r w:rsidRPr="00214B4B">
              <w:t>спутниковых систем дела</w:t>
            </w:r>
            <w:r w:rsidR="006F53EE" w:rsidRPr="00214B4B">
              <w:t>е</w:t>
            </w:r>
            <w:r w:rsidRPr="00214B4B">
              <w:t>т глобальн</w:t>
            </w:r>
            <w:r w:rsidR="007B532A" w:rsidRPr="00214B4B">
              <w:t xml:space="preserve">ое согласование </w:t>
            </w:r>
            <w:r w:rsidRPr="00214B4B">
              <w:t>спектра даже более важн</w:t>
            </w:r>
            <w:r w:rsidR="007B532A" w:rsidRPr="00214B4B">
              <w:t>ым</w:t>
            </w:r>
            <w:r w:rsidRPr="00214B4B">
              <w:t xml:space="preserve">, чем </w:t>
            </w:r>
            <w:r w:rsidR="00DF4029" w:rsidRPr="00214B4B">
              <w:t>в случае</w:t>
            </w:r>
            <w:r w:rsidRPr="00214B4B">
              <w:t xml:space="preserve"> наземных систем. </w:t>
            </w:r>
            <w:r w:rsidR="007B532A" w:rsidRPr="00214B4B">
              <w:t>Согласование</w:t>
            </w:r>
            <w:r w:rsidRPr="00214B4B">
              <w:t xml:space="preserve"> спектра </w:t>
            </w:r>
            <w:r w:rsidR="007B532A" w:rsidRPr="00214B4B">
              <w:t xml:space="preserve">на глобальном уровне </w:t>
            </w:r>
            <w:r w:rsidRPr="00214B4B">
              <w:t>также способствует максимизации эффекта масштаба, минимизации возможности помех и, таким образом, повышению эффективности производства и развертывания, а также минимизации затрат на сеть и устройства.</w:t>
            </w:r>
          </w:p>
          <w:p w14:paraId="6EBF90B3" w14:textId="6F2D88A2" w:rsidR="00BF4DC1" w:rsidRPr="00214B4B" w:rsidRDefault="009E6964" w:rsidP="00214B4B">
            <w:pPr>
              <w:spacing w:before="60" w:after="60"/>
              <w:rPr>
                <w:highlight w:val="lightGray"/>
              </w:rPr>
            </w:pPr>
            <w:r w:rsidRPr="00214B4B">
              <w:t>Помимо</w:t>
            </w:r>
            <w:r w:rsidR="00BF4DC1" w:rsidRPr="00214B4B">
              <w:t xml:space="preserve"> </w:t>
            </w:r>
            <w:r w:rsidRPr="00214B4B">
              <w:t>э</w:t>
            </w:r>
            <w:r w:rsidR="00BF4DC1" w:rsidRPr="00214B4B">
              <w:t xml:space="preserve">того, в течение многих лет </w:t>
            </w:r>
            <w:r w:rsidR="00EA55B2" w:rsidRPr="00214B4B">
              <w:t xml:space="preserve">МСЭ-R </w:t>
            </w:r>
            <w:r w:rsidR="00BF4DC1" w:rsidRPr="00214B4B">
              <w:t xml:space="preserve">признавал использование систем подвижной спутниковой связи и дополнительного наземного </w:t>
            </w:r>
            <w:r w:rsidR="001B5473" w:rsidRPr="00214B4B">
              <w:t>сегмент</w:t>
            </w:r>
            <w:r w:rsidR="00BF4DC1" w:rsidRPr="00214B4B">
              <w:t>а (</w:t>
            </w:r>
            <w:r w:rsidR="00EA55B2" w:rsidRPr="00214B4B">
              <w:t>ДНС</w:t>
            </w:r>
            <w:r w:rsidR="00BF4DC1" w:rsidRPr="00214B4B">
              <w:t xml:space="preserve">) для операций по оказанию помощи в случае стихийных бедствий и подобных чрезвычайных ситуаций, и это ясно </w:t>
            </w:r>
            <w:r w:rsidR="00BF4DC1" w:rsidRPr="00214B4B">
              <w:lastRenderedPageBreak/>
              <w:t xml:space="preserve">проиллюстрировано в </w:t>
            </w:r>
            <w:r w:rsidR="008B3ACA" w:rsidRPr="00214B4B">
              <w:t xml:space="preserve">Рекомендации </w:t>
            </w:r>
            <w:r w:rsidR="00BF4DC1" w:rsidRPr="00214B4B">
              <w:t xml:space="preserve">МСЭ-R М.1854-1 </w:t>
            </w:r>
            <w:r w:rsidR="00316985" w:rsidRPr="00214B4B">
              <w:t>"Использование подвижной спутниковой службы в целях реагирования и оказания помощи при бедствиях"</w:t>
            </w:r>
            <w:r w:rsidR="00BF4DC1" w:rsidRPr="00214B4B">
              <w:t xml:space="preserve"> и Отчет</w:t>
            </w:r>
            <w:r w:rsidR="00D526AF" w:rsidRPr="00214B4B">
              <w:t>е</w:t>
            </w:r>
            <w:r w:rsidR="00BF4DC1" w:rsidRPr="00214B4B">
              <w:t xml:space="preserve"> </w:t>
            </w:r>
            <w:r w:rsidR="00D526AF" w:rsidRPr="00214B4B">
              <w:t xml:space="preserve">МСЭ-R </w:t>
            </w:r>
            <w:r w:rsidR="00BF4DC1" w:rsidRPr="00214B4B">
              <w:t xml:space="preserve">М.2149 </w:t>
            </w:r>
            <w:r w:rsidR="00D031D3" w:rsidRPr="00214B4B">
              <w:t>"Использование систем подвижной спутниковой службы для операций по оказанию помощи в случае стихийных бедствий и подобных чрезвычайных ситуаций"</w:t>
            </w:r>
            <w:r w:rsidR="00BF4DC1" w:rsidRPr="00214B4B">
              <w:t>.</w:t>
            </w:r>
          </w:p>
          <w:p w14:paraId="47CD45AF" w14:textId="1012B054" w:rsidR="000E1FEE" w:rsidRPr="00214B4B" w:rsidRDefault="000E1FEE" w:rsidP="00214B4B">
            <w:pPr>
              <w:spacing w:before="60" w:after="60"/>
              <w:rPr>
                <w:highlight w:val="lightGray"/>
              </w:rPr>
            </w:pPr>
            <w:r w:rsidRPr="00214B4B">
              <w:t xml:space="preserve">За последнее десятилетие растущий интерес к ПСС был очевиден </w:t>
            </w:r>
            <w:r w:rsidR="009C4AA6" w:rsidRPr="00214B4B">
              <w:t>из-за</w:t>
            </w:r>
            <w:r w:rsidRPr="00214B4B">
              <w:t xml:space="preserve"> растуще</w:t>
            </w:r>
            <w:r w:rsidR="009C4AA6" w:rsidRPr="00214B4B">
              <w:t>го</w:t>
            </w:r>
            <w:r w:rsidRPr="00214B4B">
              <w:t xml:space="preserve"> числ</w:t>
            </w:r>
            <w:r w:rsidR="009C4AA6" w:rsidRPr="00214B4B">
              <w:t xml:space="preserve">а </w:t>
            </w:r>
            <w:r w:rsidRPr="00214B4B">
              <w:t xml:space="preserve">заявок в Бюро радиосвязи на </w:t>
            </w:r>
            <w:r w:rsidR="00B70517" w:rsidRPr="00214B4B">
              <w:t xml:space="preserve">геостационарные и негеостационарные (НГСО) </w:t>
            </w:r>
            <w:r w:rsidRPr="00214B4B">
              <w:t>системы ПСС от различных администраций МСЭ. Потребность в дополнительном спектре ПСС не вызывает удивления, поскольку общий существующий спектр, выделенный для ПСС, невелик по сравнению с</w:t>
            </w:r>
            <w:r w:rsidR="005E1C58" w:rsidRPr="00214B4B">
              <w:t>о</w:t>
            </w:r>
            <w:r w:rsidRPr="00214B4B">
              <w:t xml:space="preserve"> спектром других служб радиосвязи. Фактически в последний раз всемирная конференция МСЭ определяла спектр для спутникового сегмента IMT на ВАРК-92, и с тех пор в отрасли </w:t>
            </w:r>
            <w:r w:rsidR="00E8784E" w:rsidRPr="00214B4B">
              <w:t>ПСС</w:t>
            </w:r>
            <w:r w:rsidRPr="00214B4B">
              <w:t xml:space="preserve"> произошли значительные изменения в </w:t>
            </w:r>
            <w:r w:rsidR="005E1C58" w:rsidRPr="00214B4B">
              <w:t xml:space="preserve">плане </w:t>
            </w:r>
            <w:r w:rsidRPr="00214B4B">
              <w:t>технологи</w:t>
            </w:r>
            <w:r w:rsidR="005E1C58" w:rsidRPr="00214B4B">
              <w:t>й</w:t>
            </w:r>
            <w:r w:rsidRPr="00214B4B">
              <w:t xml:space="preserve">. Например, быстрые технологические усовершенствования, включая первоначальное развертывание систем D2D и разработку международных спецификаций (например, завершение 3GPP </w:t>
            </w:r>
            <w:r w:rsidR="00881A92" w:rsidRPr="00214B4B">
              <w:t>своей версии 17</w:t>
            </w:r>
            <w:r w:rsidRPr="00214B4B">
              <w:t xml:space="preserve">, которая </w:t>
            </w:r>
            <w:r w:rsidR="00881A92" w:rsidRPr="00214B4B">
              <w:t>содержит</w:t>
            </w:r>
            <w:r w:rsidRPr="00214B4B">
              <w:t xml:space="preserve"> полные спецификации для </w:t>
            </w:r>
            <w:r w:rsidR="00881A92" w:rsidRPr="00214B4B">
              <w:t xml:space="preserve">неназемных </w:t>
            </w:r>
            <w:r w:rsidRPr="00214B4B">
              <w:t>сетей (NTN)</w:t>
            </w:r>
            <w:r w:rsidR="00881A92" w:rsidRPr="00214B4B">
              <w:t xml:space="preserve"> на базе 5G</w:t>
            </w:r>
            <w:r w:rsidRPr="00214B4B">
              <w:t>)</w:t>
            </w:r>
            <w:r w:rsidR="00C15B24" w:rsidRPr="00214B4B">
              <w:t>,</w:t>
            </w:r>
            <w:r w:rsidRPr="00214B4B">
              <w:t xml:space="preserve"> создают новый спрос на </w:t>
            </w:r>
            <w:r w:rsidR="00C15B24" w:rsidRPr="00214B4B">
              <w:t>ПСС</w:t>
            </w:r>
            <w:r w:rsidRPr="00214B4B">
              <w:t xml:space="preserve">, особенно в отношении спутникового сегмента IMT. В </w:t>
            </w:r>
            <w:r w:rsidR="00AC50EE" w:rsidRPr="00214B4B">
              <w:t>версии</w:t>
            </w:r>
            <w:r w:rsidRPr="00214B4B">
              <w:t xml:space="preserve"> 18 </w:t>
            </w:r>
            <w:r w:rsidR="00AC50EE" w:rsidRPr="00214B4B">
              <w:t xml:space="preserve">3GPP </w:t>
            </w:r>
            <w:r w:rsidRPr="00214B4B">
              <w:t>ожидаются улучшения спецификаций NTN</w:t>
            </w:r>
            <w:r w:rsidR="002F0381" w:rsidRPr="00214B4B">
              <w:t xml:space="preserve"> на базе 5G</w:t>
            </w:r>
            <w:r w:rsidRPr="00214B4B">
              <w:t xml:space="preserve">, </w:t>
            </w:r>
            <w:r w:rsidR="00AB3D80" w:rsidRPr="00214B4B">
              <w:t>например</w:t>
            </w:r>
            <w:r w:rsidRPr="00214B4B">
              <w:t xml:space="preserve"> улучшение определения местоположения.</w:t>
            </w:r>
          </w:p>
          <w:p w14:paraId="7F7866E7" w14:textId="09EC64D8" w:rsidR="000E1FEE" w:rsidRPr="00214B4B" w:rsidRDefault="000E1FEE" w:rsidP="00214B4B">
            <w:pPr>
              <w:spacing w:before="60" w:after="60"/>
              <w:rPr>
                <w:highlight w:val="lightGray"/>
              </w:rPr>
            </w:pPr>
            <w:r w:rsidRPr="00214B4B">
              <w:t xml:space="preserve">В сентябре 2022 года в области спутниковых технологий и спецификаций при </w:t>
            </w:r>
            <w:r w:rsidR="00771B53" w:rsidRPr="00214B4B">
              <w:t>одобрении</w:t>
            </w:r>
            <w:r w:rsidRPr="00214B4B">
              <w:t xml:space="preserve"> Отчета МСЭ-R M.2514-0 </w:t>
            </w:r>
            <w:r w:rsidR="00771B53" w:rsidRPr="00214B4B">
              <w:t>"Видение, требования и руководство по оценке спутникового(ых) радиоинтерфейса(ов) IMT-2020" МСЭ-R учел эти разработки</w:t>
            </w:r>
            <w:r w:rsidRPr="00214B4B">
              <w:t xml:space="preserve">. В настоящее время </w:t>
            </w:r>
            <w:r w:rsidR="00E5544D" w:rsidRPr="00214B4B">
              <w:t>МСЭ-R проводит</w:t>
            </w:r>
            <w:r w:rsidRPr="00214B4B">
              <w:t xml:space="preserve"> </w:t>
            </w:r>
            <w:r w:rsidR="00AC1302" w:rsidRPr="00214B4B">
              <w:t xml:space="preserve">работу по </w:t>
            </w:r>
            <w:r w:rsidRPr="00214B4B">
              <w:t>оценк</w:t>
            </w:r>
            <w:r w:rsidR="00AC1302" w:rsidRPr="00214B4B">
              <w:t>е</w:t>
            </w:r>
            <w:r w:rsidRPr="00214B4B">
              <w:t xml:space="preserve"> технологий радиодоступа</w:t>
            </w:r>
            <w:r w:rsidR="0008588F" w:rsidRPr="00214B4B">
              <w:t xml:space="preserve"> для спутникового сегмента IMT</w:t>
            </w:r>
            <w:r w:rsidR="009F66E2" w:rsidRPr="00214B4B">
              <w:t>-2020</w:t>
            </w:r>
            <w:r w:rsidR="0008588F" w:rsidRPr="00214B4B">
              <w:t>, котор</w:t>
            </w:r>
            <w:r w:rsidR="00AC1302" w:rsidRPr="00214B4B">
              <w:t>ая</w:t>
            </w:r>
            <w:r w:rsidR="0008588F" w:rsidRPr="00214B4B">
              <w:t>, как ожидается, долж</w:t>
            </w:r>
            <w:r w:rsidR="004B6141" w:rsidRPr="00214B4B">
              <w:t>на</w:t>
            </w:r>
            <w:r w:rsidR="0008588F" w:rsidRPr="00214B4B">
              <w:t xml:space="preserve"> завершиться до 2025 года</w:t>
            </w:r>
            <w:r w:rsidRPr="00214B4B">
              <w:t>.</w:t>
            </w:r>
          </w:p>
          <w:p w14:paraId="7207CCC5" w14:textId="42B93200" w:rsidR="00BF4DC1" w:rsidRPr="00214B4B" w:rsidRDefault="00BF4DC1" w:rsidP="00214B4B">
            <w:pPr>
              <w:spacing w:before="60" w:after="60"/>
              <w:rPr>
                <w:highlight w:val="lightGray"/>
              </w:rPr>
            </w:pPr>
            <w:r w:rsidRPr="00214B4B">
              <w:t xml:space="preserve">Рекомендация МСЭ-R M.2083 о видении IMT-2020 определяет, среди прочего, сценарии использования IMT-2020 и </w:t>
            </w:r>
            <w:r w:rsidR="00625B55" w:rsidRPr="00214B4B">
              <w:t>далее</w:t>
            </w:r>
            <w:r w:rsidRPr="00214B4B">
              <w:t xml:space="preserve">: </w:t>
            </w:r>
            <w:r w:rsidR="00625B55" w:rsidRPr="00214B4B">
              <w:t>усовершенствованная подвижная широкополосная связь (eMBB), потоковая связь машинного типа (mMTC) и сверхнадежная передача данных с малой задержкой (URLLC)</w:t>
            </w:r>
            <w:r w:rsidRPr="00214B4B">
              <w:t xml:space="preserve">. Спутниковые сети будут предоставлять категории услуг </w:t>
            </w:r>
            <w:r w:rsidR="00CF298F" w:rsidRPr="00214B4B">
              <w:t>для сценариев</w:t>
            </w:r>
            <w:r w:rsidR="007C5C0F" w:rsidRPr="00214B4B">
              <w:t xml:space="preserve"> </w:t>
            </w:r>
            <w:r w:rsidRPr="00214B4B">
              <w:t xml:space="preserve">использования eMBB-s и mMTC-s, которые являются спутниковыми вариантами eMBB и mMTC, </w:t>
            </w:r>
            <w:r w:rsidR="00CF298F" w:rsidRPr="00214B4B">
              <w:t xml:space="preserve">определение которых содержится </w:t>
            </w:r>
            <w:r w:rsidRPr="00214B4B">
              <w:t xml:space="preserve">в Рекомендации МСЭ-R M.2083. Спутниковый </w:t>
            </w:r>
            <w:r w:rsidR="001B5473" w:rsidRPr="00214B4B">
              <w:t>сегмент</w:t>
            </w:r>
            <w:r w:rsidRPr="00214B4B">
              <w:t xml:space="preserve"> IMT</w:t>
            </w:r>
            <w:r w:rsidR="00242444" w:rsidRPr="00214B4B">
              <w:t>-</w:t>
            </w:r>
            <w:r w:rsidRPr="00214B4B">
              <w:t>2020 не будет касаться URLLC, но будет охватывать категорию услуг спутниковой связи высокой надежности (HRC-s).</w:t>
            </w:r>
          </w:p>
          <w:p w14:paraId="6CDB623F" w14:textId="3A8510E7" w:rsidR="00872088" w:rsidRPr="00214B4B" w:rsidRDefault="00BF4DC1" w:rsidP="00214B4B">
            <w:pPr>
              <w:spacing w:before="60" w:after="60"/>
              <w:rPr>
                <w:highlight w:val="lightGray"/>
              </w:rPr>
            </w:pPr>
            <w:r w:rsidRPr="00214B4B">
              <w:t xml:space="preserve">Спутниковый </w:t>
            </w:r>
            <w:r w:rsidR="001B5473" w:rsidRPr="00214B4B">
              <w:t>сегмент</w:t>
            </w:r>
            <w:r w:rsidRPr="00214B4B">
              <w:t xml:space="preserve"> может использоваться, например, для: </w:t>
            </w:r>
          </w:p>
          <w:p w14:paraId="49A6CE19" w14:textId="34FB9E9F" w:rsidR="00A33C2E" w:rsidRPr="00214B4B" w:rsidRDefault="00214B4B" w:rsidP="00214B4B">
            <w:pPr>
              <w:pStyle w:val="enumlev1"/>
            </w:pPr>
            <w:r w:rsidRPr="00214B4B">
              <w:t>−</w:t>
            </w:r>
            <w:r w:rsidR="00A33C2E" w:rsidRPr="00214B4B">
              <w:tab/>
              <w:t>глобального подключения к устройствам конечных пользователей;</w:t>
            </w:r>
          </w:p>
          <w:p w14:paraId="1F3D7E5C" w14:textId="27E3F1EC" w:rsidR="00A33C2E" w:rsidRPr="00214B4B" w:rsidRDefault="00214B4B" w:rsidP="00214B4B">
            <w:pPr>
              <w:pStyle w:val="enumlev1"/>
            </w:pPr>
            <w:r w:rsidRPr="00214B4B">
              <w:t>−</w:t>
            </w:r>
            <w:r w:rsidR="00A33C2E" w:rsidRPr="00214B4B">
              <w:tab/>
              <w:t>устойчивости сетей благодаря высокой доступности в сочетании с высокой надежностью для HRC-s;</w:t>
            </w:r>
          </w:p>
          <w:p w14:paraId="15254AC5" w14:textId="0A38154C" w:rsidR="00A33C2E" w:rsidRPr="00214B4B" w:rsidRDefault="00214B4B" w:rsidP="00214B4B">
            <w:pPr>
              <w:pStyle w:val="enumlev1"/>
            </w:pPr>
            <w:r w:rsidRPr="00214B4B">
              <w:t>−</w:t>
            </w:r>
            <w:r w:rsidR="00A33C2E" w:rsidRPr="00214B4B">
              <w:tab/>
              <w:t xml:space="preserve">подключения </w:t>
            </w:r>
            <w:r w:rsidR="00A62198" w:rsidRPr="00214B4B">
              <w:t>в сфере транспорта</w:t>
            </w:r>
            <w:r w:rsidR="00A33C2E" w:rsidRPr="00214B4B">
              <w:t>;</w:t>
            </w:r>
          </w:p>
          <w:p w14:paraId="37B13AD2" w14:textId="210E5B49" w:rsidR="00A33C2E" w:rsidRPr="00214B4B" w:rsidRDefault="00214B4B" w:rsidP="00214B4B">
            <w:pPr>
              <w:pStyle w:val="enumlev1"/>
            </w:pPr>
            <w:r w:rsidRPr="00214B4B">
              <w:t>−</w:t>
            </w:r>
            <w:r w:rsidR="00A33C2E" w:rsidRPr="00214B4B">
              <w:tab/>
              <w:t xml:space="preserve">реагирования на чрезвычайные ситуации и </w:t>
            </w:r>
            <w:r w:rsidR="00F35F6E" w:rsidRPr="00214B4B">
              <w:t>обеспечения общественной безопасности</w:t>
            </w:r>
            <w:r w:rsidR="00A33C2E" w:rsidRPr="00214B4B">
              <w:t>;</w:t>
            </w:r>
          </w:p>
          <w:p w14:paraId="6601A64E" w14:textId="67DCED64" w:rsidR="001135DA" w:rsidRPr="00214B4B" w:rsidRDefault="00214B4B" w:rsidP="00214B4B">
            <w:pPr>
              <w:pStyle w:val="enumlev1"/>
              <w:rPr>
                <w:highlight w:val="lightGray"/>
              </w:rPr>
            </w:pPr>
            <w:r w:rsidRPr="00214B4B">
              <w:t>−</w:t>
            </w:r>
            <w:r w:rsidR="001135DA" w:rsidRPr="00214B4B">
              <w:tab/>
              <w:t>доставк</w:t>
            </w:r>
            <w:r w:rsidR="00C719A9" w:rsidRPr="00214B4B">
              <w:t>и</w:t>
            </w:r>
            <w:r w:rsidR="001135DA" w:rsidRPr="00214B4B">
              <w:t xml:space="preserve"> контента в широковещательном или многоадресном режимах рассылки на устройства конечных пользователей.</w:t>
            </w:r>
          </w:p>
          <w:p w14:paraId="3930D50A" w14:textId="660A2E70" w:rsidR="00872088" w:rsidRPr="00214B4B" w:rsidRDefault="001135DA" w:rsidP="00214B4B">
            <w:pPr>
              <w:spacing w:before="60" w:after="60"/>
              <w:rPr>
                <w:highlight w:val="darkGray"/>
              </w:rPr>
            </w:pPr>
            <w:r w:rsidRPr="00214B4B">
              <w:t>В конце 2022 года операторы спутниковой связи, операторы сетей подвижной связи, производители мобильных чипсетов и устройств, а также производители инфраструктуры объявили о сотрудничестве и о планах по разработке и внедрению технологий для приложений, использование которых ожидается в спутниковом сегменте IMT-2020.</w:t>
            </w:r>
            <w:r w:rsidR="00F80F40" w:rsidRPr="00214B4B">
              <w:t xml:space="preserve"> Эти приложения D2D – это</w:t>
            </w:r>
            <w:r w:rsidR="001E6440">
              <w:t> </w:t>
            </w:r>
            <w:r w:rsidR="00C558BD" w:rsidRPr="00214B4B">
              <w:t>предвестники</w:t>
            </w:r>
            <w:r w:rsidR="00F80F40" w:rsidRPr="00214B4B">
              <w:t>, котор</w:t>
            </w:r>
            <w:r w:rsidR="00C558BD" w:rsidRPr="00214B4B">
              <w:t>ые</w:t>
            </w:r>
            <w:r w:rsidR="00F80F40" w:rsidRPr="00214B4B">
              <w:t xml:space="preserve"> подтвержда</w:t>
            </w:r>
            <w:r w:rsidR="00C558BD" w:rsidRPr="00214B4B">
              <w:t>ю</w:t>
            </w:r>
            <w:r w:rsidR="00F80F40" w:rsidRPr="00214B4B">
              <w:t xml:space="preserve">т сценарии использования и растущие потребности в спутниковом сегменте IMT-2020 для улучшенной подвижной широкополосной связи, связи высокой надежности и интенсивного межмашинного обмена. </w:t>
            </w:r>
          </w:p>
          <w:p w14:paraId="2169A69E" w14:textId="2029FD94" w:rsidR="00872088" w:rsidRPr="00214B4B" w:rsidRDefault="00BF4DC1" w:rsidP="00214B4B">
            <w:pPr>
              <w:spacing w:before="60" w:after="60"/>
            </w:pPr>
            <w:r w:rsidRPr="00214B4B">
              <w:t xml:space="preserve">Полезность ПСС в целевых полосах частот, близость этих полос частот к существующим полосам частот, определенным для спутникового и наземного </w:t>
            </w:r>
            <w:r w:rsidR="001B5473" w:rsidRPr="00214B4B">
              <w:t>сегмент</w:t>
            </w:r>
            <w:r w:rsidRPr="00214B4B">
              <w:t xml:space="preserve">ов IMT-2020, преимущество глобальных распределений и определений для глобально ориентированных служб, таких как ПСС и спутниковый </w:t>
            </w:r>
            <w:r w:rsidR="001B5473" w:rsidRPr="00214B4B">
              <w:t>сегмент</w:t>
            </w:r>
            <w:r w:rsidRPr="00214B4B">
              <w:t xml:space="preserve"> IMT-2020, убедительно указыва</w:t>
            </w:r>
            <w:r w:rsidR="00BC495C" w:rsidRPr="00214B4B">
              <w:t>ю</w:t>
            </w:r>
            <w:r w:rsidRPr="00214B4B">
              <w:t xml:space="preserve">т на то, что пункт повестки дня ВКР-27 необходим и что </w:t>
            </w:r>
            <w:r w:rsidR="00BC495C" w:rsidRPr="00214B4B">
              <w:t>работа по</w:t>
            </w:r>
            <w:r w:rsidRPr="00214B4B">
              <w:t xml:space="preserve"> тако</w:t>
            </w:r>
            <w:r w:rsidR="00BC495C" w:rsidRPr="00214B4B">
              <w:t>му</w:t>
            </w:r>
            <w:r w:rsidRPr="00214B4B">
              <w:t xml:space="preserve"> пункт</w:t>
            </w:r>
            <w:r w:rsidR="00BC495C" w:rsidRPr="00214B4B">
              <w:t>у</w:t>
            </w:r>
            <w:r w:rsidRPr="00214B4B">
              <w:t xml:space="preserve"> повестки дня внесет окончательный вклад в достижение ЦУР ООН.</w:t>
            </w:r>
          </w:p>
        </w:tc>
      </w:tr>
      <w:tr w:rsidR="00872088" w:rsidRPr="00214B4B" w14:paraId="29510F2C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6ADD9" w14:textId="77777777" w:rsidR="00872088" w:rsidRPr="00214B4B" w:rsidRDefault="00872088" w:rsidP="00214B4B">
            <w:pPr>
              <w:keepNext/>
              <w:spacing w:before="60" w:after="60"/>
              <w:rPr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lastRenderedPageBreak/>
              <w:t>Затрагиваемые службы радиосвязи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478A7114" w14:textId="34851BED" w:rsidR="00BF4DC1" w:rsidRPr="00214B4B" w:rsidRDefault="00BF4DC1" w:rsidP="00214B4B">
            <w:pPr>
              <w:spacing w:before="60" w:after="60"/>
            </w:pPr>
            <w:r w:rsidRPr="00214B4B">
              <w:t>Подвижная спутниковая служба для рассмотрения новых распределений в полосах частот 2010</w:t>
            </w:r>
            <w:r w:rsidR="00214B4B" w:rsidRPr="00214B4B">
              <w:t>−</w:t>
            </w:r>
            <w:r w:rsidRPr="00214B4B">
              <w:t>2025 МГц (Земля-космос) и 2160</w:t>
            </w:r>
            <w:r w:rsidR="00214B4B" w:rsidRPr="00214B4B">
              <w:t>−</w:t>
            </w:r>
            <w:r w:rsidRPr="00214B4B">
              <w:t>2170 МГц (космос-Земля) в Районах 1 и 3 (уже</w:t>
            </w:r>
            <w:r w:rsidR="00214B4B" w:rsidRPr="00214B4B">
              <w:t> </w:t>
            </w:r>
            <w:r w:rsidRPr="00214B4B">
              <w:t>распределены ПСС в Районе 2)</w:t>
            </w:r>
            <w:r w:rsidR="00A76258" w:rsidRPr="00214B4B">
              <w:t>, а также</w:t>
            </w:r>
            <w:r w:rsidRPr="00214B4B">
              <w:t xml:space="preserve"> 2200</w:t>
            </w:r>
            <w:r w:rsidR="00214B4B" w:rsidRPr="00214B4B">
              <w:t>−</w:t>
            </w:r>
            <w:r w:rsidRPr="00214B4B">
              <w:t>2215 МГц (космос-Земля) в глобальном масштабе.</w:t>
            </w:r>
          </w:p>
          <w:p w14:paraId="52E4C67F" w14:textId="107C638E" w:rsidR="00BF4DC1" w:rsidRPr="00214B4B" w:rsidRDefault="00BF4DC1" w:rsidP="00214B4B">
            <w:pPr>
              <w:spacing w:before="60" w:after="60"/>
              <w:rPr>
                <w:highlight w:val="lightGray"/>
              </w:rPr>
            </w:pPr>
            <w:r w:rsidRPr="00214B4B">
              <w:t>Фиксированная и подвижная службы для рассмотрения в качестве действующих служб в Районах 1 и 3 в полосах частот 2010</w:t>
            </w:r>
            <w:r w:rsidR="00214B4B" w:rsidRPr="00214B4B">
              <w:t>−</w:t>
            </w:r>
            <w:r w:rsidRPr="00214B4B">
              <w:t>2025 МГц и 2160</w:t>
            </w:r>
            <w:r w:rsidR="00214B4B" w:rsidRPr="00214B4B">
              <w:t>−</w:t>
            </w:r>
            <w:r w:rsidRPr="00214B4B">
              <w:t>2270 МГц.</w:t>
            </w:r>
          </w:p>
          <w:p w14:paraId="769410AF" w14:textId="28F3D22B" w:rsidR="00872088" w:rsidRPr="00214B4B" w:rsidRDefault="00BF4DC1" w:rsidP="00214B4B">
            <w:pPr>
              <w:spacing w:before="60" w:after="60"/>
              <w:rPr>
                <w:highlight w:val="lightGray"/>
              </w:rPr>
            </w:pPr>
            <w:r w:rsidRPr="00214B4B">
              <w:t xml:space="preserve">Фиксированная, </w:t>
            </w:r>
            <w:r w:rsidR="00B51A6F" w:rsidRPr="00214B4B">
              <w:t>подвижная</w:t>
            </w:r>
            <w:r w:rsidRPr="00214B4B">
              <w:t xml:space="preserve">, </w:t>
            </w:r>
            <w:r w:rsidR="00146AB2" w:rsidRPr="00214B4B">
              <w:t xml:space="preserve">служба космической эксплуатации </w:t>
            </w:r>
            <w:r w:rsidRPr="00214B4B">
              <w:t xml:space="preserve">(космос-Земля) (космос-космос), </w:t>
            </w:r>
            <w:r w:rsidR="00146AB2" w:rsidRPr="00214B4B">
              <w:t xml:space="preserve">спутниковая служба исследования Земли </w:t>
            </w:r>
            <w:r w:rsidRPr="00214B4B">
              <w:t xml:space="preserve">(космос-Земля) (космос-космос), </w:t>
            </w:r>
            <w:r w:rsidR="00146AB2" w:rsidRPr="00214B4B">
              <w:t xml:space="preserve">служба космических исследований </w:t>
            </w:r>
            <w:r w:rsidRPr="00214B4B">
              <w:t xml:space="preserve">(космос-Земля) (космос-космос) </w:t>
            </w:r>
            <w:r w:rsidR="00D23746" w:rsidRPr="00214B4B">
              <w:t>как</w:t>
            </w:r>
            <w:r w:rsidRPr="00214B4B">
              <w:t xml:space="preserve"> </w:t>
            </w:r>
            <w:r w:rsidR="00146AB2" w:rsidRPr="00214B4B">
              <w:t>действующи</w:t>
            </w:r>
            <w:r w:rsidR="00D23746" w:rsidRPr="00214B4B">
              <w:t>е</w:t>
            </w:r>
            <w:r w:rsidR="00146AB2" w:rsidRPr="00214B4B">
              <w:t xml:space="preserve"> служб</w:t>
            </w:r>
            <w:r w:rsidR="00D23746" w:rsidRPr="00214B4B">
              <w:t>ы</w:t>
            </w:r>
            <w:r w:rsidR="00146AB2" w:rsidRPr="00214B4B">
              <w:t xml:space="preserve"> </w:t>
            </w:r>
            <w:r w:rsidRPr="00214B4B">
              <w:t>в полосе частот 2200−2215 МГц.</w:t>
            </w:r>
          </w:p>
        </w:tc>
      </w:tr>
      <w:tr w:rsidR="00872088" w:rsidRPr="00214B4B" w14:paraId="3327DCFA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FDFBB" w14:textId="77777777" w:rsidR="00872088" w:rsidRPr="00214B4B" w:rsidRDefault="00872088" w:rsidP="00214B4B">
            <w:pPr>
              <w:spacing w:before="60" w:after="60"/>
              <w:rPr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Указание возможных трудностей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4CF6CD1E" w14:textId="50261F22" w:rsidR="00872088" w:rsidRPr="00214B4B" w:rsidRDefault="009F3D0B" w:rsidP="00214B4B">
            <w:pPr>
              <w:spacing w:before="60" w:after="60"/>
              <w:rPr>
                <w:b/>
                <w:i/>
                <w:szCs w:val="22"/>
                <w:highlight w:val="lightGray"/>
              </w:rPr>
            </w:pPr>
            <w:r w:rsidRPr="00214B4B">
              <w:t>н</w:t>
            </w:r>
            <w:r w:rsidR="00BF4DC1" w:rsidRPr="00214B4B">
              <w:t>е определены</w:t>
            </w:r>
          </w:p>
        </w:tc>
      </w:tr>
      <w:tr w:rsidR="00872088" w:rsidRPr="00214B4B" w14:paraId="1997C65A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53DF0" w14:textId="77777777" w:rsidR="00872088" w:rsidRPr="00214B4B" w:rsidRDefault="00872088" w:rsidP="00214B4B">
            <w:pPr>
              <w:spacing w:before="60" w:after="60"/>
              <w:rPr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Ранее проведенные</w:t>
            </w:r>
            <w:r w:rsidRPr="00214B4B">
              <w:rPr>
                <w:b/>
                <w:bCs/>
                <w:szCs w:val="22"/>
              </w:rPr>
              <w:t>/</w:t>
            </w:r>
            <w:r w:rsidRPr="00214B4B">
              <w:rPr>
                <w:b/>
                <w:bCs/>
                <w:i/>
                <w:iCs/>
                <w:szCs w:val="22"/>
              </w:rPr>
              <w:t>текущие исследования по данному вопросу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23F2C923" w14:textId="48F6BC32" w:rsidR="00BF4DC1" w:rsidRPr="00214B4B" w:rsidRDefault="008E40D9" w:rsidP="00214B4B">
            <w:pPr>
              <w:spacing w:before="60" w:after="60"/>
            </w:pPr>
            <w:r w:rsidRPr="00214B4B">
              <w:t>П</w:t>
            </w:r>
            <w:r w:rsidR="00BF4DC1" w:rsidRPr="00214B4B">
              <w:t xml:space="preserve">редварительных исследований </w:t>
            </w:r>
            <w:r w:rsidRPr="00214B4B">
              <w:t xml:space="preserve">по </w:t>
            </w:r>
            <w:r w:rsidR="00BF4DC1" w:rsidRPr="00214B4B">
              <w:t>сосуществовани</w:t>
            </w:r>
            <w:r w:rsidRPr="00214B4B">
              <w:t>ю</w:t>
            </w:r>
            <w:r w:rsidR="00BF4DC1" w:rsidRPr="00214B4B">
              <w:t xml:space="preserve"> </w:t>
            </w:r>
            <w:r w:rsidR="00C76F78" w:rsidRPr="00214B4B">
              <w:t>в контексте</w:t>
            </w:r>
            <w:r w:rsidR="00BF4DC1" w:rsidRPr="00214B4B">
              <w:t xml:space="preserve"> </w:t>
            </w:r>
            <w:r w:rsidRPr="00214B4B">
              <w:t>"</w:t>
            </w:r>
            <w:r w:rsidR="00BF4DC1" w:rsidRPr="00214B4B">
              <w:t xml:space="preserve">использования спутникового </w:t>
            </w:r>
            <w:r w:rsidR="001B5473" w:rsidRPr="00214B4B">
              <w:t>сегмент</w:t>
            </w:r>
            <w:r w:rsidR="00BF4DC1" w:rsidRPr="00214B4B">
              <w:t>а IMT</w:t>
            </w:r>
            <w:r w:rsidRPr="00214B4B">
              <w:t>"</w:t>
            </w:r>
            <w:r w:rsidR="00BF4DC1" w:rsidRPr="00214B4B">
              <w:t xml:space="preserve"> в целевых полосах частот </w:t>
            </w:r>
            <w:r w:rsidRPr="00214B4B">
              <w:t xml:space="preserve">в МСЭ </w:t>
            </w:r>
            <w:r w:rsidR="00BF4DC1" w:rsidRPr="00214B4B">
              <w:t>не проводилось.</w:t>
            </w:r>
          </w:p>
          <w:p w14:paraId="1B4DFAB6" w14:textId="77777777" w:rsidR="00872088" w:rsidRPr="00214B4B" w:rsidRDefault="00872088" w:rsidP="00214B4B">
            <w:pPr>
              <w:spacing w:before="60" w:after="60"/>
              <w:rPr>
                <w:b/>
                <w:i/>
                <w:szCs w:val="22"/>
              </w:rPr>
            </w:pPr>
            <w:r w:rsidRPr="00214B4B">
              <w:t>В предыдущих исследованиях рассматривались только потребности в спектре спутникового сегмента Международной подвижной электросвязи (IMT) – IMT</w:t>
            </w:r>
            <w:r w:rsidRPr="00214B4B">
              <w:noBreakHyphen/>
              <w:t>2000 и последующих систем (Отчет МСЭ</w:t>
            </w:r>
            <w:r w:rsidRPr="00214B4B">
              <w:noBreakHyphen/>
              <w:t>R M.2077), а также потребности в спектре новых широкополосных применений ПСС в диапазоне частот 4−16 ГГц (Отчеты МСЭ</w:t>
            </w:r>
            <w:r w:rsidRPr="00214B4B">
              <w:noBreakHyphen/>
              <w:t>R M.2218 и МСЭ</w:t>
            </w:r>
            <w:r w:rsidRPr="00214B4B">
              <w:noBreakHyphen/>
              <w:t>R M.2221).</w:t>
            </w:r>
          </w:p>
        </w:tc>
      </w:tr>
      <w:tr w:rsidR="00872088" w:rsidRPr="00214B4B" w14:paraId="24072F51" w14:textId="77777777" w:rsidTr="00214B4B"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120F1" w14:textId="77777777" w:rsidR="00872088" w:rsidRPr="00214B4B" w:rsidRDefault="00872088" w:rsidP="00214B4B">
            <w:pPr>
              <w:spacing w:before="60" w:after="60"/>
              <w:rPr>
                <w:bCs/>
                <w:iCs/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Кем будут проводиться исследования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3679AADF" w14:textId="7310B26E" w:rsidR="00872088" w:rsidRPr="00214B4B" w:rsidRDefault="00BF4DC1" w:rsidP="00214B4B">
            <w:pPr>
              <w:spacing w:before="60" w:after="60"/>
              <w:rPr>
                <w:b/>
                <w:i/>
                <w:color w:val="000000"/>
                <w:szCs w:val="22"/>
              </w:rPr>
            </w:pPr>
            <w:r w:rsidRPr="00214B4B">
              <w:t xml:space="preserve">РГ </w:t>
            </w:r>
            <w:r w:rsidR="00872088" w:rsidRPr="00214B4B">
              <w:t>4C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D0773" w14:textId="77777777" w:rsidR="00872088" w:rsidRPr="00214B4B" w:rsidRDefault="00872088" w:rsidP="00214B4B">
            <w:pPr>
              <w:spacing w:before="60" w:after="60"/>
              <w:rPr>
                <w:bCs/>
                <w:iCs/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с участием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4733A9D5" w14:textId="54BF5503" w:rsidR="00872088" w:rsidRPr="00214B4B" w:rsidRDefault="00BF4DC1" w:rsidP="00214B4B">
            <w:pPr>
              <w:spacing w:before="60" w:after="60"/>
              <w:rPr>
                <w:b/>
                <w:i/>
                <w:color w:val="000000"/>
                <w:szCs w:val="22"/>
              </w:rPr>
            </w:pPr>
            <w:r w:rsidRPr="00214B4B">
              <w:t xml:space="preserve">РГ </w:t>
            </w:r>
            <w:r w:rsidR="00872088" w:rsidRPr="00214B4B">
              <w:t xml:space="preserve">4A, </w:t>
            </w:r>
            <w:r w:rsidRPr="00214B4B">
              <w:t xml:space="preserve">РГ </w:t>
            </w:r>
            <w:r w:rsidR="00872088" w:rsidRPr="00214B4B">
              <w:t xml:space="preserve">4B, </w:t>
            </w:r>
            <w:r w:rsidRPr="00214B4B">
              <w:t xml:space="preserve">РГ </w:t>
            </w:r>
            <w:r w:rsidR="00872088" w:rsidRPr="00214B4B">
              <w:t xml:space="preserve">5A, </w:t>
            </w:r>
            <w:r w:rsidRPr="00214B4B">
              <w:t xml:space="preserve">РГ </w:t>
            </w:r>
            <w:r w:rsidR="00872088" w:rsidRPr="00214B4B">
              <w:t xml:space="preserve">5D, </w:t>
            </w:r>
            <w:r w:rsidRPr="00214B4B">
              <w:t xml:space="preserve">РГ </w:t>
            </w:r>
            <w:r w:rsidR="00872088" w:rsidRPr="00214B4B">
              <w:t xml:space="preserve">7B, </w:t>
            </w:r>
            <w:r w:rsidRPr="00214B4B">
              <w:t xml:space="preserve">РГ </w:t>
            </w:r>
            <w:r w:rsidR="00872088" w:rsidRPr="00214B4B">
              <w:t>7C</w:t>
            </w:r>
          </w:p>
        </w:tc>
      </w:tr>
      <w:tr w:rsidR="00872088" w:rsidRPr="00214B4B" w14:paraId="6FBA1C7B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EEF39" w14:textId="77777777" w:rsidR="00872088" w:rsidRPr="00214B4B" w:rsidRDefault="00872088" w:rsidP="00214B4B">
            <w:pPr>
              <w:spacing w:before="60" w:after="60"/>
              <w:rPr>
                <w:bCs/>
                <w:iCs/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Затрагиваемые исследовательские комиссии МСЭ-R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4C1C2B68" w14:textId="6C891092" w:rsidR="00872088" w:rsidRPr="00214B4B" w:rsidRDefault="00BF4DC1" w:rsidP="00214B4B">
            <w:pPr>
              <w:spacing w:before="60" w:after="60"/>
              <w:rPr>
                <w:b/>
                <w:i/>
                <w:szCs w:val="22"/>
              </w:rPr>
            </w:pPr>
            <w:r w:rsidRPr="00214B4B">
              <w:t>ИК</w:t>
            </w:r>
            <w:r w:rsidR="00872088" w:rsidRPr="00214B4B">
              <w:t xml:space="preserve">4, </w:t>
            </w:r>
            <w:r w:rsidRPr="00214B4B">
              <w:t>ИК</w:t>
            </w:r>
            <w:r w:rsidR="00872088" w:rsidRPr="00214B4B">
              <w:t xml:space="preserve">5, </w:t>
            </w:r>
            <w:r w:rsidRPr="00214B4B">
              <w:t>ИК</w:t>
            </w:r>
            <w:r w:rsidR="00872088" w:rsidRPr="00214B4B">
              <w:t>7</w:t>
            </w:r>
          </w:p>
        </w:tc>
      </w:tr>
      <w:tr w:rsidR="00872088" w:rsidRPr="00214B4B" w14:paraId="43719217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38382" w14:textId="77777777" w:rsidR="00872088" w:rsidRPr="00214B4B" w:rsidRDefault="00872088" w:rsidP="00214B4B">
            <w:pPr>
              <w:spacing w:before="60" w:after="60"/>
              <w:rPr>
                <w:bCs/>
                <w:iCs/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Влияние на ресурсы МСЭ, включая финансовые последствия (см. K126)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2038F090" w14:textId="25B9C1AC" w:rsidR="00872088" w:rsidRPr="00214B4B" w:rsidRDefault="00BF4DC1" w:rsidP="00214B4B">
            <w:pPr>
              <w:spacing w:before="60" w:after="60"/>
              <w:rPr>
                <w:highlight w:val="lightGray"/>
              </w:rPr>
            </w:pPr>
            <w:r w:rsidRPr="00214B4B">
              <w:t xml:space="preserve">Ожидается, что </w:t>
            </w:r>
            <w:r w:rsidR="002742CD" w:rsidRPr="00214B4B">
              <w:t xml:space="preserve">влияние на ресурсы </w:t>
            </w:r>
            <w:r w:rsidRPr="00214B4B">
              <w:t xml:space="preserve">всех мероприятий/исследований </w:t>
            </w:r>
            <w:r w:rsidR="00C76F78" w:rsidRPr="00214B4B">
              <w:t>по</w:t>
            </w:r>
            <w:r w:rsidRPr="00214B4B">
              <w:t xml:space="preserve"> данно</w:t>
            </w:r>
            <w:r w:rsidR="00C76F78" w:rsidRPr="00214B4B">
              <w:t>му</w:t>
            </w:r>
            <w:r w:rsidRPr="00214B4B">
              <w:t xml:space="preserve"> предложени</w:t>
            </w:r>
            <w:r w:rsidR="00C76F78" w:rsidRPr="00214B4B">
              <w:t>ю</w:t>
            </w:r>
            <w:r w:rsidRPr="00214B4B">
              <w:t xml:space="preserve"> по пункту повестки дня буд</w:t>
            </w:r>
            <w:r w:rsidR="002742CD" w:rsidRPr="00214B4B">
              <w:t>е</w:t>
            </w:r>
            <w:r w:rsidRPr="00214B4B">
              <w:t xml:space="preserve">т покрываться в рамках существующих </w:t>
            </w:r>
            <w:r w:rsidR="009F3D2B" w:rsidRPr="00214B4B">
              <w:t xml:space="preserve">базовых </w:t>
            </w:r>
            <w:r w:rsidRPr="00214B4B">
              <w:t xml:space="preserve">финансовых </w:t>
            </w:r>
            <w:r w:rsidR="009F3D2B" w:rsidRPr="00214B4B">
              <w:t>затрат</w:t>
            </w:r>
            <w:r w:rsidRPr="00214B4B">
              <w:t xml:space="preserve"> МСЭ-R и, после согласования, </w:t>
            </w:r>
            <w:r w:rsidR="00471846" w:rsidRPr="00214B4B">
              <w:t xml:space="preserve">базовых финансовых затрат по итогам </w:t>
            </w:r>
            <w:r w:rsidRPr="00214B4B">
              <w:t>ВКР-27.</w:t>
            </w:r>
          </w:p>
        </w:tc>
      </w:tr>
      <w:tr w:rsidR="00872088" w:rsidRPr="00214B4B" w14:paraId="1AE1EF2D" w14:textId="77777777" w:rsidTr="00214B4B"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E44A9" w14:textId="5DEA8479" w:rsidR="00872088" w:rsidRPr="00214B4B" w:rsidRDefault="00872088" w:rsidP="00214B4B">
            <w:pPr>
              <w:spacing w:before="60" w:after="60"/>
              <w:rPr>
                <w:b/>
                <w:iCs/>
                <w:szCs w:val="22"/>
              </w:rPr>
            </w:pPr>
            <w:r w:rsidRPr="00214B4B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Pr="00214B4B">
              <w:rPr>
                <w:bCs/>
                <w:iCs/>
                <w:color w:val="000000"/>
                <w:szCs w:val="22"/>
              </w:rPr>
              <w:t xml:space="preserve">: </w:t>
            </w:r>
            <w:r w:rsidR="00214B4B" w:rsidRPr="00214B4B">
              <w:rPr>
                <w:color w:val="000000"/>
                <w:szCs w:val="22"/>
              </w:rPr>
              <w:t>Да</w:t>
            </w:r>
            <w:r w:rsidR="009F3D0B" w:rsidRPr="00214B4B">
              <w:rPr>
                <w:color w:val="000000"/>
                <w:szCs w:val="22"/>
              </w:rPr>
              <w:t>/</w:t>
            </w:r>
            <w:r w:rsidR="00214B4B" w:rsidRPr="00214B4B">
              <w:rPr>
                <w:color w:val="000000"/>
                <w:szCs w:val="22"/>
              </w:rPr>
              <w:t>Нет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CEC1A" w14:textId="2DB1E168" w:rsidR="00872088" w:rsidRPr="00214B4B" w:rsidRDefault="00872088" w:rsidP="00214B4B">
            <w:pPr>
              <w:spacing w:before="60" w:after="60"/>
              <w:rPr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Предложение группы стран</w:t>
            </w:r>
            <w:r w:rsidRPr="00214B4B">
              <w:rPr>
                <w:bCs/>
                <w:iCs/>
                <w:szCs w:val="22"/>
              </w:rPr>
              <w:t>:</w:t>
            </w:r>
            <w:r w:rsidRPr="00214B4B">
              <w:rPr>
                <w:szCs w:val="22"/>
              </w:rPr>
              <w:t xml:space="preserve"> </w:t>
            </w:r>
            <w:r w:rsidR="00214B4B" w:rsidRPr="00214B4B">
              <w:rPr>
                <w:szCs w:val="22"/>
              </w:rPr>
              <w:t>Да</w:t>
            </w:r>
            <w:r w:rsidR="009F3D0B" w:rsidRPr="00214B4B">
              <w:rPr>
                <w:szCs w:val="22"/>
              </w:rPr>
              <w:t>/</w:t>
            </w:r>
            <w:r w:rsidR="00214B4B" w:rsidRPr="00214B4B">
              <w:rPr>
                <w:szCs w:val="22"/>
              </w:rPr>
              <w:t>Нет</w:t>
            </w:r>
          </w:p>
          <w:p w14:paraId="061A59B8" w14:textId="77777777" w:rsidR="00872088" w:rsidRPr="00214B4B" w:rsidRDefault="00872088" w:rsidP="00214B4B">
            <w:pPr>
              <w:spacing w:before="60" w:after="60"/>
              <w:rPr>
                <w:bCs/>
                <w:iCs/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Количество стран</w:t>
            </w:r>
            <w:r w:rsidRPr="00214B4B">
              <w:rPr>
                <w:bCs/>
                <w:iCs/>
                <w:szCs w:val="22"/>
              </w:rPr>
              <w:t>:</w:t>
            </w:r>
          </w:p>
          <w:p w14:paraId="3BF0AB21" w14:textId="77777777" w:rsidR="00872088" w:rsidRPr="00214B4B" w:rsidRDefault="00872088" w:rsidP="00214B4B">
            <w:pPr>
              <w:spacing w:before="60" w:after="60"/>
              <w:rPr>
                <w:b/>
                <w:i/>
                <w:szCs w:val="22"/>
              </w:rPr>
            </w:pPr>
          </w:p>
        </w:tc>
      </w:tr>
      <w:tr w:rsidR="00872088" w:rsidRPr="00214B4B" w14:paraId="18129D81" w14:textId="77777777" w:rsidTr="00214B4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1512F" w14:textId="77777777" w:rsidR="00872088" w:rsidRPr="00214B4B" w:rsidRDefault="00872088" w:rsidP="00214B4B">
            <w:pPr>
              <w:spacing w:before="60" w:after="60"/>
              <w:rPr>
                <w:b/>
                <w:bCs/>
                <w:i/>
                <w:iCs/>
                <w:szCs w:val="22"/>
              </w:rPr>
            </w:pPr>
            <w:r w:rsidRPr="00214B4B">
              <w:rPr>
                <w:b/>
                <w:bCs/>
                <w:i/>
                <w:iCs/>
                <w:szCs w:val="22"/>
              </w:rPr>
              <w:t>Примечания</w:t>
            </w:r>
          </w:p>
          <w:p w14:paraId="0FB46EFD" w14:textId="77777777" w:rsidR="00872088" w:rsidRPr="00214B4B" w:rsidRDefault="00872088" w:rsidP="00214B4B">
            <w:pPr>
              <w:spacing w:before="60" w:after="60"/>
              <w:rPr>
                <w:b/>
                <w:i/>
                <w:szCs w:val="22"/>
              </w:rPr>
            </w:pPr>
          </w:p>
        </w:tc>
      </w:tr>
    </w:tbl>
    <w:p w14:paraId="003933D9" w14:textId="77777777" w:rsidR="00872088" w:rsidRPr="00214B4B" w:rsidRDefault="00872088" w:rsidP="00972E8F">
      <w:pPr>
        <w:spacing w:before="720"/>
        <w:jc w:val="center"/>
      </w:pPr>
      <w:r w:rsidRPr="00214B4B">
        <w:t>______________</w:t>
      </w:r>
    </w:p>
    <w:sectPr w:rsidR="00872088" w:rsidRPr="00214B4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A0AB" w14:textId="77777777" w:rsidR="008A7B04" w:rsidRDefault="008A7B04">
      <w:r>
        <w:separator/>
      </w:r>
    </w:p>
  </w:endnote>
  <w:endnote w:type="continuationSeparator" w:id="0">
    <w:p w14:paraId="34FEECE8" w14:textId="77777777" w:rsidR="008A7B04" w:rsidRDefault="008A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442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7F38B5" w14:textId="68696EE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2E8F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5F47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920F9">
      <w:rPr>
        <w:lang w:val="fr-FR"/>
      </w:rPr>
      <w:t>P:\RUS\ITU-R\CONF-R\CMR23\100\186R.docx</w:t>
    </w:r>
    <w:r>
      <w:fldChar w:fldCharType="end"/>
    </w:r>
    <w:r w:rsidR="00E920F9">
      <w:t xml:space="preserve"> (</w:t>
    </w:r>
    <w:r w:rsidR="00E920F9" w:rsidRPr="00E920F9">
      <w:t>530521</w:t>
    </w:r>
    <w:r w:rsidR="00E920F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5276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920F9">
      <w:rPr>
        <w:lang w:val="fr-FR"/>
      </w:rPr>
      <w:t>P:\RUS\ITU-R\CONF-R\CMR23\100\186R.docx</w:t>
    </w:r>
    <w:r>
      <w:fldChar w:fldCharType="end"/>
    </w:r>
    <w:r w:rsidR="00E920F9">
      <w:t xml:space="preserve"> (</w:t>
    </w:r>
    <w:r w:rsidR="00E920F9" w:rsidRPr="00E920F9">
      <w:t>530521</w:t>
    </w:r>
    <w:r w:rsidR="00E920F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84C6" w14:textId="77777777" w:rsidR="008A7B04" w:rsidRDefault="008A7B04">
      <w:r>
        <w:rPr>
          <w:b/>
        </w:rPr>
        <w:t>_______________</w:t>
      </w:r>
    </w:p>
  </w:footnote>
  <w:footnote w:type="continuationSeparator" w:id="0">
    <w:p w14:paraId="053C175D" w14:textId="77777777" w:rsidR="008A7B04" w:rsidRDefault="008A7B04">
      <w:r>
        <w:continuationSeparator/>
      </w:r>
    </w:p>
  </w:footnote>
  <w:footnote w:id="1">
    <w:p w14:paraId="6C179728" w14:textId="40CEB060" w:rsidR="00181601" w:rsidRPr="0080033B" w:rsidRDefault="00181601" w:rsidP="00181601">
      <w:pPr>
        <w:pStyle w:val="FootnoteText"/>
        <w:rPr>
          <w:lang w:val="en-US"/>
        </w:rPr>
      </w:pPr>
      <w:r>
        <w:rPr>
          <w:rStyle w:val="FootnoteReference"/>
          <w:rFonts w:eastAsia="BatangChe"/>
        </w:rPr>
        <w:footnoteRef/>
      </w:r>
      <w:r>
        <w:tab/>
      </w:r>
      <w:r w:rsidRPr="00181601">
        <w:rPr>
          <w:lang w:val="en-US"/>
        </w:rPr>
        <w:t>"The Mobile Economy", GSMA 2022,</w:t>
      </w:r>
      <w:r w:rsidR="0099465D" w:rsidRPr="0099465D">
        <w:rPr>
          <w:lang w:val="en-US"/>
        </w:rPr>
        <w:t xml:space="preserve"> </w:t>
      </w:r>
      <w:r w:rsidR="0099465D">
        <w:rPr>
          <w:lang w:val="en-US"/>
        </w:rPr>
        <w:t>URL:</w:t>
      </w:r>
      <w:r w:rsidRPr="00181601">
        <w:rPr>
          <w:lang w:val="en-US"/>
        </w:rPr>
        <w:t xml:space="preserve"> </w:t>
      </w:r>
      <w:hyperlink r:id="rId1" w:history="1">
        <w:r w:rsidRPr="00181601">
          <w:rPr>
            <w:rStyle w:val="Hyperlink"/>
            <w:lang w:val="en-US"/>
          </w:rPr>
          <w:t>www.gsma.com/mobileeconomy</w:t>
        </w:r>
      </w:hyperlink>
      <w:r w:rsidRPr="00181601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2A0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104E">
      <w:rPr>
        <w:noProof/>
      </w:rPr>
      <w:t>2</w:t>
    </w:r>
    <w:r>
      <w:fldChar w:fldCharType="end"/>
    </w:r>
  </w:p>
  <w:p w14:paraId="4BE099E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186-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28208629">
    <w:abstractNumId w:val="0"/>
  </w:num>
  <w:num w:numId="2" w16cid:durableId="5100321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396C"/>
    <w:rsid w:val="000260F1"/>
    <w:rsid w:val="0003535B"/>
    <w:rsid w:val="0008588F"/>
    <w:rsid w:val="000A0EF3"/>
    <w:rsid w:val="000A6E9E"/>
    <w:rsid w:val="000C301A"/>
    <w:rsid w:val="000C3F55"/>
    <w:rsid w:val="000D2376"/>
    <w:rsid w:val="000D67C8"/>
    <w:rsid w:val="000E1FEE"/>
    <w:rsid w:val="000F33D8"/>
    <w:rsid w:val="000F39B4"/>
    <w:rsid w:val="001135DA"/>
    <w:rsid w:val="00113D0B"/>
    <w:rsid w:val="00114452"/>
    <w:rsid w:val="00116D3D"/>
    <w:rsid w:val="00116D3F"/>
    <w:rsid w:val="001171DA"/>
    <w:rsid w:val="001224AE"/>
    <w:rsid w:val="001226EC"/>
    <w:rsid w:val="0012318D"/>
    <w:rsid w:val="00123B68"/>
    <w:rsid w:val="00124C09"/>
    <w:rsid w:val="00126F2E"/>
    <w:rsid w:val="00141D68"/>
    <w:rsid w:val="00146961"/>
    <w:rsid w:val="00146AB2"/>
    <w:rsid w:val="001521AE"/>
    <w:rsid w:val="00175820"/>
    <w:rsid w:val="00180D0F"/>
    <w:rsid w:val="00181601"/>
    <w:rsid w:val="00190FDA"/>
    <w:rsid w:val="001A5585"/>
    <w:rsid w:val="001B133C"/>
    <w:rsid w:val="001B5473"/>
    <w:rsid w:val="001D46DF"/>
    <w:rsid w:val="001E481F"/>
    <w:rsid w:val="001E5FB4"/>
    <w:rsid w:val="001E6440"/>
    <w:rsid w:val="001F3BF2"/>
    <w:rsid w:val="001F65B2"/>
    <w:rsid w:val="001F75F8"/>
    <w:rsid w:val="00202CA0"/>
    <w:rsid w:val="00207BD8"/>
    <w:rsid w:val="00214B4B"/>
    <w:rsid w:val="00230582"/>
    <w:rsid w:val="00242444"/>
    <w:rsid w:val="0024330C"/>
    <w:rsid w:val="002449AA"/>
    <w:rsid w:val="00245A1F"/>
    <w:rsid w:val="002503A5"/>
    <w:rsid w:val="002742CD"/>
    <w:rsid w:val="00276DC5"/>
    <w:rsid w:val="00290C74"/>
    <w:rsid w:val="002A21ED"/>
    <w:rsid w:val="002A2D3F"/>
    <w:rsid w:val="002A2DA7"/>
    <w:rsid w:val="002C0AAB"/>
    <w:rsid w:val="002C1088"/>
    <w:rsid w:val="002E5CE6"/>
    <w:rsid w:val="002F0381"/>
    <w:rsid w:val="00300F84"/>
    <w:rsid w:val="00316940"/>
    <w:rsid w:val="00316985"/>
    <w:rsid w:val="003258F2"/>
    <w:rsid w:val="00344EB8"/>
    <w:rsid w:val="00346BEC"/>
    <w:rsid w:val="00350E2A"/>
    <w:rsid w:val="00371E4B"/>
    <w:rsid w:val="00373759"/>
    <w:rsid w:val="00373EA7"/>
    <w:rsid w:val="00375F99"/>
    <w:rsid w:val="00377DFE"/>
    <w:rsid w:val="003B2657"/>
    <w:rsid w:val="003C48DE"/>
    <w:rsid w:val="003C5467"/>
    <w:rsid w:val="003C583C"/>
    <w:rsid w:val="003F0078"/>
    <w:rsid w:val="00434A7C"/>
    <w:rsid w:val="004456E6"/>
    <w:rsid w:val="00446258"/>
    <w:rsid w:val="0045143A"/>
    <w:rsid w:val="00452BCA"/>
    <w:rsid w:val="00464E77"/>
    <w:rsid w:val="00471846"/>
    <w:rsid w:val="00474559"/>
    <w:rsid w:val="00486DDF"/>
    <w:rsid w:val="0048714D"/>
    <w:rsid w:val="004A58F4"/>
    <w:rsid w:val="004A5E09"/>
    <w:rsid w:val="004B0A83"/>
    <w:rsid w:val="004B6141"/>
    <w:rsid w:val="004B716F"/>
    <w:rsid w:val="004C1369"/>
    <w:rsid w:val="004C47ED"/>
    <w:rsid w:val="004C6D0B"/>
    <w:rsid w:val="004F3B0D"/>
    <w:rsid w:val="00510969"/>
    <w:rsid w:val="00510C18"/>
    <w:rsid w:val="0051315E"/>
    <w:rsid w:val="005144A9"/>
    <w:rsid w:val="00514E1F"/>
    <w:rsid w:val="00516996"/>
    <w:rsid w:val="00521B1D"/>
    <w:rsid w:val="005305D5"/>
    <w:rsid w:val="005407F3"/>
    <w:rsid w:val="00540D1E"/>
    <w:rsid w:val="005429C7"/>
    <w:rsid w:val="005651C9"/>
    <w:rsid w:val="00567276"/>
    <w:rsid w:val="005755E2"/>
    <w:rsid w:val="00576F89"/>
    <w:rsid w:val="00597005"/>
    <w:rsid w:val="005A295E"/>
    <w:rsid w:val="005A387F"/>
    <w:rsid w:val="005D1879"/>
    <w:rsid w:val="005D79A3"/>
    <w:rsid w:val="005E1C58"/>
    <w:rsid w:val="005E61DD"/>
    <w:rsid w:val="006023DF"/>
    <w:rsid w:val="0060361F"/>
    <w:rsid w:val="006115BE"/>
    <w:rsid w:val="00614771"/>
    <w:rsid w:val="00620DD7"/>
    <w:rsid w:val="00625B55"/>
    <w:rsid w:val="00657DE0"/>
    <w:rsid w:val="00692C06"/>
    <w:rsid w:val="006A6E9B"/>
    <w:rsid w:val="006F2D81"/>
    <w:rsid w:val="006F53EE"/>
    <w:rsid w:val="00702390"/>
    <w:rsid w:val="007044A7"/>
    <w:rsid w:val="0071515F"/>
    <w:rsid w:val="0072497A"/>
    <w:rsid w:val="00763F4F"/>
    <w:rsid w:val="00771B53"/>
    <w:rsid w:val="00775720"/>
    <w:rsid w:val="007917AE"/>
    <w:rsid w:val="0079363A"/>
    <w:rsid w:val="007A08B5"/>
    <w:rsid w:val="007B532A"/>
    <w:rsid w:val="007B6BF5"/>
    <w:rsid w:val="007B6D56"/>
    <w:rsid w:val="007C5C0F"/>
    <w:rsid w:val="007E55B8"/>
    <w:rsid w:val="00810D83"/>
    <w:rsid w:val="008110C7"/>
    <w:rsid w:val="00811633"/>
    <w:rsid w:val="00812452"/>
    <w:rsid w:val="00815749"/>
    <w:rsid w:val="00850FD0"/>
    <w:rsid w:val="00853FAF"/>
    <w:rsid w:val="008676C8"/>
    <w:rsid w:val="00872088"/>
    <w:rsid w:val="00872FC8"/>
    <w:rsid w:val="00875FDA"/>
    <w:rsid w:val="00877D46"/>
    <w:rsid w:val="00881A92"/>
    <w:rsid w:val="00882D57"/>
    <w:rsid w:val="008A21DE"/>
    <w:rsid w:val="008A7B04"/>
    <w:rsid w:val="008B3ACA"/>
    <w:rsid w:val="008B43F2"/>
    <w:rsid w:val="008C3257"/>
    <w:rsid w:val="008C401C"/>
    <w:rsid w:val="008D7B4C"/>
    <w:rsid w:val="008E40D9"/>
    <w:rsid w:val="009024DB"/>
    <w:rsid w:val="009119CC"/>
    <w:rsid w:val="00917C0A"/>
    <w:rsid w:val="00941A02"/>
    <w:rsid w:val="00947F39"/>
    <w:rsid w:val="00954AAB"/>
    <w:rsid w:val="00960D10"/>
    <w:rsid w:val="00966C93"/>
    <w:rsid w:val="00972E8F"/>
    <w:rsid w:val="00987FA4"/>
    <w:rsid w:val="0099391A"/>
    <w:rsid w:val="0099465D"/>
    <w:rsid w:val="009B5CC2"/>
    <w:rsid w:val="009B7692"/>
    <w:rsid w:val="009C4AA6"/>
    <w:rsid w:val="009C61E0"/>
    <w:rsid w:val="009D2D46"/>
    <w:rsid w:val="009D3D63"/>
    <w:rsid w:val="009E5FC8"/>
    <w:rsid w:val="009E6964"/>
    <w:rsid w:val="009F3D0B"/>
    <w:rsid w:val="009F3D2B"/>
    <w:rsid w:val="009F66E2"/>
    <w:rsid w:val="00A117A3"/>
    <w:rsid w:val="00A11ED0"/>
    <w:rsid w:val="00A138D0"/>
    <w:rsid w:val="00A141AF"/>
    <w:rsid w:val="00A2044F"/>
    <w:rsid w:val="00A26EB6"/>
    <w:rsid w:val="00A33C2E"/>
    <w:rsid w:val="00A4600A"/>
    <w:rsid w:val="00A57C04"/>
    <w:rsid w:val="00A60361"/>
    <w:rsid w:val="00A61057"/>
    <w:rsid w:val="00A62198"/>
    <w:rsid w:val="00A66AE4"/>
    <w:rsid w:val="00A710E7"/>
    <w:rsid w:val="00A76258"/>
    <w:rsid w:val="00A76984"/>
    <w:rsid w:val="00A81026"/>
    <w:rsid w:val="00A85737"/>
    <w:rsid w:val="00A97EC0"/>
    <w:rsid w:val="00AB3D80"/>
    <w:rsid w:val="00AC1302"/>
    <w:rsid w:val="00AC4CFB"/>
    <w:rsid w:val="00AC50EE"/>
    <w:rsid w:val="00AC66E6"/>
    <w:rsid w:val="00AD53D5"/>
    <w:rsid w:val="00AD69E8"/>
    <w:rsid w:val="00AE1130"/>
    <w:rsid w:val="00AE48E2"/>
    <w:rsid w:val="00B217C4"/>
    <w:rsid w:val="00B24E60"/>
    <w:rsid w:val="00B33550"/>
    <w:rsid w:val="00B468A6"/>
    <w:rsid w:val="00B51A6F"/>
    <w:rsid w:val="00B70517"/>
    <w:rsid w:val="00B75113"/>
    <w:rsid w:val="00B76421"/>
    <w:rsid w:val="00B80804"/>
    <w:rsid w:val="00B82B97"/>
    <w:rsid w:val="00B958BD"/>
    <w:rsid w:val="00BA13A4"/>
    <w:rsid w:val="00BA1AA1"/>
    <w:rsid w:val="00BA35DC"/>
    <w:rsid w:val="00BB090A"/>
    <w:rsid w:val="00BC104E"/>
    <w:rsid w:val="00BC495C"/>
    <w:rsid w:val="00BC5313"/>
    <w:rsid w:val="00BD0D2F"/>
    <w:rsid w:val="00BD1129"/>
    <w:rsid w:val="00BF4DC1"/>
    <w:rsid w:val="00C0572C"/>
    <w:rsid w:val="00C15B24"/>
    <w:rsid w:val="00C20466"/>
    <w:rsid w:val="00C2049B"/>
    <w:rsid w:val="00C266F4"/>
    <w:rsid w:val="00C324A8"/>
    <w:rsid w:val="00C558BD"/>
    <w:rsid w:val="00C56E7A"/>
    <w:rsid w:val="00C715B2"/>
    <w:rsid w:val="00C719A9"/>
    <w:rsid w:val="00C75C40"/>
    <w:rsid w:val="00C76F78"/>
    <w:rsid w:val="00C779CE"/>
    <w:rsid w:val="00C916AF"/>
    <w:rsid w:val="00CB1B3E"/>
    <w:rsid w:val="00CB5FB9"/>
    <w:rsid w:val="00CC47C6"/>
    <w:rsid w:val="00CC4DE6"/>
    <w:rsid w:val="00CE5E47"/>
    <w:rsid w:val="00CE6633"/>
    <w:rsid w:val="00CF020F"/>
    <w:rsid w:val="00CF298F"/>
    <w:rsid w:val="00CF3039"/>
    <w:rsid w:val="00D031D3"/>
    <w:rsid w:val="00D23746"/>
    <w:rsid w:val="00D526AF"/>
    <w:rsid w:val="00D53715"/>
    <w:rsid w:val="00D55818"/>
    <w:rsid w:val="00D5676E"/>
    <w:rsid w:val="00D7331A"/>
    <w:rsid w:val="00D875DF"/>
    <w:rsid w:val="00D91BCD"/>
    <w:rsid w:val="00DE2EBA"/>
    <w:rsid w:val="00DF4029"/>
    <w:rsid w:val="00DF7149"/>
    <w:rsid w:val="00E2253F"/>
    <w:rsid w:val="00E43E99"/>
    <w:rsid w:val="00E5155F"/>
    <w:rsid w:val="00E5544D"/>
    <w:rsid w:val="00E65919"/>
    <w:rsid w:val="00E81868"/>
    <w:rsid w:val="00E81EC8"/>
    <w:rsid w:val="00E8784E"/>
    <w:rsid w:val="00E920F9"/>
    <w:rsid w:val="00E976C1"/>
    <w:rsid w:val="00EA0C0C"/>
    <w:rsid w:val="00EA0C88"/>
    <w:rsid w:val="00EA55B2"/>
    <w:rsid w:val="00EB66F7"/>
    <w:rsid w:val="00EB6C99"/>
    <w:rsid w:val="00ED0A6B"/>
    <w:rsid w:val="00EF43E7"/>
    <w:rsid w:val="00EF6856"/>
    <w:rsid w:val="00F1578A"/>
    <w:rsid w:val="00F21A03"/>
    <w:rsid w:val="00F33B22"/>
    <w:rsid w:val="00F35F6E"/>
    <w:rsid w:val="00F45C42"/>
    <w:rsid w:val="00F65316"/>
    <w:rsid w:val="00F65C19"/>
    <w:rsid w:val="00F761D2"/>
    <w:rsid w:val="00F80F40"/>
    <w:rsid w:val="00F813A0"/>
    <w:rsid w:val="00F91794"/>
    <w:rsid w:val="00F97203"/>
    <w:rsid w:val="00FA35FA"/>
    <w:rsid w:val="00FB2DE6"/>
    <w:rsid w:val="00FB67E5"/>
    <w:rsid w:val="00FC63FD"/>
    <w:rsid w:val="00FD18DB"/>
    <w:rsid w:val="00FD51E3"/>
    <w:rsid w:val="00FD74BC"/>
    <w:rsid w:val="00FE289E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C9B2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AA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F3B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3BF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3BF2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BF2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FE289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ma.com/mobileec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R23-WRC23-C-0186!!MSW-R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125B0-1B28-47C8-9F2D-1411C2B87F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A11381-9884-4ABA-B8B4-3F3D387BEAE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2370</Words>
  <Characters>16371</Characters>
  <Application>Microsoft Office Word</Application>
  <DocSecurity>0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R23-WRC23-C-0186!!MSW-R</vt:lpstr>
    </vt:vector>
  </TitlesOfParts>
  <Manager>General Secretariat - Pool</Manager>
  <Company>International Telecommunication Union (ITU)</Company>
  <LinksUpToDate>false</LinksUpToDate>
  <CharactersWithSpaces>18704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R23-WRC23-C-0186!!MSW-R</dc:title>
  <dc:subject>World Radiocommunication Conference - 2019</dc:subject>
  <dc:creator>Documents Proposals Manager (DPM)</dc:creator>
  <cp:keywords>DPM_v2023.11.6.1_prod</cp:keywords>
  <dc:description/>
  <cp:lastModifiedBy>Olga Komissarova</cp:lastModifiedBy>
  <cp:revision>185</cp:revision>
  <cp:lastPrinted>2003-06-17T08:22:00Z</cp:lastPrinted>
  <dcterms:created xsi:type="dcterms:W3CDTF">2023-11-06T10:05:00Z</dcterms:created>
  <dcterms:modified xsi:type="dcterms:W3CDTF">2023-11-13T11:26:00Z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