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A5AFC" w14:paraId="7F7C94D7" w14:textId="77777777" w:rsidTr="00C1305F">
        <w:trPr>
          <w:cantSplit/>
        </w:trPr>
        <w:tc>
          <w:tcPr>
            <w:tcW w:w="1418" w:type="dxa"/>
            <w:vAlign w:val="center"/>
          </w:tcPr>
          <w:p w14:paraId="3BA08046" w14:textId="77777777" w:rsidR="00C1305F" w:rsidRPr="00CA5AFC" w:rsidRDefault="00C1305F" w:rsidP="00C1305F">
            <w:pPr>
              <w:spacing w:before="0" w:line="240" w:lineRule="atLeast"/>
              <w:rPr>
                <w:rFonts w:ascii="Verdana" w:hAnsi="Verdana"/>
                <w:b/>
                <w:bCs/>
                <w:sz w:val="20"/>
              </w:rPr>
            </w:pPr>
            <w:r w:rsidRPr="00CA5AFC">
              <w:drawing>
                <wp:inline distT="0" distB="0" distL="0" distR="0" wp14:anchorId="4A794DBC" wp14:editId="2AA8143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765DC41" w14:textId="56187F60" w:rsidR="00C1305F" w:rsidRPr="00CA5AFC" w:rsidRDefault="00C1305F" w:rsidP="00F10064">
            <w:pPr>
              <w:spacing w:before="400" w:after="48" w:line="240" w:lineRule="atLeast"/>
              <w:rPr>
                <w:rFonts w:ascii="Verdana" w:hAnsi="Verdana"/>
                <w:b/>
                <w:bCs/>
                <w:sz w:val="20"/>
              </w:rPr>
            </w:pPr>
            <w:r w:rsidRPr="00CA5AFC">
              <w:rPr>
                <w:rFonts w:ascii="Verdana" w:hAnsi="Verdana"/>
                <w:b/>
                <w:bCs/>
                <w:sz w:val="20"/>
              </w:rPr>
              <w:t>Conférence mondiale des radiocommunications (CMR-23)</w:t>
            </w:r>
            <w:r w:rsidRPr="00CA5AFC">
              <w:rPr>
                <w:rFonts w:ascii="Verdana" w:hAnsi="Verdana"/>
                <w:b/>
                <w:bCs/>
                <w:sz w:val="20"/>
              </w:rPr>
              <w:br/>
            </w:r>
            <w:r w:rsidRPr="00CA5AFC">
              <w:rPr>
                <w:rFonts w:ascii="Verdana" w:hAnsi="Verdana"/>
                <w:b/>
                <w:bCs/>
                <w:sz w:val="18"/>
                <w:szCs w:val="18"/>
              </w:rPr>
              <w:t xml:space="preserve">Dubaï, 20 novembre </w:t>
            </w:r>
            <w:r w:rsidR="00B7368E" w:rsidRPr="00CA5AFC">
              <w:rPr>
                <w:rFonts w:ascii="Verdana" w:hAnsi="Verdana"/>
                <w:b/>
                <w:bCs/>
                <w:sz w:val="18"/>
                <w:szCs w:val="18"/>
              </w:rPr>
              <w:t>–</w:t>
            </w:r>
            <w:r w:rsidRPr="00CA5AFC">
              <w:rPr>
                <w:rFonts w:ascii="Verdana" w:hAnsi="Verdana"/>
                <w:b/>
                <w:bCs/>
                <w:sz w:val="18"/>
                <w:szCs w:val="18"/>
              </w:rPr>
              <w:t xml:space="preserve"> 15 décembre 2023</w:t>
            </w:r>
          </w:p>
        </w:tc>
        <w:tc>
          <w:tcPr>
            <w:tcW w:w="1809" w:type="dxa"/>
            <w:vAlign w:val="center"/>
          </w:tcPr>
          <w:p w14:paraId="39BF6B1A" w14:textId="77777777" w:rsidR="00C1305F" w:rsidRPr="00CA5AFC" w:rsidRDefault="00C1305F" w:rsidP="00C1305F">
            <w:pPr>
              <w:spacing w:before="0" w:line="240" w:lineRule="atLeast"/>
            </w:pPr>
            <w:bookmarkStart w:id="0" w:name="ditulogo"/>
            <w:bookmarkEnd w:id="0"/>
            <w:r w:rsidRPr="00CA5AFC">
              <w:drawing>
                <wp:inline distT="0" distB="0" distL="0" distR="0" wp14:anchorId="0D1B6F0D" wp14:editId="707FF1A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A5AFC" w14:paraId="71E0E17A" w14:textId="77777777" w:rsidTr="0050008E">
        <w:trPr>
          <w:cantSplit/>
        </w:trPr>
        <w:tc>
          <w:tcPr>
            <w:tcW w:w="6911" w:type="dxa"/>
            <w:gridSpan w:val="2"/>
            <w:tcBorders>
              <w:bottom w:val="single" w:sz="12" w:space="0" w:color="auto"/>
            </w:tcBorders>
          </w:tcPr>
          <w:p w14:paraId="6966F87C" w14:textId="77777777" w:rsidR="00BB1D82" w:rsidRPr="00CA5AFC"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2E579AF8" w14:textId="77777777" w:rsidR="00BB1D82" w:rsidRPr="00CA5AFC" w:rsidRDefault="00BB1D82" w:rsidP="00BB1D82">
            <w:pPr>
              <w:spacing w:before="0" w:line="240" w:lineRule="atLeast"/>
              <w:rPr>
                <w:rFonts w:ascii="Verdana" w:hAnsi="Verdana"/>
                <w:szCs w:val="24"/>
              </w:rPr>
            </w:pPr>
          </w:p>
        </w:tc>
      </w:tr>
      <w:tr w:rsidR="00BB1D82" w:rsidRPr="00CA5AFC" w14:paraId="335319C9" w14:textId="77777777" w:rsidTr="00BB1D82">
        <w:trPr>
          <w:cantSplit/>
        </w:trPr>
        <w:tc>
          <w:tcPr>
            <w:tcW w:w="6911" w:type="dxa"/>
            <w:gridSpan w:val="2"/>
            <w:tcBorders>
              <w:top w:val="single" w:sz="12" w:space="0" w:color="auto"/>
            </w:tcBorders>
          </w:tcPr>
          <w:p w14:paraId="5B36E6CD" w14:textId="77777777" w:rsidR="00BB1D82" w:rsidRPr="00CA5AFC"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64412C73" w14:textId="77777777" w:rsidR="00BB1D82" w:rsidRPr="00CA5AFC" w:rsidRDefault="00BB1D82" w:rsidP="00BB1D82">
            <w:pPr>
              <w:spacing w:before="0" w:line="240" w:lineRule="atLeast"/>
              <w:rPr>
                <w:rFonts w:ascii="Verdana" w:hAnsi="Verdana"/>
                <w:sz w:val="20"/>
              </w:rPr>
            </w:pPr>
          </w:p>
        </w:tc>
      </w:tr>
      <w:tr w:rsidR="00BB1D82" w:rsidRPr="00CA5AFC" w14:paraId="114829CA" w14:textId="77777777" w:rsidTr="00BB1D82">
        <w:trPr>
          <w:cantSplit/>
        </w:trPr>
        <w:tc>
          <w:tcPr>
            <w:tcW w:w="6911" w:type="dxa"/>
            <w:gridSpan w:val="2"/>
          </w:tcPr>
          <w:p w14:paraId="1610FDFA" w14:textId="77777777" w:rsidR="00BB1D82" w:rsidRPr="00CA5AFC" w:rsidRDefault="006D4724" w:rsidP="00BA5BD0">
            <w:pPr>
              <w:spacing w:before="0"/>
              <w:rPr>
                <w:rFonts w:ascii="Verdana" w:hAnsi="Verdana"/>
                <w:b/>
                <w:sz w:val="20"/>
              </w:rPr>
            </w:pPr>
            <w:r w:rsidRPr="00CA5AFC">
              <w:rPr>
                <w:rFonts w:ascii="Verdana" w:hAnsi="Verdana"/>
                <w:b/>
                <w:sz w:val="20"/>
              </w:rPr>
              <w:t>SÉANCE PLÉNIÈRE</w:t>
            </w:r>
          </w:p>
        </w:tc>
        <w:tc>
          <w:tcPr>
            <w:tcW w:w="3120" w:type="dxa"/>
            <w:gridSpan w:val="2"/>
          </w:tcPr>
          <w:p w14:paraId="24EC1E03" w14:textId="77777777" w:rsidR="00BB1D82" w:rsidRPr="00CA5AFC" w:rsidRDefault="006D4724" w:rsidP="00BA5BD0">
            <w:pPr>
              <w:spacing w:before="0"/>
              <w:rPr>
                <w:rFonts w:ascii="Verdana" w:hAnsi="Verdana"/>
                <w:sz w:val="20"/>
              </w:rPr>
            </w:pPr>
            <w:r w:rsidRPr="00CA5AFC">
              <w:rPr>
                <w:rFonts w:ascii="Verdana" w:hAnsi="Verdana"/>
                <w:b/>
                <w:sz w:val="20"/>
              </w:rPr>
              <w:t>Document 186</w:t>
            </w:r>
            <w:r w:rsidR="00BB1D82" w:rsidRPr="00CA5AFC">
              <w:rPr>
                <w:rFonts w:ascii="Verdana" w:hAnsi="Verdana"/>
                <w:b/>
                <w:sz w:val="20"/>
              </w:rPr>
              <w:t>-</w:t>
            </w:r>
            <w:r w:rsidRPr="00CA5AFC">
              <w:rPr>
                <w:rFonts w:ascii="Verdana" w:hAnsi="Verdana"/>
                <w:b/>
                <w:sz w:val="20"/>
              </w:rPr>
              <w:t>F</w:t>
            </w:r>
          </w:p>
        </w:tc>
      </w:tr>
      <w:bookmarkEnd w:id="1"/>
      <w:tr w:rsidR="00690C7B" w:rsidRPr="00CA5AFC" w14:paraId="242BF183" w14:textId="77777777" w:rsidTr="00BB1D82">
        <w:trPr>
          <w:cantSplit/>
        </w:trPr>
        <w:tc>
          <w:tcPr>
            <w:tcW w:w="6911" w:type="dxa"/>
            <w:gridSpan w:val="2"/>
          </w:tcPr>
          <w:p w14:paraId="1877F5EA" w14:textId="77777777" w:rsidR="00690C7B" w:rsidRPr="00CA5AFC" w:rsidRDefault="00690C7B" w:rsidP="00BA5BD0">
            <w:pPr>
              <w:spacing w:before="0"/>
              <w:rPr>
                <w:rFonts w:ascii="Verdana" w:hAnsi="Verdana"/>
                <w:b/>
                <w:sz w:val="20"/>
              </w:rPr>
            </w:pPr>
          </w:p>
        </w:tc>
        <w:tc>
          <w:tcPr>
            <w:tcW w:w="3120" w:type="dxa"/>
            <w:gridSpan w:val="2"/>
          </w:tcPr>
          <w:p w14:paraId="4D21C914" w14:textId="77777777" w:rsidR="00690C7B" w:rsidRPr="00CA5AFC" w:rsidRDefault="00690C7B" w:rsidP="00BA5BD0">
            <w:pPr>
              <w:spacing w:before="0"/>
              <w:rPr>
                <w:rFonts w:ascii="Verdana" w:hAnsi="Verdana"/>
                <w:b/>
                <w:sz w:val="20"/>
              </w:rPr>
            </w:pPr>
            <w:r w:rsidRPr="00CA5AFC">
              <w:rPr>
                <w:rFonts w:ascii="Verdana" w:hAnsi="Verdana"/>
                <w:b/>
                <w:sz w:val="20"/>
              </w:rPr>
              <w:t>31 octobre 2023</w:t>
            </w:r>
          </w:p>
        </w:tc>
      </w:tr>
      <w:tr w:rsidR="00690C7B" w:rsidRPr="00CA5AFC" w14:paraId="7B03CEA4" w14:textId="77777777" w:rsidTr="00BB1D82">
        <w:trPr>
          <w:cantSplit/>
        </w:trPr>
        <w:tc>
          <w:tcPr>
            <w:tcW w:w="6911" w:type="dxa"/>
            <w:gridSpan w:val="2"/>
          </w:tcPr>
          <w:p w14:paraId="44DD01FC" w14:textId="77777777" w:rsidR="00690C7B" w:rsidRPr="00CA5AFC" w:rsidRDefault="00690C7B" w:rsidP="00BA5BD0">
            <w:pPr>
              <w:spacing w:before="0" w:after="48"/>
              <w:rPr>
                <w:rFonts w:ascii="Verdana" w:hAnsi="Verdana"/>
                <w:b/>
                <w:smallCaps/>
                <w:sz w:val="20"/>
              </w:rPr>
            </w:pPr>
          </w:p>
        </w:tc>
        <w:tc>
          <w:tcPr>
            <w:tcW w:w="3120" w:type="dxa"/>
            <w:gridSpan w:val="2"/>
          </w:tcPr>
          <w:p w14:paraId="6DA200C1" w14:textId="77777777" w:rsidR="00690C7B" w:rsidRPr="00CA5AFC" w:rsidRDefault="00690C7B" w:rsidP="00BA5BD0">
            <w:pPr>
              <w:spacing w:before="0"/>
              <w:rPr>
                <w:rFonts w:ascii="Verdana" w:hAnsi="Verdana"/>
                <w:b/>
                <w:sz w:val="20"/>
              </w:rPr>
            </w:pPr>
            <w:r w:rsidRPr="00CA5AFC">
              <w:rPr>
                <w:rFonts w:ascii="Verdana" w:hAnsi="Verdana"/>
                <w:b/>
                <w:sz w:val="20"/>
              </w:rPr>
              <w:t>Original: anglais</w:t>
            </w:r>
          </w:p>
        </w:tc>
      </w:tr>
      <w:tr w:rsidR="00690C7B" w:rsidRPr="00CA5AFC" w14:paraId="21E6F8B7" w14:textId="77777777" w:rsidTr="00C11970">
        <w:trPr>
          <w:cantSplit/>
        </w:trPr>
        <w:tc>
          <w:tcPr>
            <w:tcW w:w="10031" w:type="dxa"/>
            <w:gridSpan w:val="4"/>
          </w:tcPr>
          <w:p w14:paraId="5C1B6462" w14:textId="77777777" w:rsidR="00690C7B" w:rsidRPr="00CA5AFC" w:rsidRDefault="00690C7B" w:rsidP="00BA5BD0">
            <w:pPr>
              <w:spacing w:before="0"/>
              <w:rPr>
                <w:rFonts w:ascii="Verdana" w:hAnsi="Verdana"/>
                <w:b/>
                <w:sz w:val="20"/>
              </w:rPr>
            </w:pPr>
          </w:p>
        </w:tc>
      </w:tr>
      <w:tr w:rsidR="00690C7B" w:rsidRPr="00CA5AFC" w14:paraId="1E0267CD" w14:textId="77777777" w:rsidTr="0050008E">
        <w:trPr>
          <w:cantSplit/>
        </w:trPr>
        <w:tc>
          <w:tcPr>
            <w:tcW w:w="10031" w:type="dxa"/>
            <w:gridSpan w:val="4"/>
          </w:tcPr>
          <w:p w14:paraId="34E05AA6" w14:textId="77777777" w:rsidR="00690C7B" w:rsidRPr="00CA5AFC" w:rsidRDefault="00690C7B" w:rsidP="00690C7B">
            <w:pPr>
              <w:pStyle w:val="Source"/>
            </w:pPr>
            <w:bookmarkStart w:id="2" w:name="dsource" w:colFirst="0" w:colLast="0"/>
            <w:r w:rsidRPr="00CA5AFC">
              <w:t>Papouasie-Nouvelle-Guinée</w:t>
            </w:r>
          </w:p>
        </w:tc>
      </w:tr>
      <w:tr w:rsidR="00690C7B" w:rsidRPr="00CA5AFC" w14:paraId="1C39C945" w14:textId="77777777" w:rsidTr="0050008E">
        <w:trPr>
          <w:cantSplit/>
        </w:trPr>
        <w:tc>
          <w:tcPr>
            <w:tcW w:w="10031" w:type="dxa"/>
            <w:gridSpan w:val="4"/>
          </w:tcPr>
          <w:p w14:paraId="5D54E09D" w14:textId="44FA517A" w:rsidR="00690C7B" w:rsidRPr="00CA5AFC" w:rsidRDefault="00B7368E" w:rsidP="00690C7B">
            <w:pPr>
              <w:pStyle w:val="Title1"/>
            </w:pPr>
            <w:bookmarkStart w:id="3" w:name="dtitle1" w:colFirst="0" w:colLast="0"/>
            <w:bookmarkEnd w:id="2"/>
            <w:r w:rsidRPr="00CA5AFC">
              <w:t>PROPOSITIONS POUR LES TRAVAUX DE LA CONFÉRENCE</w:t>
            </w:r>
          </w:p>
        </w:tc>
      </w:tr>
      <w:tr w:rsidR="00690C7B" w:rsidRPr="00CA5AFC" w14:paraId="2880B081" w14:textId="77777777" w:rsidTr="0050008E">
        <w:trPr>
          <w:cantSplit/>
        </w:trPr>
        <w:tc>
          <w:tcPr>
            <w:tcW w:w="10031" w:type="dxa"/>
            <w:gridSpan w:val="4"/>
          </w:tcPr>
          <w:p w14:paraId="6FEB148F" w14:textId="77777777" w:rsidR="00690C7B" w:rsidRPr="00CA5AFC" w:rsidRDefault="00690C7B" w:rsidP="00690C7B">
            <w:pPr>
              <w:pStyle w:val="Title2"/>
            </w:pPr>
            <w:bookmarkStart w:id="4" w:name="dtitle2" w:colFirst="0" w:colLast="0"/>
            <w:bookmarkEnd w:id="3"/>
          </w:p>
        </w:tc>
      </w:tr>
      <w:tr w:rsidR="00690C7B" w:rsidRPr="00CA5AFC" w14:paraId="5A75FEC5" w14:textId="77777777" w:rsidTr="0050008E">
        <w:trPr>
          <w:cantSplit/>
        </w:trPr>
        <w:tc>
          <w:tcPr>
            <w:tcW w:w="10031" w:type="dxa"/>
            <w:gridSpan w:val="4"/>
          </w:tcPr>
          <w:p w14:paraId="6C0016C2" w14:textId="77777777" w:rsidR="00690C7B" w:rsidRPr="00CA5AFC" w:rsidRDefault="00690C7B" w:rsidP="00690C7B">
            <w:pPr>
              <w:pStyle w:val="Agendaitem"/>
              <w:rPr>
                <w:lang w:val="fr-FR"/>
              </w:rPr>
            </w:pPr>
            <w:bookmarkStart w:id="5" w:name="dtitle3" w:colFirst="0" w:colLast="0"/>
            <w:bookmarkEnd w:id="4"/>
            <w:r w:rsidRPr="00CA5AFC">
              <w:rPr>
                <w:lang w:val="fr-FR"/>
              </w:rPr>
              <w:t>Point 10 de l'ordre du jour</w:t>
            </w:r>
          </w:p>
        </w:tc>
      </w:tr>
    </w:tbl>
    <w:bookmarkEnd w:id="5"/>
    <w:p w14:paraId="7BBBB3CA" w14:textId="5AE518F9" w:rsidR="00CA5AFC" w:rsidRPr="00CA5AFC" w:rsidRDefault="001F491F" w:rsidP="002E6998">
      <w:r w:rsidRPr="00CA5AFC">
        <w:t>10</w:t>
      </w:r>
      <w:r w:rsidRPr="00CA5AFC">
        <w:tab/>
        <w:t>recommander au Conseil de l'UIT des points à inscrire à l'ordre du jour de la Conférence mondiale des radiocommunications suivante et des points de l'ordre du jour préliminaire de conférences futures, conformément à l'article 7 de la Convention de l'UIT et à la Résolution</w:t>
      </w:r>
      <w:r w:rsidR="00574B4F" w:rsidRPr="00CA5AFC">
        <w:t> </w:t>
      </w:r>
      <w:r w:rsidRPr="00CA5AFC">
        <w:rPr>
          <w:b/>
        </w:rPr>
        <w:t>804</w:t>
      </w:r>
      <w:r w:rsidR="00574B4F" w:rsidRPr="00CA5AFC">
        <w:rPr>
          <w:b/>
        </w:rPr>
        <w:t> </w:t>
      </w:r>
      <w:r w:rsidRPr="00CA5AFC">
        <w:rPr>
          <w:b/>
        </w:rPr>
        <w:t>(Rév.CMR-19)</w:t>
      </w:r>
      <w:r w:rsidRPr="00CA5AFC">
        <w:t>,</w:t>
      </w:r>
    </w:p>
    <w:p w14:paraId="6AED3F9F" w14:textId="5602C808" w:rsidR="003A583E" w:rsidRPr="00CA5AFC" w:rsidRDefault="000441ED" w:rsidP="00B7368E">
      <w:pPr>
        <w:pStyle w:val="Headingb"/>
      </w:pPr>
      <w:r w:rsidRPr="00CA5AFC">
        <w:t>Considérations générales</w:t>
      </w:r>
    </w:p>
    <w:p w14:paraId="3E15C351" w14:textId="2F500757" w:rsidR="00B7368E" w:rsidRPr="00CA5AFC" w:rsidRDefault="00B7368E" w:rsidP="003E2BAA">
      <w:r w:rsidRPr="00CA5AFC">
        <w:t>Aux termes du point 10 de l'ordre du jour, il est demandé à la CMR-23 de recommander au Conseil des points à inscrire à l'ordre du jour de la CMR-27 et d'exposer ses vues sur l'ordre du jour préliminaire de la conférence ultérieure ainsi que sur des points éventuels à inscrire à l'ordre du jour de conférences futures, conformément à l'article 7 de la</w:t>
      </w:r>
      <w:r w:rsidR="0065299E" w:rsidRPr="00CA5AFC">
        <w:t xml:space="preserve"> </w:t>
      </w:r>
      <w:r w:rsidRPr="00CA5AFC">
        <w:t>Convention de l'UIT et à la Résolution</w:t>
      </w:r>
      <w:r w:rsidR="00CF1D68" w:rsidRPr="00CA5AFC">
        <w:t> </w:t>
      </w:r>
      <w:r w:rsidRPr="00CA5AFC">
        <w:rPr>
          <w:b/>
        </w:rPr>
        <w:t>804</w:t>
      </w:r>
      <w:r w:rsidR="00CF1D68" w:rsidRPr="00CA5AFC">
        <w:rPr>
          <w:b/>
        </w:rPr>
        <w:t> </w:t>
      </w:r>
      <w:r w:rsidRPr="00CA5AFC">
        <w:rPr>
          <w:b/>
        </w:rPr>
        <w:t>(Rév.CMR</w:t>
      </w:r>
      <w:r w:rsidRPr="00CA5AFC">
        <w:rPr>
          <w:b/>
        </w:rPr>
        <w:noBreakHyphen/>
        <w:t>19)</w:t>
      </w:r>
      <w:r w:rsidRPr="00CA5AFC">
        <w:t>.</w:t>
      </w:r>
      <w:r w:rsidR="00ED1B02" w:rsidRPr="00CA5AFC">
        <w:t xml:space="preserve"> Fin 2022, </w:t>
      </w:r>
      <w:r w:rsidR="001027D8" w:rsidRPr="00CA5AFC">
        <w:t>d</w:t>
      </w:r>
      <w:r w:rsidR="00ED1B02" w:rsidRPr="00CA5AFC">
        <w:t xml:space="preserve">es opérateurs de satellites, </w:t>
      </w:r>
      <w:r w:rsidR="001027D8" w:rsidRPr="00CA5AFC">
        <w:t>d</w:t>
      </w:r>
      <w:r w:rsidR="00ED1B02" w:rsidRPr="00CA5AFC">
        <w:t xml:space="preserve">es opérateurs de réseau mobile, </w:t>
      </w:r>
      <w:r w:rsidR="001027D8" w:rsidRPr="00CA5AFC">
        <w:t>d</w:t>
      </w:r>
      <w:r w:rsidR="00ED1B02" w:rsidRPr="00CA5AFC">
        <w:t xml:space="preserve">es fabricants de puces et de dispositifs mobiles et </w:t>
      </w:r>
      <w:r w:rsidR="001027D8" w:rsidRPr="00CA5AFC">
        <w:t>d</w:t>
      </w:r>
      <w:r w:rsidR="00ED1B02" w:rsidRPr="00CA5AFC">
        <w:t xml:space="preserve">es fabricants d'infrastructures ont annoncé </w:t>
      </w:r>
      <w:r w:rsidR="007D7A24" w:rsidRPr="00CA5AFC">
        <w:t xml:space="preserve">des collaborations et </w:t>
      </w:r>
      <w:r w:rsidR="00ED1B02" w:rsidRPr="00CA5AFC">
        <w:t xml:space="preserve">des projets </w:t>
      </w:r>
      <w:r w:rsidR="007D7A24" w:rsidRPr="00CA5AFC">
        <w:t xml:space="preserve">visant à </w:t>
      </w:r>
      <w:r w:rsidR="00433C64" w:rsidRPr="00CA5AFC">
        <w:t xml:space="preserve">développer et </w:t>
      </w:r>
      <w:r w:rsidR="007D7A24" w:rsidRPr="00CA5AFC">
        <w:t xml:space="preserve">à </w:t>
      </w:r>
      <w:r w:rsidR="00433C64" w:rsidRPr="00CA5AFC">
        <w:t>déployer des</w:t>
      </w:r>
      <w:r w:rsidR="00ED1B02" w:rsidRPr="00CA5AFC">
        <w:t xml:space="preserve"> technologies </w:t>
      </w:r>
      <w:r w:rsidR="001027D8" w:rsidRPr="00CA5AFC">
        <w:t>destinées aux</w:t>
      </w:r>
      <w:r w:rsidR="00ED1B02" w:rsidRPr="00CA5AFC">
        <w:t xml:space="preserve"> applications </w:t>
      </w:r>
      <w:r w:rsidR="00433C64" w:rsidRPr="00CA5AFC">
        <w:t xml:space="preserve">prévues </w:t>
      </w:r>
      <w:r w:rsidR="00ED1B02" w:rsidRPr="00CA5AFC">
        <w:t>pour la composante satellite de</w:t>
      </w:r>
      <w:r w:rsidR="00B214E6" w:rsidRPr="00CA5AFC">
        <w:t xml:space="preserve">s </w:t>
      </w:r>
      <w:r w:rsidR="00ED1B02" w:rsidRPr="00CA5AFC">
        <w:t xml:space="preserve">IMT-2020. Dans certains pays, </w:t>
      </w:r>
      <w:r w:rsidR="00F97C61" w:rsidRPr="00CA5AFC">
        <w:t>d</w:t>
      </w:r>
      <w:r w:rsidR="00ED1B02" w:rsidRPr="00CA5AFC">
        <w:t xml:space="preserve">es opérateurs de satellites et </w:t>
      </w:r>
      <w:r w:rsidR="00F97C61" w:rsidRPr="00CA5AFC">
        <w:t>d</w:t>
      </w:r>
      <w:r w:rsidR="00ED1B02" w:rsidRPr="00CA5AFC">
        <w:t xml:space="preserve">es fabricants </w:t>
      </w:r>
      <w:r w:rsidR="00B214E6" w:rsidRPr="00CA5AFC">
        <w:t>de dispositifs</w:t>
      </w:r>
      <w:r w:rsidR="00ED1B02" w:rsidRPr="00CA5AFC">
        <w:t xml:space="preserve"> ont </w:t>
      </w:r>
      <w:r w:rsidR="00DC4577" w:rsidRPr="00CA5AFC">
        <w:t>franchi une première étape</w:t>
      </w:r>
      <w:r w:rsidR="00ED1B02" w:rsidRPr="00CA5AFC">
        <w:t xml:space="preserve"> et lancé des applications de messagerie </w:t>
      </w:r>
      <w:r w:rsidR="00EC2A3B" w:rsidRPr="00CA5AFC">
        <w:t xml:space="preserve">qui fonctionnent </w:t>
      </w:r>
      <w:r w:rsidR="00240F17" w:rsidRPr="00CA5AFC">
        <w:t xml:space="preserve">moyennant une connexion directe entre les </w:t>
      </w:r>
      <w:r w:rsidR="00EC2A3B" w:rsidRPr="00CA5AFC">
        <w:t>dispositifs mobiles</w:t>
      </w:r>
      <w:r w:rsidR="00FB54D6" w:rsidRPr="00CA5AFC">
        <w:t xml:space="preserve"> de Terre</w:t>
      </w:r>
      <w:r w:rsidR="00240F17" w:rsidRPr="00CA5AFC">
        <w:t xml:space="preserve"> et les satellites</w:t>
      </w:r>
      <w:r w:rsidR="00ED1B02" w:rsidRPr="00CA5AFC">
        <w:t xml:space="preserve">. Ces applications </w:t>
      </w:r>
      <w:r w:rsidR="00CA4DF5" w:rsidRPr="00CA5AFC">
        <w:t>de connexion directe aux dispositifs</w:t>
      </w:r>
      <w:r w:rsidR="00ED1B02" w:rsidRPr="00CA5AFC">
        <w:t xml:space="preserve"> </w:t>
      </w:r>
      <w:r w:rsidR="00ED1B02" w:rsidRPr="00CA5AFC">
        <w:rPr>
          <w:i/>
          <w:iCs/>
        </w:rPr>
        <w:t>(</w:t>
      </w:r>
      <w:r w:rsidR="00CA4DF5" w:rsidRPr="00CA5AFC">
        <w:rPr>
          <w:i/>
          <w:iCs/>
        </w:rPr>
        <w:t xml:space="preserve">direct-to-device, </w:t>
      </w:r>
      <w:r w:rsidR="00ED1B02" w:rsidRPr="00CA5AFC">
        <w:rPr>
          <w:i/>
          <w:iCs/>
        </w:rPr>
        <w:t>D2D)</w:t>
      </w:r>
      <w:r w:rsidR="00ED1B02" w:rsidRPr="00CA5AFC">
        <w:t xml:space="preserve"> sont des précurseurs qui </w:t>
      </w:r>
      <w:r w:rsidR="00E507BC" w:rsidRPr="00CA5AFC">
        <w:t>valide</w:t>
      </w:r>
      <w:r w:rsidR="007D7A24" w:rsidRPr="00CA5AFC">
        <w:t>nt</w:t>
      </w:r>
      <w:r w:rsidR="00E507BC" w:rsidRPr="00CA5AFC">
        <w:t xml:space="preserve"> </w:t>
      </w:r>
      <w:r w:rsidR="00ED1B02" w:rsidRPr="00CA5AFC">
        <w:t xml:space="preserve">les cas d'utilisation et </w:t>
      </w:r>
      <w:r w:rsidR="007D7A24" w:rsidRPr="00CA5AFC">
        <w:t xml:space="preserve">la </w:t>
      </w:r>
      <w:r w:rsidR="00ED1B02" w:rsidRPr="00CA5AFC">
        <w:t xml:space="preserve">demande croissante </w:t>
      </w:r>
      <w:r w:rsidR="00E507BC" w:rsidRPr="00CA5AFC">
        <w:t xml:space="preserve">de systèmes </w:t>
      </w:r>
      <w:r w:rsidR="00240F17" w:rsidRPr="00CA5AFC">
        <w:t xml:space="preserve">à satellites </w:t>
      </w:r>
      <w:r w:rsidR="00E507BC" w:rsidRPr="00CA5AFC">
        <w:t>IMT-2020,</w:t>
      </w:r>
      <w:r w:rsidR="00ED1B02" w:rsidRPr="00CA5AFC">
        <w:t xml:space="preserve"> pour </w:t>
      </w:r>
      <w:r w:rsidR="007C393B" w:rsidRPr="00CA5AFC">
        <w:t>le</w:t>
      </w:r>
      <w:r w:rsidR="00ED1B02" w:rsidRPr="00CA5AFC">
        <w:t xml:space="preserve"> </w:t>
      </w:r>
      <w:r w:rsidR="00E507BC" w:rsidRPr="00CA5AFC">
        <w:t>large bande</w:t>
      </w:r>
      <w:r w:rsidR="00ED1B02" w:rsidRPr="00CA5AFC">
        <w:t xml:space="preserve"> mobile</w:t>
      </w:r>
      <w:r w:rsidR="007C393B" w:rsidRPr="00CA5AFC">
        <w:t xml:space="preserve"> évolué</w:t>
      </w:r>
      <w:r w:rsidR="00ED1B02" w:rsidRPr="00CA5AFC">
        <w:t xml:space="preserve">, les communications à haute fiabilité et les communications massives </w:t>
      </w:r>
      <w:r w:rsidR="00484987" w:rsidRPr="00CA5AFC">
        <w:t>de type machine</w:t>
      </w:r>
      <w:r w:rsidR="00ED1B02" w:rsidRPr="00CA5AFC">
        <w:t>. La composante satellite d</w:t>
      </w:r>
      <w:r w:rsidR="007C393B" w:rsidRPr="00CA5AFC">
        <w:t xml:space="preserve">es </w:t>
      </w:r>
      <w:r w:rsidR="00ED1B02" w:rsidRPr="00CA5AFC">
        <w:t>IMT-2020 peut être utilisée pour</w:t>
      </w:r>
      <w:r w:rsidR="002A1D61" w:rsidRPr="00CA5AFC">
        <w:t xml:space="preserve"> </w:t>
      </w:r>
      <w:r w:rsidR="00A2791F" w:rsidRPr="00CA5AFC">
        <w:t>assurer</w:t>
      </w:r>
      <w:r w:rsidR="00066411" w:rsidRPr="00CA5AFC">
        <w:t>:</w:t>
      </w:r>
    </w:p>
    <w:p w14:paraId="1415EF92" w14:textId="4CE349BC" w:rsidR="00B7368E" w:rsidRPr="00CA5AFC" w:rsidRDefault="00B7368E" w:rsidP="00CF1D68">
      <w:pPr>
        <w:pStyle w:val="enumlev1"/>
      </w:pPr>
      <w:r w:rsidRPr="00CA5AFC">
        <w:t>–</w:t>
      </w:r>
      <w:r w:rsidRPr="00CA5AFC">
        <w:tab/>
      </w:r>
      <w:r w:rsidR="00A2791F" w:rsidRPr="00CA5AFC">
        <w:t>Une c</w:t>
      </w:r>
      <w:r w:rsidR="00E86520" w:rsidRPr="00CA5AFC">
        <w:t>onnectivité mondiale aux dispositifs d'utilisateur final.</w:t>
      </w:r>
    </w:p>
    <w:p w14:paraId="5D1FBEAE" w14:textId="778E1782" w:rsidR="00B7368E" w:rsidRPr="00CA5AFC" w:rsidRDefault="00B7368E" w:rsidP="00CF1D68">
      <w:pPr>
        <w:pStyle w:val="enumlev1"/>
      </w:pPr>
      <w:r w:rsidRPr="00CA5AFC">
        <w:t>–</w:t>
      </w:r>
      <w:r w:rsidRPr="00CA5AFC">
        <w:tab/>
      </w:r>
      <w:r w:rsidR="00BA0E12" w:rsidRPr="00CA5AFC">
        <w:t>La r</w:t>
      </w:r>
      <w:r w:rsidR="00E86520" w:rsidRPr="00CA5AFC">
        <w:t>ésilience du réseau grâce à une disponibilité élevée associée à une haute fiabilité.</w:t>
      </w:r>
    </w:p>
    <w:p w14:paraId="6ED948FB" w14:textId="353E7C93" w:rsidR="00B7368E" w:rsidRPr="00CA5AFC" w:rsidRDefault="00B7368E" w:rsidP="00CF1D68">
      <w:pPr>
        <w:pStyle w:val="enumlev1"/>
      </w:pPr>
      <w:r w:rsidRPr="00CA5AFC">
        <w:t>–</w:t>
      </w:r>
      <w:r w:rsidRPr="00CA5AFC">
        <w:tab/>
      </w:r>
      <w:r w:rsidR="00BA0E12" w:rsidRPr="00CA5AFC">
        <w:t>U</w:t>
      </w:r>
      <w:r w:rsidR="00B71DF4" w:rsidRPr="00CA5AFC">
        <w:t>ne c</w:t>
      </w:r>
      <w:r w:rsidR="00E86520" w:rsidRPr="00CA5AFC">
        <w:t>onnectivité à des fins de transport.</w:t>
      </w:r>
    </w:p>
    <w:p w14:paraId="49768EDE" w14:textId="1D2BB418" w:rsidR="00B7368E" w:rsidRPr="00CA5AFC" w:rsidRDefault="00B7368E" w:rsidP="00CF1D68">
      <w:pPr>
        <w:pStyle w:val="enumlev1"/>
      </w:pPr>
      <w:r w:rsidRPr="00CA5AFC">
        <w:t>–</w:t>
      </w:r>
      <w:r w:rsidRPr="00CA5AFC">
        <w:tab/>
      </w:r>
      <w:r w:rsidR="00B71DF4" w:rsidRPr="00CA5AFC">
        <w:t>Des i</w:t>
      </w:r>
      <w:r w:rsidR="00E86520" w:rsidRPr="00CA5AFC">
        <w:t xml:space="preserve">nterventions en cas d'urgence et </w:t>
      </w:r>
      <w:r w:rsidR="00BA0E12" w:rsidRPr="00CA5AFC">
        <w:t>au service de</w:t>
      </w:r>
      <w:r w:rsidR="00E86520" w:rsidRPr="00CA5AFC">
        <w:t xml:space="preserve"> la sécurité du public.</w:t>
      </w:r>
    </w:p>
    <w:p w14:paraId="4D412103" w14:textId="20B4C796" w:rsidR="00B7368E" w:rsidRPr="00CA5AFC" w:rsidRDefault="00B7368E" w:rsidP="00CF1D68">
      <w:pPr>
        <w:pStyle w:val="enumlev1"/>
      </w:pPr>
      <w:r w:rsidRPr="00CA5AFC">
        <w:t>–</w:t>
      </w:r>
      <w:r w:rsidRPr="00CA5AFC">
        <w:tab/>
      </w:r>
      <w:r w:rsidR="00B71DF4" w:rsidRPr="00CA5AFC">
        <w:t>La f</w:t>
      </w:r>
      <w:r w:rsidR="00E86520" w:rsidRPr="00CA5AFC">
        <w:t>ourniture de contenus en mode diffusion ou multidiffusion aux dispositifs d'utilisateur final.</w:t>
      </w:r>
    </w:p>
    <w:p w14:paraId="42F01495" w14:textId="604CD32C" w:rsidR="00B7368E" w:rsidRPr="00CA5AFC" w:rsidRDefault="00B56519" w:rsidP="003E2BAA">
      <w:r w:rsidRPr="00CA5AFC">
        <w:lastRenderedPageBreak/>
        <w:t xml:space="preserve">L'utilité du service mobile par satellite (SMS) dans les bandes de fréquences </w:t>
      </w:r>
      <w:r w:rsidR="00A7325C" w:rsidRPr="00CA5AFC">
        <w:t>cibles</w:t>
      </w:r>
      <w:r w:rsidRPr="00CA5AFC">
        <w:t xml:space="preserve">, la proximité de ces bandes de fréquences par rapport aux bandes de fréquences existantes identifiées pour la composante satellite et la composante de Terre des IMT-2020, </w:t>
      </w:r>
      <w:r w:rsidR="00A7325C" w:rsidRPr="00CA5AFC">
        <w:t>les avantages découlant</w:t>
      </w:r>
      <w:r w:rsidRPr="00CA5AFC">
        <w:t xml:space="preserve"> des attributions et des identifications à l'échelle mondiale pour des services </w:t>
      </w:r>
      <w:r w:rsidR="00E55D21" w:rsidRPr="00CA5AFC">
        <w:t>mondiaux</w:t>
      </w:r>
      <w:r w:rsidRPr="00CA5AFC">
        <w:t xml:space="preserve"> tels que le SMS et la composante satellite des IMT-2020, </w:t>
      </w:r>
      <w:r w:rsidR="00F41875" w:rsidRPr="00CA5AFC">
        <w:t xml:space="preserve">sont autant </w:t>
      </w:r>
      <w:r w:rsidR="001B0F1C" w:rsidRPr="00CA5AFC">
        <w:t>d</w:t>
      </w:r>
      <w:r w:rsidR="005E4777" w:rsidRPr="00CA5AFC">
        <w:t>'</w:t>
      </w:r>
      <w:r w:rsidR="001B0F1C" w:rsidRPr="00CA5AFC">
        <w:t xml:space="preserve">éléments qui donnent clairement à penser </w:t>
      </w:r>
      <w:r w:rsidRPr="00CA5AFC">
        <w:t xml:space="preserve">qu'un point doit être inscrit à l'ordre du jour de la CMR-27 et que </w:t>
      </w:r>
      <w:r w:rsidR="001B0F1C" w:rsidRPr="00CA5AFC">
        <w:t xml:space="preserve">la suite qui sera donnée à ce point contribuera </w:t>
      </w:r>
      <w:r w:rsidR="00C46AF4" w:rsidRPr="00CA5AFC">
        <w:t>utilement</w:t>
      </w:r>
      <w:r w:rsidR="001B0F1C" w:rsidRPr="00CA5AFC">
        <w:t xml:space="preserve"> </w:t>
      </w:r>
      <w:r w:rsidR="008158BF" w:rsidRPr="00CA5AFC">
        <w:t>à la</w:t>
      </w:r>
      <w:r w:rsidRPr="00CA5AFC">
        <w:t xml:space="preserve"> réalisation des Objectifs de développement durable </w:t>
      </w:r>
      <w:r w:rsidR="001B0F1C" w:rsidRPr="00CA5AFC">
        <w:t xml:space="preserve">des </w:t>
      </w:r>
      <w:r w:rsidRPr="00CA5AFC">
        <w:t xml:space="preserve">Nations Unies </w:t>
      </w:r>
      <w:r w:rsidR="001B0F1C" w:rsidRPr="00CA5AFC">
        <w:t xml:space="preserve">auxquels répond </w:t>
      </w:r>
      <w:r w:rsidRPr="00CA5AFC">
        <w:t>l'UIT</w:t>
      </w:r>
      <w:r w:rsidR="001B0F1C" w:rsidRPr="00CA5AFC">
        <w:t>(</w:t>
      </w:r>
      <w:r w:rsidR="00D67E02" w:rsidRPr="00CA5AFC">
        <w:t>«</w:t>
      </w:r>
      <w:r w:rsidR="00A74548" w:rsidRPr="00CA5AFC">
        <w:t>é</w:t>
      </w:r>
      <w:r w:rsidRPr="00CA5AFC">
        <w:t xml:space="preserve">nergie propre et </w:t>
      </w:r>
      <w:r w:rsidR="00A74548" w:rsidRPr="00CA5AFC">
        <w:t>d'</w:t>
      </w:r>
      <w:r w:rsidRPr="00CA5AFC">
        <w:t>un coût abordable</w:t>
      </w:r>
      <w:r w:rsidR="00D67E02" w:rsidRPr="00CA5AFC">
        <w:t>»</w:t>
      </w:r>
      <w:r w:rsidR="001B0F1C" w:rsidRPr="00CA5AFC">
        <w:t>,</w:t>
      </w:r>
      <w:r w:rsidRPr="00CA5AFC">
        <w:t xml:space="preserve"> </w:t>
      </w:r>
      <w:r w:rsidR="00D67E02" w:rsidRPr="00CA5AFC">
        <w:t>«</w:t>
      </w:r>
      <w:r w:rsidR="00A74548" w:rsidRPr="00CA5AFC">
        <w:t>consommation et production</w:t>
      </w:r>
      <w:r w:rsidRPr="00CA5AFC">
        <w:t xml:space="preserve"> responsables</w:t>
      </w:r>
      <w:r w:rsidR="00D67E02" w:rsidRPr="00CA5AFC">
        <w:t>»</w:t>
      </w:r>
      <w:r w:rsidRPr="00CA5AFC">
        <w:t xml:space="preserve"> </w:t>
      </w:r>
      <w:r w:rsidR="00D67E02" w:rsidRPr="00CA5AFC">
        <w:t>«</w:t>
      </w:r>
      <w:r w:rsidR="00A74548" w:rsidRPr="00CA5AFC">
        <w:t>lutte contre les changements climatiques</w:t>
      </w:r>
      <w:r w:rsidR="00D67E02" w:rsidRPr="00CA5AFC">
        <w:t>»</w:t>
      </w:r>
      <w:r w:rsidR="001B0F1C" w:rsidRPr="00CA5AFC">
        <w:t xml:space="preserve"> et</w:t>
      </w:r>
      <w:r w:rsidR="00A74548" w:rsidRPr="00CA5AFC">
        <w:t xml:space="preserve"> </w:t>
      </w:r>
      <w:r w:rsidR="00D67E02" w:rsidRPr="00CA5AFC">
        <w:t>«</w:t>
      </w:r>
      <w:r w:rsidRPr="00CA5AFC">
        <w:t>villes et communautés durables</w:t>
      </w:r>
      <w:r w:rsidR="00D67E02" w:rsidRPr="00CA5AFC">
        <w:t>»</w:t>
      </w:r>
      <w:r w:rsidR="001B0F1C" w:rsidRPr="00CA5AFC">
        <w:t>, notamment)</w:t>
      </w:r>
      <w:r w:rsidRPr="00CA5AFC">
        <w:t>.</w:t>
      </w:r>
      <w:r w:rsidR="00434952" w:rsidRPr="00CA5AFC">
        <w:t xml:space="preserve"> Dans la présente contribution, il est proposé d'inscrire un nouveau point à l'ordre du jour de la CMR-27 afin «d'envisager l'attribution à titre primaire des bandes de fréquences 2</w:t>
      </w:r>
      <w:r w:rsidR="003E2BAA" w:rsidRPr="00CA5AFC">
        <w:t> </w:t>
      </w:r>
      <w:r w:rsidR="00434952" w:rsidRPr="00CA5AFC">
        <w:t>010</w:t>
      </w:r>
      <w:r w:rsidR="003E2BAA" w:rsidRPr="00CA5AFC">
        <w:noBreakHyphen/>
      </w:r>
      <w:r w:rsidR="00434952" w:rsidRPr="00CA5AFC">
        <w:t>2</w:t>
      </w:r>
      <w:r w:rsidR="003E2BAA" w:rsidRPr="00CA5AFC">
        <w:t> </w:t>
      </w:r>
      <w:r w:rsidR="00434952" w:rsidRPr="00CA5AFC">
        <w:t xml:space="preserve">025 MHz (Terre vers espace) et 2 160-2 170 MHz (espace vers Terre) </w:t>
      </w:r>
      <w:r w:rsidR="00897B35" w:rsidRPr="00CA5AFC">
        <w:t>dans les</w:t>
      </w:r>
      <w:r w:rsidR="00434952" w:rsidRPr="00CA5AFC">
        <w:t xml:space="preserve"> Régions 1 et 3, et 2 200-2 215 MHZ (espace vers Terre) à l'échelle mondiale</w:t>
      </w:r>
      <w:r w:rsidR="00453C4A" w:rsidRPr="00CA5AFC">
        <w:t>,</w:t>
      </w:r>
      <w:r w:rsidR="001719EE" w:rsidRPr="00CA5AFC">
        <w:t xml:space="preserve"> au service mobile par satellite pour la composante satellite des IMT-2020».</w:t>
      </w:r>
    </w:p>
    <w:p w14:paraId="55FFD2A9" w14:textId="186F4602" w:rsidR="00B7368E" w:rsidRPr="00CA5AFC" w:rsidRDefault="001B0F1C" w:rsidP="00B7368E">
      <w:pPr>
        <w:pStyle w:val="Headingb"/>
      </w:pPr>
      <w:r w:rsidRPr="00CA5AFC">
        <w:t>V</w:t>
      </w:r>
      <w:r w:rsidR="00453C4A" w:rsidRPr="00CA5AFC">
        <w:t>ue</w:t>
      </w:r>
      <w:r w:rsidRPr="00CA5AFC">
        <w:t>s</w:t>
      </w:r>
      <w:r w:rsidR="00453C4A" w:rsidRPr="00CA5AFC">
        <w:t xml:space="preserve"> et propositions</w:t>
      </w:r>
    </w:p>
    <w:p w14:paraId="385C5CAD" w14:textId="2B595E6B" w:rsidR="00453C4A" w:rsidRPr="00CA5AFC" w:rsidRDefault="00453C4A" w:rsidP="003E2BAA">
      <w:r w:rsidRPr="00CA5AFC">
        <w:t>Les auteurs de la présente contribution proposent d'inscrire un nouveau point à l'ordre du jour de la CMR-27</w:t>
      </w:r>
      <w:r w:rsidR="00BA0E12" w:rsidRPr="00CA5AFC">
        <w:t>,</w:t>
      </w:r>
      <w:r w:rsidRPr="00CA5AFC">
        <w:t xml:space="preserve"> afin «d'envisager l'attribution à titre primaire des bandes de fréquences 2 010-2 025 MHz (Terre vers espace) et 2 160-2 170 MHz (espace vers Terre) </w:t>
      </w:r>
      <w:r w:rsidR="00897B35" w:rsidRPr="00CA5AFC">
        <w:t>dans les</w:t>
      </w:r>
      <w:r w:rsidRPr="00CA5AFC">
        <w:t xml:space="preserve"> Régions 1 et 3, et 2</w:t>
      </w:r>
      <w:r w:rsidR="00574B4F" w:rsidRPr="00CA5AFC">
        <w:t> </w:t>
      </w:r>
      <w:r w:rsidRPr="00CA5AFC">
        <w:t>200</w:t>
      </w:r>
      <w:r w:rsidR="00574B4F" w:rsidRPr="00CA5AFC">
        <w:noBreakHyphen/>
      </w:r>
      <w:r w:rsidRPr="00CA5AFC">
        <w:t>2</w:t>
      </w:r>
      <w:r w:rsidR="00574B4F" w:rsidRPr="00CA5AFC">
        <w:t> </w:t>
      </w:r>
      <w:r w:rsidRPr="00CA5AFC">
        <w:t>215</w:t>
      </w:r>
      <w:r w:rsidR="00574B4F" w:rsidRPr="00CA5AFC">
        <w:t> </w:t>
      </w:r>
      <w:r w:rsidRPr="00CA5AFC">
        <w:t>MH</w:t>
      </w:r>
      <w:r w:rsidR="00BA0E12" w:rsidRPr="00CA5AFC">
        <w:t>z</w:t>
      </w:r>
      <w:r w:rsidRPr="00CA5AFC">
        <w:t xml:space="preserve"> (espace vers Terre) à l'échelle mondiale, au service mobile par satellite pour la composante satellite des IMT-2020». On trouvera dans la </w:t>
      </w:r>
      <w:r w:rsidR="00AF1ADF" w:rsidRPr="00CA5AFC">
        <w:t>P</w:t>
      </w:r>
      <w:r w:rsidRPr="00CA5AFC">
        <w:t>ièce jointe ci-après des renseignements détaillés sur la proposition dans le format prescrit par l'UIT.</w:t>
      </w:r>
    </w:p>
    <w:p w14:paraId="2AAE9EB0" w14:textId="77777777" w:rsidR="0015203F" w:rsidRPr="00CA5AFC" w:rsidRDefault="0015203F">
      <w:pPr>
        <w:tabs>
          <w:tab w:val="clear" w:pos="1134"/>
          <w:tab w:val="clear" w:pos="1871"/>
          <w:tab w:val="clear" w:pos="2268"/>
        </w:tabs>
        <w:overflowPunct/>
        <w:autoSpaceDE/>
        <w:autoSpaceDN/>
        <w:adjustRightInd/>
        <w:spacing w:before="0"/>
        <w:textAlignment w:val="auto"/>
      </w:pPr>
      <w:r w:rsidRPr="00CA5AFC">
        <w:br w:type="page"/>
      </w:r>
    </w:p>
    <w:p w14:paraId="080A9D62" w14:textId="77777777" w:rsidR="00E77E0C" w:rsidRPr="00CA5AFC" w:rsidRDefault="001F491F">
      <w:pPr>
        <w:pStyle w:val="Proposal"/>
      </w:pPr>
      <w:r w:rsidRPr="00CA5AFC">
        <w:lastRenderedPageBreak/>
        <w:t>ADD</w:t>
      </w:r>
      <w:r w:rsidRPr="00CA5AFC">
        <w:tab/>
        <w:t>PNG/186/1</w:t>
      </w:r>
    </w:p>
    <w:p w14:paraId="1A446B1B" w14:textId="4A8295E0" w:rsidR="00E77E0C" w:rsidRPr="00CA5AFC" w:rsidRDefault="00C472CF" w:rsidP="00B7368E">
      <w:pPr>
        <w:pStyle w:val="ResNo"/>
      </w:pPr>
      <w:r w:rsidRPr="00CA5AFC">
        <w:t xml:space="preserve">PROJET DE NOUVELLE RÉSOLUTION </w:t>
      </w:r>
      <w:r w:rsidRPr="00CA5AFC">
        <w:br/>
        <w:t>[PNG/WRC-27 AGENDA-XXX] (cmr-23)</w:t>
      </w:r>
    </w:p>
    <w:p w14:paraId="25B3432E" w14:textId="2AE2EED9" w:rsidR="00B7368E" w:rsidRPr="00CA5AFC" w:rsidRDefault="00B7368E" w:rsidP="00B7368E">
      <w:pPr>
        <w:pStyle w:val="Restitle"/>
      </w:pPr>
      <w:bookmarkStart w:id="6" w:name="_Toc35933926"/>
      <w:bookmarkStart w:id="7" w:name="_Toc39829408"/>
      <w:r w:rsidRPr="00CA5AFC">
        <w:t>Ordre du jour de la Conférence mondiale des radiocommunications de 202</w:t>
      </w:r>
      <w:bookmarkEnd w:id="6"/>
      <w:bookmarkEnd w:id="7"/>
      <w:r w:rsidRPr="00CA5AFC">
        <w:t>7</w:t>
      </w:r>
    </w:p>
    <w:p w14:paraId="27B556D6" w14:textId="694B9782" w:rsidR="00B7368E" w:rsidRPr="00CA5AFC" w:rsidRDefault="00B7368E" w:rsidP="00B7368E">
      <w:pPr>
        <w:pStyle w:val="Normalaftertitle"/>
      </w:pPr>
      <w:r w:rsidRPr="00CA5AFC">
        <w:t>La Conférence mondiale des radiocommunications (</w:t>
      </w:r>
      <w:r w:rsidRPr="00CA5AFC">
        <w:rPr>
          <w:szCs w:val="24"/>
        </w:rPr>
        <w:t>Dubaï, 20</w:t>
      </w:r>
      <w:r w:rsidR="007B2BD5" w:rsidRPr="00CA5AFC">
        <w:rPr>
          <w:szCs w:val="24"/>
        </w:rPr>
        <w:t>2</w:t>
      </w:r>
      <w:r w:rsidRPr="00CA5AFC">
        <w:rPr>
          <w:szCs w:val="24"/>
        </w:rPr>
        <w:t>3</w:t>
      </w:r>
      <w:r w:rsidRPr="00CA5AFC">
        <w:t>),</w:t>
      </w:r>
    </w:p>
    <w:p w14:paraId="4DCDAE9E" w14:textId="3A78FCD9" w:rsidR="00E77E0C" w:rsidRPr="00CA5AFC" w:rsidRDefault="00B7368E" w:rsidP="00B7368E">
      <w:r w:rsidRPr="00CA5AFC">
        <w:t>...</w:t>
      </w:r>
    </w:p>
    <w:p w14:paraId="4E88E008" w14:textId="66A87325" w:rsidR="00B7368E" w:rsidRPr="00CA5AFC" w:rsidRDefault="00B7368E" w:rsidP="00B7368E">
      <w:pPr>
        <w:pStyle w:val="Call"/>
      </w:pPr>
      <w:r w:rsidRPr="00CA5AFC">
        <w:t>décide</w:t>
      </w:r>
    </w:p>
    <w:p w14:paraId="67563DBD" w14:textId="1EE93233" w:rsidR="00B7368E" w:rsidRPr="00CA5AFC" w:rsidRDefault="00B7368E" w:rsidP="00B7368E">
      <w:r w:rsidRPr="00CA5AFC">
        <w:t>...</w:t>
      </w:r>
    </w:p>
    <w:p w14:paraId="73378CA4" w14:textId="4A0B9BC3" w:rsidR="00B7368E" w:rsidRPr="00CA5AFC" w:rsidRDefault="00B7368E" w:rsidP="00574B4F">
      <w:r w:rsidRPr="00CA5AFC">
        <w:t>1.X</w:t>
      </w:r>
      <w:r w:rsidRPr="00CA5AFC">
        <w:tab/>
      </w:r>
      <w:r w:rsidR="00C472CF" w:rsidRPr="00CA5AFC">
        <w:t xml:space="preserve">d'envisager l'attribution à titre primaire des bandes de fréquences 2 010-2 025 MHz (Terre vers espace) et 2 160-2 170 MHz (espace vers Terre) </w:t>
      </w:r>
      <w:r w:rsidR="00897B35" w:rsidRPr="00CA5AFC">
        <w:t>dans les</w:t>
      </w:r>
      <w:r w:rsidR="00C472CF" w:rsidRPr="00CA5AFC">
        <w:t xml:space="preserve"> Régions 1 et 3, et 2</w:t>
      </w:r>
      <w:r w:rsidR="0065299E" w:rsidRPr="00CA5AFC">
        <w:t> </w:t>
      </w:r>
      <w:r w:rsidR="00C472CF" w:rsidRPr="00CA5AFC">
        <w:t>200</w:t>
      </w:r>
      <w:r w:rsidR="0065299E" w:rsidRPr="00CA5AFC">
        <w:noBreakHyphen/>
      </w:r>
      <w:r w:rsidR="00C472CF" w:rsidRPr="00CA5AFC">
        <w:t>2</w:t>
      </w:r>
      <w:r w:rsidR="0065299E" w:rsidRPr="00CA5AFC">
        <w:t> </w:t>
      </w:r>
      <w:r w:rsidR="00C472CF" w:rsidRPr="00CA5AFC">
        <w:t>215</w:t>
      </w:r>
      <w:r w:rsidR="0065299E" w:rsidRPr="00CA5AFC">
        <w:t> </w:t>
      </w:r>
      <w:r w:rsidR="00C472CF" w:rsidRPr="00CA5AFC">
        <w:t xml:space="preserve">MHZ (espace vers Terre) à l'échelle mondiale, au service mobile par satellite pour la composante satellite des IMT-2020, conformément à la Résolution </w:t>
      </w:r>
      <w:r w:rsidR="00C472CF" w:rsidRPr="00CA5AFC">
        <w:rPr>
          <w:b/>
          <w:bCs/>
        </w:rPr>
        <w:t>[XXX] (Rév.CMR-23)</w:t>
      </w:r>
      <w:r w:rsidR="00C472CF" w:rsidRPr="00CA5AFC">
        <w:t>;</w:t>
      </w:r>
    </w:p>
    <w:p w14:paraId="7E76D3ED" w14:textId="21B81C3A" w:rsidR="00B7368E" w:rsidRPr="00CA5AFC" w:rsidRDefault="00B7368E" w:rsidP="00B7368E">
      <w:r w:rsidRPr="00CA5AFC">
        <w:t>...</w:t>
      </w:r>
    </w:p>
    <w:p w14:paraId="2F1FA5C1" w14:textId="77777777" w:rsidR="00B7368E" w:rsidRPr="00CA5AFC" w:rsidRDefault="00B7368E" w:rsidP="00B7368E">
      <w:pPr>
        <w:pStyle w:val="Reasons"/>
      </w:pPr>
    </w:p>
    <w:p w14:paraId="66B0CBFF" w14:textId="77777777" w:rsidR="00E77E0C" w:rsidRPr="00CA5AFC" w:rsidRDefault="001F491F">
      <w:pPr>
        <w:pStyle w:val="Proposal"/>
      </w:pPr>
      <w:r w:rsidRPr="00CA5AFC">
        <w:t>ADD</w:t>
      </w:r>
      <w:r w:rsidRPr="00CA5AFC">
        <w:tab/>
        <w:t>PNG/186/2</w:t>
      </w:r>
    </w:p>
    <w:p w14:paraId="278EE55B" w14:textId="261FBC9D" w:rsidR="00E77E0C" w:rsidRPr="00CA5AFC" w:rsidRDefault="00413FD2" w:rsidP="007B2BD5">
      <w:pPr>
        <w:pStyle w:val="ResNo"/>
      </w:pPr>
      <w:r w:rsidRPr="00CA5AFC">
        <w:t xml:space="preserve">PROJET DE NOUVELLE </w:t>
      </w:r>
      <w:r w:rsidR="00C10BF8" w:rsidRPr="00CA5AFC">
        <w:t>RÉsolution [xxx] (CMR-23)</w:t>
      </w:r>
    </w:p>
    <w:p w14:paraId="3001A73B" w14:textId="21B9CC19" w:rsidR="00E77E0C" w:rsidRPr="00CA5AFC" w:rsidRDefault="00C10BF8" w:rsidP="007B2BD5">
      <w:pPr>
        <w:pStyle w:val="Restitle"/>
      </w:pPr>
      <w:r w:rsidRPr="00CA5AFC">
        <w:t>Études sur les questions liées aux bandes de fréquences 2 010-2 025 MHz et 2</w:t>
      </w:r>
      <w:r w:rsidR="00413FD2" w:rsidRPr="00CA5AFC">
        <w:t> </w:t>
      </w:r>
      <w:r w:rsidRPr="00CA5AFC">
        <w:t xml:space="preserve">160-2 170 MHz dans les Régions 1 et 3, et 2 200-2 215 MHz à l'échelle mondiale, aux fins du développement futur des systèmes </w:t>
      </w:r>
      <w:r w:rsidR="00967A8B" w:rsidRPr="00CA5AFC">
        <w:t>mobiles</w:t>
      </w:r>
      <w:r w:rsidRPr="00CA5AFC">
        <w:t xml:space="preserve"> </w:t>
      </w:r>
      <w:r w:rsidR="00413FD2" w:rsidRPr="00CA5AFC">
        <w:br/>
      </w:r>
      <w:r w:rsidRPr="00CA5AFC">
        <w:t xml:space="preserve">par satellite et d'une identification pour la composante satellite </w:t>
      </w:r>
      <w:r w:rsidR="00413FD2" w:rsidRPr="00CA5AFC">
        <w:br/>
      </w:r>
      <w:r w:rsidRPr="00CA5AFC">
        <w:t>des Télécommunications mobiles internationales 2020</w:t>
      </w:r>
    </w:p>
    <w:p w14:paraId="70F746F6" w14:textId="50346882" w:rsidR="007B2BD5" w:rsidRPr="00CA5AFC" w:rsidRDefault="007B2BD5" w:rsidP="007B2BD5">
      <w:pPr>
        <w:pStyle w:val="Normalaftertitle"/>
      </w:pPr>
      <w:r w:rsidRPr="00CA5AFC">
        <w:t>La Conférence mondiale des radiocommunications (</w:t>
      </w:r>
      <w:r w:rsidRPr="00CA5AFC">
        <w:rPr>
          <w:szCs w:val="24"/>
        </w:rPr>
        <w:t>Dubaï, 2023</w:t>
      </w:r>
      <w:r w:rsidRPr="00CA5AFC">
        <w:t>),</w:t>
      </w:r>
    </w:p>
    <w:p w14:paraId="059A2C5B" w14:textId="3B6BB8C1" w:rsidR="007B2BD5" w:rsidRPr="00CA5AFC" w:rsidRDefault="007B2BD5" w:rsidP="00413FD2">
      <w:pPr>
        <w:pStyle w:val="Call"/>
      </w:pPr>
      <w:r w:rsidRPr="00CA5AFC">
        <w:t>considérant</w:t>
      </w:r>
    </w:p>
    <w:p w14:paraId="4B338834" w14:textId="17C5FE4D" w:rsidR="007B2BD5" w:rsidRPr="00CA5AFC" w:rsidRDefault="007B2BD5" w:rsidP="00574B4F">
      <w:r w:rsidRPr="00CA5AFC">
        <w:rPr>
          <w:i/>
          <w:iCs/>
        </w:rPr>
        <w:t>a)</w:t>
      </w:r>
      <w:r w:rsidRPr="00CA5AFC">
        <w:tab/>
      </w:r>
      <w:r w:rsidR="0068300B" w:rsidRPr="00CA5AFC">
        <w:t>que les Télécommunications mobiles internationales (IMT) comprennent une composante de Terre et une composante satellite</w:t>
      </w:r>
      <w:r w:rsidRPr="00CA5AFC">
        <w:t>;</w:t>
      </w:r>
    </w:p>
    <w:p w14:paraId="35E3AB3B" w14:textId="5CEAB7FE" w:rsidR="007B2BD5" w:rsidRPr="00CA5AFC" w:rsidRDefault="007B2BD5" w:rsidP="00574B4F">
      <w:r w:rsidRPr="00CA5AFC">
        <w:rPr>
          <w:i/>
          <w:iCs/>
        </w:rPr>
        <w:t>b)</w:t>
      </w:r>
      <w:r w:rsidRPr="00CA5AFC">
        <w:tab/>
      </w:r>
      <w:r w:rsidR="00492448" w:rsidRPr="00CA5AFC">
        <w:t>que les IMT sont destinées à fournir des services de télécommunication à l'échelle mondiale, quel que soit le lieu et le type de réseau ou de terminal</w:t>
      </w:r>
      <w:r w:rsidRPr="00CA5AFC">
        <w:t>;</w:t>
      </w:r>
    </w:p>
    <w:p w14:paraId="28998E3A" w14:textId="4B1CD203" w:rsidR="007B2BD5" w:rsidRPr="00CA5AFC" w:rsidRDefault="007B2BD5" w:rsidP="007B2BD5">
      <w:r w:rsidRPr="00CA5AFC">
        <w:rPr>
          <w:i/>
          <w:iCs/>
        </w:rPr>
        <w:t>c)</w:t>
      </w:r>
      <w:r w:rsidRPr="00CA5AFC">
        <w:tab/>
      </w:r>
      <w:r w:rsidR="00492448" w:rsidRPr="00CA5AFC">
        <w:t>que des systèmes par satellite ont été déployés pour fournir la composante satellite des IMT</w:t>
      </w:r>
      <w:r w:rsidRPr="00CA5AFC">
        <w:t>;</w:t>
      </w:r>
    </w:p>
    <w:p w14:paraId="103FFCC8" w14:textId="72B9779B" w:rsidR="007B2BD5" w:rsidRPr="00CA5AFC" w:rsidRDefault="007B2BD5" w:rsidP="00574B4F">
      <w:r w:rsidRPr="00CA5AFC">
        <w:rPr>
          <w:i/>
          <w:iCs/>
        </w:rPr>
        <w:t>d)</w:t>
      </w:r>
      <w:r w:rsidRPr="00CA5AFC">
        <w:tab/>
      </w:r>
      <w:r w:rsidR="00492448" w:rsidRPr="00CA5AFC">
        <w:t xml:space="preserve">que les communications </w:t>
      </w:r>
      <w:r w:rsidR="009C4EEA" w:rsidRPr="00CA5AFC">
        <w:t>via le</w:t>
      </w:r>
      <w:r w:rsidR="00492448" w:rsidRPr="00CA5AFC">
        <w:t xml:space="preserve"> service mobile par satellite (SMS) permettent de surmonter les difficultés d'ordre pratique et logistique liées aux installations </w:t>
      </w:r>
      <w:r w:rsidR="00A97BEA" w:rsidRPr="00CA5AFC">
        <w:t>de Ter</w:t>
      </w:r>
      <w:r w:rsidR="006C6D84" w:rsidRPr="00CA5AFC">
        <w:t>r</w:t>
      </w:r>
      <w:r w:rsidR="00A97BEA" w:rsidRPr="00CA5AFC">
        <w:t>e</w:t>
      </w:r>
      <w:r w:rsidRPr="00CA5AFC">
        <w:t>;</w:t>
      </w:r>
    </w:p>
    <w:p w14:paraId="79789487" w14:textId="739082D1" w:rsidR="007B2BD5" w:rsidRPr="00CA5AFC" w:rsidRDefault="007B2BD5" w:rsidP="00574B4F">
      <w:r w:rsidRPr="00CA5AFC">
        <w:rPr>
          <w:i/>
          <w:iCs/>
        </w:rPr>
        <w:t>e)</w:t>
      </w:r>
      <w:r w:rsidRPr="00CA5AFC">
        <w:tab/>
      </w:r>
      <w:r w:rsidR="00236B8B" w:rsidRPr="00CA5AFC">
        <w:t xml:space="preserve">que le SMS </w:t>
      </w:r>
      <w:r w:rsidR="00BA0E12" w:rsidRPr="00CA5AFC">
        <w:t>constitue</w:t>
      </w:r>
      <w:r w:rsidR="00236B8B" w:rsidRPr="00CA5AFC">
        <w:t xml:space="preserve"> une solution pratique, rentable et ayant fait ses preuves pour fournir des services de télécommunication dans les zones rurales et isolées</w:t>
      </w:r>
      <w:r w:rsidRPr="00CA5AFC">
        <w:t>;</w:t>
      </w:r>
    </w:p>
    <w:p w14:paraId="5ABFAC68" w14:textId="782EDB5C" w:rsidR="007B2BD5" w:rsidRPr="00CA5AFC" w:rsidRDefault="007B2BD5" w:rsidP="00574B4F">
      <w:r w:rsidRPr="00CA5AFC">
        <w:rPr>
          <w:i/>
          <w:iCs/>
        </w:rPr>
        <w:t>f)</w:t>
      </w:r>
      <w:r w:rsidRPr="00CA5AFC">
        <w:tab/>
      </w:r>
      <w:r w:rsidR="00913960" w:rsidRPr="00CA5AFC">
        <w:t xml:space="preserve">que les communications </w:t>
      </w:r>
      <w:r w:rsidR="00D21111" w:rsidRPr="00CA5AFC">
        <w:t>via le</w:t>
      </w:r>
      <w:r w:rsidR="00913960" w:rsidRPr="00CA5AFC">
        <w:t xml:space="preserve"> SMS contribuent au développement économique et social à l'échelle mondiale, en particulier dans les zones isolées et </w:t>
      </w:r>
      <w:r w:rsidR="00C26236" w:rsidRPr="00CA5AFC">
        <w:t>les collectivités</w:t>
      </w:r>
      <w:r w:rsidR="00913960" w:rsidRPr="00CA5AFC">
        <w:t xml:space="preserve"> rurales</w:t>
      </w:r>
      <w:r w:rsidRPr="00CA5AFC">
        <w:t>;</w:t>
      </w:r>
    </w:p>
    <w:p w14:paraId="14599D0D" w14:textId="47E4BF51" w:rsidR="007B2BD5" w:rsidRPr="00CA5AFC" w:rsidRDefault="007B2BD5" w:rsidP="007B2BD5">
      <w:r w:rsidRPr="00CA5AFC">
        <w:rPr>
          <w:i/>
          <w:iCs/>
        </w:rPr>
        <w:lastRenderedPageBreak/>
        <w:t>g)</w:t>
      </w:r>
      <w:r w:rsidRPr="00CA5AFC">
        <w:tab/>
      </w:r>
      <w:r w:rsidR="00913960" w:rsidRPr="00CA5AFC">
        <w:t xml:space="preserve">que les communications </w:t>
      </w:r>
      <w:r w:rsidR="00E261AB" w:rsidRPr="00CA5AFC">
        <w:t>via le</w:t>
      </w:r>
      <w:r w:rsidR="00913960" w:rsidRPr="00CA5AFC">
        <w:t xml:space="preserve"> SMS </w:t>
      </w:r>
      <w:r w:rsidR="00E261AB" w:rsidRPr="00CA5AFC">
        <w:t>sont</w:t>
      </w:r>
      <w:r w:rsidR="00913960" w:rsidRPr="00CA5AFC">
        <w:t xml:space="preserve"> un moyen efficace de réduire la fracture numérique</w:t>
      </w:r>
      <w:r w:rsidRPr="00CA5AFC">
        <w:t>;</w:t>
      </w:r>
    </w:p>
    <w:p w14:paraId="68854DD5" w14:textId="635600CB" w:rsidR="007B2BD5" w:rsidRPr="00CA5AFC" w:rsidRDefault="007B2BD5" w:rsidP="00574B4F">
      <w:r w:rsidRPr="00CA5AFC">
        <w:rPr>
          <w:i/>
          <w:iCs/>
        </w:rPr>
        <w:t>h)</w:t>
      </w:r>
      <w:r w:rsidRPr="00CA5AFC">
        <w:tab/>
      </w:r>
      <w:r w:rsidR="00913960" w:rsidRPr="00CA5AFC">
        <w:t>que le Projet de partenariat de troisième génération (3GPP)</w:t>
      </w:r>
      <w:r w:rsidR="00574635" w:rsidRPr="00CA5AFC">
        <w:t xml:space="preserve"> a élaboré avec succès la spécification relative aux réseaux autres que de Terre (</w:t>
      </w:r>
      <w:r w:rsidR="00574635" w:rsidRPr="00CA5AFC">
        <w:rPr>
          <w:i/>
          <w:iCs/>
        </w:rPr>
        <w:t>non-terrestrial networks, NTN</w:t>
      </w:r>
      <w:r w:rsidR="00574635" w:rsidRPr="00CA5AFC">
        <w:t>) f</w:t>
      </w:r>
      <w:r w:rsidR="00650AD3" w:rsidRPr="00CA5AFC">
        <w:t>onctionnant</w:t>
      </w:r>
      <w:r w:rsidR="00574635" w:rsidRPr="00CA5AFC">
        <w:t xml:space="preserve"> sur un réseau 5G New Radio dans la </w:t>
      </w:r>
      <w:r w:rsidR="009543D8" w:rsidRPr="00CA5AFC">
        <w:t>v</w:t>
      </w:r>
      <w:r w:rsidR="00574635" w:rsidRPr="00CA5AFC">
        <w:t xml:space="preserve">ersion 17 et qu'il procède à des améliorations en vue de la </w:t>
      </w:r>
      <w:r w:rsidR="009543D8" w:rsidRPr="00CA5AFC">
        <w:t>publication de la v</w:t>
      </w:r>
      <w:r w:rsidR="00574635" w:rsidRPr="00CA5AFC">
        <w:t>ersion 18</w:t>
      </w:r>
      <w:r w:rsidRPr="00CA5AFC">
        <w:t>;</w:t>
      </w:r>
    </w:p>
    <w:p w14:paraId="1CD57C99" w14:textId="6C29AD83" w:rsidR="007B2BD5" w:rsidRPr="00CA5AFC" w:rsidRDefault="007B2BD5" w:rsidP="00574B4F">
      <w:r w:rsidRPr="00CA5AFC">
        <w:rPr>
          <w:i/>
          <w:iCs/>
        </w:rPr>
        <w:t>i)</w:t>
      </w:r>
      <w:r w:rsidRPr="00CA5AFC">
        <w:tab/>
      </w:r>
      <w:r w:rsidR="00003BF7" w:rsidRPr="00CA5AFC">
        <w:t xml:space="preserve">que </w:t>
      </w:r>
      <w:r w:rsidR="00574635" w:rsidRPr="00CA5AFC">
        <w:t xml:space="preserve">les réseaux NTN </w:t>
      </w:r>
      <w:r w:rsidR="00650AD3" w:rsidRPr="00CA5AFC">
        <w:t>fonctionnant</w:t>
      </w:r>
      <w:r w:rsidR="00574635" w:rsidRPr="00CA5AFC">
        <w:t xml:space="preserve"> sur un réseau 5G New Radio </w:t>
      </w:r>
      <w:r w:rsidR="005F4D51" w:rsidRPr="00CA5AFC">
        <w:t>devraient</w:t>
      </w:r>
      <w:r w:rsidR="00CD75E6" w:rsidRPr="00CA5AFC">
        <w:t xml:space="preserve"> être</w:t>
      </w:r>
      <w:r w:rsidR="00574635" w:rsidRPr="00CA5AFC">
        <w:t xml:space="preserve"> </w:t>
      </w:r>
      <w:r w:rsidR="00003BF7" w:rsidRPr="00CA5AFC">
        <w:t xml:space="preserve">utilisés comme </w:t>
      </w:r>
      <w:r w:rsidR="00574635" w:rsidRPr="00CA5AFC">
        <w:t>technologies d'accès radioélectrique pour la composante satellite des IMT-2020</w:t>
      </w:r>
      <w:r w:rsidRPr="00CA5AFC">
        <w:t>;</w:t>
      </w:r>
    </w:p>
    <w:p w14:paraId="56F39332" w14:textId="1460A801" w:rsidR="007B2BD5" w:rsidRPr="00CA5AFC" w:rsidRDefault="007B2BD5" w:rsidP="00574B4F">
      <w:r w:rsidRPr="00CA5AFC">
        <w:rPr>
          <w:i/>
          <w:iCs/>
        </w:rPr>
        <w:t>j)</w:t>
      </w:r>
      <w:r w:rsidRPr="00CA5AFC">
        <w:tab/>
      </w:r>
      <w:r w:rsidR="004244EF" w:rsidRPr="00CA5AFC">
        <w:t xml:space="preserve">que la composante satellite des IMT-2020 offrira divers scénarios d'utilisation, </w:t>
      </w:r>
      <w:r w:rsidR="00C34809" w:rsidRPr="00CA5AFC">
        <w:t xml:space="preserve">notamment des variantes satellitaires du large bande mobile évolué, des communications massives de type machine et des catégories de services de communication ultra-fiables et </w:t>
      </w:r>
      <w:r w:rsidR="00E9428D" w:rsidRPr="00CA5AFC">
        <w:t xml:space="preserve">de communications par satellite </w:t>
      </w:r>
      <w:r w:rsidR="00042FBE" w:rsidRPr="00CA5AFC">
        <w:t>à haute fiabilité</w:t>
      </w:r>
      <w:r w:rsidRPr="00CA5AFC">
        <w:t>;</w:t>
      </w:r>
    </w:p>
    <w:p w14:paraId="374CC08D" w14:textId="4E1F4F53" w:rsidR="007B2BD5" w:rsidRPr="00CA5AFC" w:rsidRDefault="007B2BD5" w:rsidP="00574B4F">
      <w:r w:rsidRPr="00CA5AFC">
        <w:rPr>
          <w:i/>
          <w:iCs/>
        </w:rPr>
        <w:t>k)</w:t>
      </w:r>
      <w:r w:rsidRPr="00CA5AFC">
        <w:tab/>
      </w:r>
      <w:r w:rsidR="005F7A08" w:rsidRPr="00CA5AFC">
        <w:t xml:space="preserve">que des bandes de fréquences contiguës pour la composante satellite des IMT permettront d'améliorer l'efficacité </w:t>
      </w:r>
      <w:r w:rsidR="00C93BBA" w:rsidRPr="00CA5AFC">
        <w:t>de la gestion</w:t>
      </w:r>
      <w:r w:rsidR="005F7A08" w:rsidRPr="00CA5AFC">
        <w:t xml:space="preserve"> du spectre</w:t>
      </w:r>
      <w:r w:rsidRPr="00CA5AFC">
        <w:t>;</w:t>
      </w:r>
    </w:p>
    <w:p w14:paraId="14CA29E7" w14:textId="71835585" w:rsidR="007B2BD5" w:rsidRPr="00CA5AFC" w:rsidRDefault="007B2BD5" w:rsidP="00574B4F">
      <w:r w:rsidRPr="00CA5AFC">
        <w:rPr>
          <w:i/>
          <w:iCs/>
        </w:rPr>
        <w:t>l)</w:t>
      </w:r>
      <w:r w:rsidRPr="00CA5AFC">
        <w:tab/>
      </w:r>
      <w:r w:rsidR="00A27891" w:rsidRPr="00CA5AFC">
        <w:t xml:space="preserve">que le nombre de systèmes </w:t>
      </w:r>
      <w:r w:rsidR="005A5511" w:rsidRPr="00CA5AFC">
        <w:t>mobiles</w:t>
      </w:r>
      <w:r w:rsidR="00A27891" w:rsidRPr="00CA5AFC">
        <w:t xml:space="preserve"> par satellite augmente et que la demande de </w:t>
      </w:r>
      <w:r w:rsidR="00D9373D" w:rsidRPr="00CA5AFC">
        <w:t xml:space="preserve">fréquences </w:t>
      </w:r>
      <w:r w:rsidR="00A27891" w:rsidRPr="00CA5AFC">
        <w:t xml:space="preserve">pour des attributions appropriées au SMS </w:t>
      </w:r>
      <w:r w:rsidR="00272057" w:rsidRPr="00CA5AFC">
        <w:t>ne cesse de croître</w:t>
      </w:r>
      <w:r w:rsidRPr="00CA5AFC">
        <w:t>;</w:t>
      </w:r>
    </w:p>
    <w:p w14:paraId="2B253147" w14:textId="05FC1154" w:rsidR="007B2BD5" w:rsidRPr="00CA5AFC" w:rsidRDefault="007B2BD5" w:rsidP="00574B4F">
      <w:r w:rsidRPr="00CA5AFC">
        <w:rPr>
          <w:i/>
          <w:iCs/>
        </w:rPr>
        <w:t>m)</w:t>
      </w:r>
      <w:r w:rsidRPr="00CA5AFC">
        <w:tab/>
      </w:r>
      <w:r w:rsidRPr="00CA5AFC">
        <w:rPr>
          <w:color w:val="000000"/>
        </w:rPr>
        <w:t>qu'il est nécessaire de disposer d'une réglementation bien établie concernant le spectre disponible aux fins de la conception et de la planification des stations par satellite et des stations terriennes</w:t>
      </w:r>
      <w:r w:rsidRPr="00CA5AFC">
        <w:t>,</w:t>
      </w:r>
    </w:p>
    <w:p w14:paraId="323176EB" w14:textId="0BA55562" w:rsidR="007B2BD5" w:rsidRPr="00CA5AFC" w:rsidRDefault="007B2BD5" w:rsidP="007B2BD5">
      <w:pPr>
        <w:pStyle w:val="Call"/>
      </w:pPr>
      <w:r w:rsidRPr="00CA5AFC">
        <w:t>notant</w:t>
      </w:r>
    </w:p>
    <w:p w14:paraId="60C9365D" w14:textId="18C1C6BD" w:rsidR="007B2BD5" w:rsidRPr="00CA5AFC" w:rsidRDefault="007B2BD5" w:rsidP="00574B4F">
      <w:r w:rsidRPr="00CA5AFC">
        <w:rPr>
          <w:i/>
          <w:iCs/>
        </w:rPr>
        <w:t>a)</w:t>
      </w:r>
      <w:r w:rsidRPr="00CA5AFC">
        <w:tab/>
      </w:r>
      <w:r w:rsidR="0022485D" w:rsidRPr="00CA5AFC">
        <w:t xml:space="preserve">que le </w:t>
      </w:r>
      <w:r w:rsidR="00413FD2" w:rsidRPr="00CA5AFC">
        <w:t>R</w:t>
      </w:r>
      <w:r w:rsidR="0022485D" w:rsidRPr="00CA5AFC">
        <w:t>apport UIT-R M.2514-0 intitulé «Vision, spécifications et lignes directrices relatives à l'évaluation de l'interface (des interfaces) radioélectrique(s) de satellite pour les IMT</w:t>
      </w:r>
      <w:r w:rsidR="00413FD2" w:rsidRPr="00CA5AFC">
        <w:noBreakHyphen/>
      </w:r>
      <w:r w:rsidR="0022485D" w:rsidRPr="00CA5AFC">
        <w:t>2020» a été adopté</w:t>
      </w:r>
      <w:r w:rsidRPr="00CA5AFC">
        <w:t>;</w:t>
      </w:r>
    </w:p>
    <w:p w14:paraId="4A9B3013" w14:textId="54C8726D" w:rsidR="007B2BD5" w:rsidRPr="00CA5AFC" w:rsidRDefault="007B2BD5" w:rsidP="00574B4F">
      <w:r w:rsidRPr="00CA5AFC">
        <w:rPr>
          <w:i/>
          <w:iCs/>
        </w:rPr>
        <w:t>b)</w:t>
      </w:r>
      <w:r w:rsidRPr="00CA5AFC">
        <w:tab/>
      </w:r>
      <w:r w:rsidR="0022485D" w:rsidRPr="00CA5AFC">
        <w:t xml:space="preserve">que l'UIT-R met actuellement en œuvre un processus permettant d'évaluer </w:t>
      </w:r>
      <w:r w:rsidR="006D3BD6" w:rsidRPr="00CA5AFC">
        <w:t>l</w:t>
      </w:r>
      <w:r w:rsidR="0022485D" w:rsidRPr="00CA5AFC">
        <w:t>es technologie</w:t>
      </w:r>
      <w:r w:rsidR="00003BF7" w:rsidRPr="00CA5AFC">
        <w:t>s</w:t>
      </w:r>
      <w:r w:rsidR="0022485D" w:rsidRPr="00CA5AFC">
        <w:t xml:space="preserve"> d'accès radioélectrique proposées pour la composante satellite des IMT, qui devrait </w:t>
      </w:r>
      <w:r w:rsidR="006D3BD6" w:rsidRPr="00CA5AFC">
        <w:t>s'achever</w:t>
      </w:r>
      <w:r w:rsidR="0022485D" w:rsidRPr="00CA5AFC">
        <w:t xml:space="preserve"> d'ici à 2025</w:t>
      </w:r>
      <w:r w:rsidRPr="00CA5AFC">
        <w:t>,</w:t>
      </w:r>
    </w:p>
    <w:p w14:paraId="362814F3" w14:textId="3BB893FE" w:rsidR="007B2BD5" w:rsidRPr="00CA5AFC" w:rsidRDefault="007B2BD5" w:rsidP="007B2BD5">
      <w:pPr>
        <w:pStyle w:val="Call"/>
      </w:pPr>
      <w:r w:rsidRPr="00CA5AFC">
        <w:t>reconnaissant</w:t>
      </w:r>
    </w:p>
    <w:p w14:paraId="07C6F296" w14:textId="535D5752" w:rsidR="007B2BD5" w:rsidRPr="00CA5AFC" w:rsidRDefault="007B2BD5" w:rsidP="00574B4F">
      <w:pPr>
        <w:rPr>
          <w:i/>
          <w:iCs/>
        </w:rPr>
      </w:pPr>
      <w:r w:rsidRPr="00CA5AFC">
        <w:rPr>
          <w:i/>
          <w:iCs/>
        </w:rPr>
        <w:t>a)</w:t>
      </w:r>
      <w:r w:rsidRPr="00CA5AFC">
        <w:rPr>
          <w:i/>
          <w:iCs/>
        </w:rPr>
        <w:tab/>
      </w:r>
      <w:r w:rsidR="0022485D" w:rsidRPr="00CA5AFC">
        <w:t xml:space="preserve">que, conformément au numéro </w:t>
      </w:r>
      <w:r w:rsidR="0022485D" w:rsidRPr="00CA5AFC">
        <w:rPr>
          <w:b/>
          <w:bCs/>
        </w:rPr>
        <w:t xml:space="preserve">5.388 </w:t>
      </w:r>
      <w:r w:rsidR="0022485D" w:rsidRPr="00CA5AFC">
        <w:t>du RR, l</w:t>
      </w:r>
      <w:r w:rsidRPr="00CA5AFC">
        <w:t>es bandes de fréquences 1</w:t>
      </w:r>
      <w:r w:rsidR="00413FD2" w:rsidRPr="00CA5AFC">
        <w:t> </w:t>
      </w:r>
      <w:r w:rsidRPr="00CA5AFC">
        <w:t>885</w:t>
      </w:r>
      <w:r w:rsidRPr="00CA5AFC">
        <w:rPr>
          <w:b/>
        </w:rPr>
        <w:t>-</w:t>
      </w:r>
      <w:r w:rsidRPr="00CA5AFC">
        <w:t>2</w:t>
      </w:r>
      <w:r w:rsidR="00413FD2" w:rsidRPr="00CA5AFC">
        <w:t> </w:t>
      </w:r>
      <w:r w:rsidRPr="00CA5AFC">
        <w:t>025 MHz et 2</w:t>
      </w:r>
      <w:r w:rsidR="00413FD2" w:rsidRPr="00CA5AFC">
        <w:t> </w:t>
      </w:r>
      <w:r w:rsidRPr="00CA5AFC">
        <w:t>110</w:t>
      </w:r>
      <w:r w:rsidRPr="00CA5AFC">
        <w:rPr>
          <w:b/>
        </w:rPr>
        <w:t>-</w:t>
      </w:r>
      <w:r w:rsidRPr="00CA5AFC">
        <w:t>2</w:t>
      </w:r>
      <w:r w:rsidR="00413FD2" w:rsidRPr="00CA5AFC">
        <w:t> </w:t>
      </w:r>
      <w:r w:rsidRPr="00CA5AFC">
        <w:t xml:space="preserve">200 MHz sont destinées à être utilisées, à l'échelle mondiale, par les administrations qui souhaitent mettre en œuvre les </w:t>
      </w:r>
      <w:r w:rsidR="0022485D" w:rsidRPr="00CA5AFC">
        <w:t>IMT, que c</w:t>
      </w:r>
      <w:r w:rsidRPr="00CA5AFC">
        <w:t>ette utilisation n'exclut pas l'utilisation de ces bandes de fréquences par d'autres services auxquels elles sont attribuées</w:t>
      </w:r>
      <w:r w:rsidR="0022485D" w:rsidRPr="00CA5AFC">
        <w:t xml:space="preserve"> et que l</w:t>
      </w:r>
      <w:r w:rsidRPr="00CA5AFC">
        <w:t>es bandes de fréquences devraient être mises à la disposition des IMT conformément aux dispositions de la Résolution </w:t>
      </w:r>
      <w:r w:rsidRPr="00CA5AFC">
        <w:rPr>
          <w:b/>
          <w:bCs/>
        </w:rPr>
        <w:t>212</w:t>
      </w:r>
      <w:r w:rsidR="00733B9C" w:rsidRPr="00CA5AFC">
        <w:rPr>
          <w:b/>
          <w:bCs/>
        </w:rPr>
        <w:t> </w:t>
      </w:r>
      <w:r w:rsidRPr="00CA5AFC">
        <w:rPr>
          <w:b/>
          <w:bCs/>
        </w:rPr>
        <w:t>(Rév.CMR-19)</w:t>
      </w:r>
      <w:r w:rsidRPr="00CA5AFC">
        <w:t>;</w:t>
      </w:r>
    </w:p>
    <w:p w14:paraId="6AC687E2" w14:textId="07AF4E90" w:rsidR="007B2BD5" w:rsidRPr="00CA5AFC" w:rsidRDefault="007B2BD5" w:rsidP="00574B4F">
      <w:r w:rsidRPr="00CA5AFC">
        <w:rPr>
          <w:i/>
          <w:iCs/>
        </w:rPr>
        <w:t>b)</w:t>
      </w:r>
      <w:r w:rsidRPr="00CA5AFC">
        <w:tab/>
      </w:r>
      <w:r w:rsidR="004D468E" w:rsidRPr="00CA5AFC">
        <w:t>que la bande de fréquences 2 010-2 025 MHz est attribuée au SMS à titre primaire pour l'exploitation dans le sens Terre vers espace en Région 2</w:t>
      </w:r>
      <w:r w:rsidRPr="00CA5AFC">
        <w:t>;</w:t>
      </w:r>
    </w:p>
    <w:p w14:paraId="5D57DD17" w14:textId="241DEC66" w:rsidR="007B2BD5" w:rsidRPr="00CA5AFC" w:rsidRDefault="007B2BD5" w:rsidP="00574B4F">
      <w:r w:rsidRPr="00CA5AFC">
        <w:rPr>
          <w:i/>
          <w:iCs/>
        </w:rPr>
        <w:t>c)</w:t>
      </w:r>
      <w:r w:rsidRPr="00CA5AFC">
        <w:tab/>
      </w:r>
      <w:r w:rsidR="004D468E" w:rsidRPr="00CA5AFC">
        <w:t xml:space="preserve">que la bande de fréquences </w:t>
      </w:r>
      <w:r w:rsidR="00E27730" w:rsidRPr="00CA5AFC">
        <w:t xml:space="preserve">2 160-2 170 </w:t>
      </w:r>
      <w:r w:rsidR="004D468E" w:rsidRPr="00CA5AFC">
        <w:t xml:space="preserve">MHz est attribuée au SMS à titre primaire pour l'exploitation dans le sens </w:t>
      </w:r>
      <w:r w:rsidR="00E27730" w:rsidRPr="00CA5AFC">
        <w:t>espace vers Terre</w:t>
      </w:r>
      <w:r w:rsidR="004D468E" w:rsidRPr="00CA5AFC">
        <w:t xml:space="preserve"> en Région 2</w:t>
      </w:r>
      <w:r w:rsidRPr="00CA5AFC">
        <w:t>;</w:t>
      </w:r>
    </w:p>
    <w:p w14:paraId="0EC99C17" w14:textId="29D65C2C" w:rsidR="007B2BD5" w:rsidRPr="00CA5AFC" w:rsidRDefault="007B2BD5" w:rsidP="007B2BD5">
      <w:r w:rsidRPr="00CA5AFC">
        <w:rPr>
          <w:i/>
          <w:iCs/>
        </w:rPr>
        <w:t>d)</w:t>
      </w:r>
      <w:r w:rsidRPr="00CA5AFC">
        <w:tab/>
        <w:t>que la composante de Terre et la composante satellite des IMT ont déjà été déployées, ou que leur déploiement est envisagé, dans les bandes de fréquences 1 885</w:t>
      </w:r>
      <w:r w:rsidRPr="00CA5AFC">
        <w:rPr>
          <w:caps/>
        </w:rPr>
        <w:t>-</w:t>
      </w:r>
      <w:r w:rsidRPr="00CA5AFC">
        <w:t>2 025 MHz et 2 110</w:t>
      </w:r>
      <w:r w:rsidRPr="00CA5AFC">
        <w:rPr>
          <w:caps/>
        </w:rPr>
        <w:noBreakHyphen/>
      </w:r>
      <w:r w:rsidRPr="00CA5AFC">
        <w:t>2 200 MHz;</w:t>
      </w:r>
    </w:p>
    <w:p w14:paraId="6775E4F0" w14:textId="6C3282F9" w:rsidR="007B2BD5" w:rsidRPr="00CA5AFC" w:rsidRDefault="007B2BD5" w:rsidP="00574B4F">
      <w:r w:rsidRPr="00CA5AFC">
        <w:rPr>
          <w:i/>
          <w:iCs/>
        </w:rPr>
        <w:t>e)</w:t>
      </w:r>
      <w:r w:rsidRPr="00CA5AFC">
        <w:tab/>
      </w:r>
      <w:r w:rsidR="00FD3A39" w:rsidRPr="00CA5AFC">
        <w:t>que les bandes de fréquences 2 010-2 025 MHz, 2 160-2 170 MHz et 2 200-2 215 MHz sont adjacentes aux bandes attribuées à titre primaire au SMS et</w:t>
      </w:r>
      <w:r w:rsidR="00D147BE" w:rsidRPr="00CA5AFC">
        <w:t xml:space="preserve"> qu'elles sont </w:t>
      </w:r>
      <w:r w:rsidR="00FD3A39" w:rsidRPr="00CA5AFC">
        <w:t>identifiées pour la composante satellite des IMT-2020</w:t>
      </w:r>
      <w:r w:rsidRPr="00CA5AFC">
        <w:t>;</w:t>
      </w:r>
    </w:p>
    <w:p w14:paraId="30DCA913" w14:textId="37207962" w:rsidR="007B2BD5" w:rsidRPr="00CA5AFC" w:rsidRDefault="007B2BD5" w:rsidP="007B2BD5">
      <w:pPr>
        <w:rPr>
          <w:color w:val="000000"/>
        </w:rPr>
      </w:pPr>
      <w:r w:rsidRPr="00CA5AFC">
        <w:rPr>
          <w:i/>
          <w:iCs/>
        </w:rPr>
        <w:lastRenderedPageBreak/>
        <w:t>f)</w:t>
      </w:r>
      <w:r w:rsidRPr="00CA5AFC">
        <w:tab/>
      </w:r>
      <w:r w:rsidR="00640B89" w:rsidRPr="00CA5AFC">
        <w:rPr>
          <w:color w:val="000000"/>
        </w:rPr>
        <w:t>que la mise en œuvre des applications dans le cadre de la nouvelle attribution éventuelle au SMS ne devrait pas imposer de contraintes aux autres services existants qui disposent d'attributions à titre primaire dans les bandes de fréquences considérées et dans les bandes de fréquences adjacentes et sont exploités conformément au Règlement des radiocommunications,</w:t>
      </w:r>
    </w:p>
    <w:p w14:paraId="1492186F" w14:textId="77777777" w:rsidR="00640B89" w:rsidRPr="00CA5AFC" w:rsidRDefault="00640B89" w:rsidP="00640B89">
      <w:pPr>
        <w:pStyle w:val="Call"/>
      </w:pPr>
      <w:r w:rsidRPr="00CA5AFC">
        <w:t>décide d'inviter le Secteur des radiocommunications de l'UIT</w:t>
      </w:r>
    </w:p>
    <w:p w14:paraId="43C00ABA" w14:textId="3FABC77E" w:rsidR="00640B89" w:rsidRPr="00CA5AFC" w:rsidRDefault="00640B89" w:rsidP="00574B4F">
      <w:r w:rsidRPr="00CA5AFC">
        <w:t>1</w:t>
      </w:r>
      <w:r w:rsidRPr="00CA5AFC">
        <w:tab/>
        <w:t>à mener et à achever, à temps pour la CMR-2</w:t>
      </w:r>
      <w:r w:rsidR="009C459D" w:rsidRPr="00CA5AFC">
        <w:t>7</w:t>
      </w:r>
      <w:r w:rsidRPr="00CA5AFC">
        <w:t xml:space="preserve">, les études appropriées sur les questions d'ordre technique, opérationnel et réglementaire relatives à la possibilité d'utiliser la composante </w:t>
      </w:r>
      <w:r w:rsidR="009C459D" w:rsidRPr="00CA5AFC">
        <w:t xml:space="preserve">satellite </w:t>
      </w:r>
      <w:r w:rsidRPr="00CA5AFC">
        <w:t xml:space="preserve">des IMT dans les bandes de fréquences </w:t>
      </w:r>
      <w:r w:rsidR="009C459D" w:rsidRPr="00CA5AFC">
        <w:t>2 010-2 025 MHz (Régions 1 et 3), 2</w:t>
      </w:r>
      <w:r w:rsidR="00733B9C" w:rsidRPr="00CA5AFC">
        <w:t> </w:t>
      </w:r>
      <w:r w:rsidR="009C459D" w:rsidRPr="00CA5AFC">
        <w:t>160</w:t>
      </w:r>
      <w:r w:rsidR="00733B9C" w:rsidRPr="00CA5AFC">
        <w:noBreakHyphen/>
      </w:r>
      <w:r w:rsidR="009C459D" w:rsidRPr="00CA5AFC">
        <w:t>2</w:t>
      </w:r>
      <w:r w:rsidR="00733B9C" w:rsidRPr="00CA5AFC">
        <w:t> </w:t>
      </w:r>
      <w:r w:rsidR="009C459D" w:rsidRPr="00CA5AFC">
        <w:t>170</w:t>
      </w:r>
      <w:r w:rsidR="00733B9C" w:rsidRPr="00CA5AFC">
        <w:t> </w:t>
      </w:r>
      <w:r w:rsidR="009C459D" w:rsidRPr="00CA5AFC">
        <w:t>MHz (Régions 1 et 3) et 2 200-2 215 MHz</w:t>
      </w:r>
      <w:r w:rsidRPr="00CA5AFC">
        <w:rPr>
          <w:szCs w:val="24"/>
        </w:rPr>
        <w:t xml:space="preserve">, </w:t>
      </w:r>
      <w:r w:rsidRPr="00CA5AFC">
        <w:t>en tenant compte:</w:t>
      </w:r>
    </w:p>
    <w:p w14:paraId="39686873" w14:textId="09820F1C" w:rsidR="00640B89" w:rsidRPr="00CA5AFC" w:rsidRDefault="00640B89" w:rsidP="00574B4F">
      <w:pPr>
        <w:pStyle w:val="enumlev1"/>
        <w:rPr>
          <w:lang w:eastAsia="ko-KR"/>
        </w:rPr>
      </w:pPr>
      <w:r w:rsidRPr="00CA5AFC">
        <w:rPr>
          <w:lang w:eastAsia="ko-KR"/>
        </w:rPr>
        <w:t>–</w:t>
      </w:r>
      <w:r w:rsidRPr="00CA5AFC">
        <w:rPr>
          <w:lang w:eastAsia="ko-KR"/>
        </w:rPr>
        <w:tab/>
        <w:t xml:space="preserve">de l'évolution des besoins pour répondre aux nouvelles exigences relatives </w:t>
      </w:r>
      <w:r w:rsidR="00EE7931" w:rsidRPr="00CA5AFC">
        <w:rPr>
          <w:lang w:eastAsia="ko-KR"/>
        </w:rPr>
        <w:t>à la composante satellite des</w:t>
      </w:r>
      <w:r w:rsidRPr="00CA5AFC">
        <w:rPr>
          <w:lang w:eastAsia="ko-KR"/>
        </w:rPr>
        <w:t xml:space="preserve"> IMT</w:t>
      </w:r>
      <w:r w:rsidR="007641D2" w:rsidRPr="00CA5AFC">
        <w:rPr>
          <w:lang w:eastAsia="ko-KR"/>
        </w:rPr>
        <w:t>-2020</w:t>
      </w:r>
      <w:r w:rsidRPr="00CA5AFC">
        <w:rPr>
          <w:lang w:eastAsia="ko-KR"/>
        </w:rPr>
        <w:t>;</w:t>
      </w:r>
    </w:p>
    <w:p w14:paraId="757BC650" w14:textId="35322CC4" w:rsidR="00640B89" w:rsidRPr="00CA5AFC" w:rsidRDefault="00640B89" w:rsidP="00574B4F">
      <w:pPr>
        <w:pStyle w:val="enumlev1"/>
        <w:rPr>
          <w:lang w:eastAsia="ko-KR"/>
        </w:rPr>
      </w:pPr>
      <w:r w:rsidRPr="00CA5AFC">
        <w:rPr>
          <w:lang w:eastAsia="ko-KR"/>
        </w:rPr>
        <w:t>–</w:t>
      </w:r>
      <w:r w:rsidRPr="00CA5AFC">
        <w:rPr>
          <w:lang w:eastAsia="ko-KR"/>
        </w:rPr>
        <w:tab/>
        <w:t xml:space="preserve">des caractéristiques techniques et opérationnelles </w:t>
      </w:r>
      <w:r w:rsidR="00B642D6" w:rsidRPr="00CA5AFC">
        <w:rPr>
          <w:lang w:eastAsia="ko-KR"/>
        </w:rPr>
        <w:t>des systèmes à satellites</w:t>
      </w:r>
      <w:r w:rsidRPr="00CA5AFC">
        <w:rPr>
          <w:lang w:eastAsia="ko-KR"/>
        </w:rPr>
        <w:t xml:space="preserve"> IMT</w:t>
      </w:r>
      <w:r w:rsidR="004414F7" w:rsidRPr="00CA5AFC">
        <w:rPr>
          <w:lang w:eastAsia="ko-KR"/>
        </w:rPr>
        <w:t>-2020</w:t>
      </w:r>
      <w:r w:rsidRPr="00CA5AFC">
        <w:rPr>
          <w:lang w:eastAsia="ko-KR"/>
        </w:rPr>
        <w:t xml:space="preserve"> qui fonctionneraient dans ces bandes de fréquences spécifiques, y compris de l'évolution des </w:t>
      </w:r>
      <w:r w:rsidR="004414F7" w:rsidRPr="00CA5AFC">
        <w:rPr>
          <w:lang w:eastAsia="ko-KR"/>
        </w:rPr>
        <w:t xml:space="preserve">satellites </w:t>
      </w:r>
      <w:r w:rsidRPr="00CA5AFC">
        <w:rPr>
          <w:lang w:eastAsia="ko-KR"/>
        </w:rPr>
        <w:t>IMT</w:t>
      </w:r>
      <w:r w:rsidR="004414F7" w:rsidRPr="00CA5AFC">
        <w:rPr>
          <w:lang w:eastAsia="ko-KR"/>
        </w:rPr>
        <w:t>-2020</w:t>
      </w:r>
      <w:r w:rsidRPr="00CA5AFC">
        <w:rPr>
          <w:lang w:eastAsia="ko-KR"/>
        </w:rPr>
        <w:t xml:space="preserve"> grâce aux progrès technologiques et aux techniques à grande efficacité spectrale;</w:t>
      </w:r>
    </w:p>
    <w:p w14:paraId="2873D04B" w14:textId="0003E10D" w:rsidR="00640B89" w:rsidRPr="00CA5AFC" w:rsidRDefault="00640B89" w:rsidP="00574B4F">
      <w:pPr>
        <w:pStyle w:val="enumlev1"/>
      </w:pPr>
      <w:r w:rsidRPr="00CA5AFC">
        <w:t>–</w:t>
      </w:r>
      <w:r w:rsidRPr="00CA5AFC">
        <w:tab/>
        <w:t>des scénarios de déploiement envisagés pour les systèmes</w:t>
      </w:r>
      <w:r w:rsidR="004414F7" w:rsidRPr="00CA5AFC">
        <w:t xml:space="preserve"> à satellites</w:t>
      </w:r>
      <w:r w:rsidRPr="00CA5AFC">
        <w:t xml:space="preserve"> IMT</w:t>
      </w:r>
      <w:r w:rsidR="004414F7" w:rsidRPr="00CA5AFC">
        <w:t>-2020</w:t>
      </w:r>
      <w:r w:rsidRPr="00CA5AFC">
        <w:t xml:space="preserve"> et des exigences liées à l'équilibre entre la couverture et la capacité;</w:t>
      </w:r>
    </w:p>
    <w:p w14:paraId="7E0A9001" w14:textId="77777777" w:rsidR="00640B89" w:rsidRPr="00CA5AFC" w:rsidRDefault="00640B89" w:rsidP="00574B4F">
      <w:pPr>
        <w:pStyle w:val="enumlev1"/>
      </w:pPr>
      <w:r w:rsidRPr="00CA5AFC">
        <w:t>–</w:t>
      </w:r>
      <w:r w:rsidRPr="00CA5AFC">
        <w:tab/>
        <w:t>des besoins des pays en développement;</w:t>
      </w:r>
    </w:p>
    <w:p w14:paraId="7643707E" w14:textId="77777777" w:rsidR="00640B89" w:rsidRPr="00CA5AFC" w:rsidRDefault="00640B89" w:rsidP="00574B4F">
      <w:pPr>
        <w:pStyle w:val="enumlev1"/>
      </w:pPr>
      <w:r w:rsidRPr="00CA5AFC">
        <w:rPr>
          <w:lang w:eastAsia="ko-KR"/>
        </w:rPr>
        <w:t>–</w:t>
      </w:r>
      <w:r w:rsidRPr="00CA5AFC">
        <w:rPr>
          <w:lang w:eastAsia="ko-KR"/>
        </w:rPr>
        <w:tab/>
        <w:t>des délais dans lesquels les bandes de fréquences seraient nécessaires;</w:t>
      </w:r>
    </w:p>
    <w:p w14:paraId="025747C6" w14:textId="78254A50" w:rsidR="00640B89" w:rsidRPr="00CA5AFC" w:rsidRDefault="00640B89" w:rsidP="00574B4F">
      <w:r w:rsidRPr="00CA5AFC">
        <w:t>2</w:t>
      </w:r>
      <w:r w:rsidRPr="00CA5AFC">
        <w:tab/>
        <w:t>à mener et à achever, à temps pour la CMR-2</w:t>
      </w:r>
      <w:r w:rsidR="004414F7" w:rsidRPr="00CA5AFC">
        <w:t>7</w:t>
      </w:r>
      <w:r w:rsidRPr="00CA5AFC">
        <w:t xml:space="preserve">, </w:t>
      </w:r>
      <w:r w:rsidR="004414F7" w:rsidRPr="00CA5AFC">
        <w:t>l</w:t>
      </w:r>
      <w:r w:rsidRPr="00CA5AFC">
        <w:t>es études de partage et de compatibilité</w:t>
      </w:r>
      <w:r w:rsidR="004414F7" w:rsidRPr="00CA5AFC">
        <w:t xml:space="preserve"> appropriées</w:t>
      </w:r>
      <w:r w:rsidRPr="00CA5AFC">
        <w:rPr>
          <w:iCs/>
        </w:rPr>
        <w:t xml:space="preserve">, </w:t>
      </w:r>
      <w:r w:rsidRPr="00CA5AFC">
        <w:t xml:space="preserve">en vue de garantir la protection des services </w:t>
      </w:r>
      <w:r w:rsidR="007641D2" w:rsidRPr="00CA5AFC">
        <w:t xml:space="preserve">existants bénéficiant d'attributions à titre primaire dans </w:t>
      </w:r>
      <w:r w:rsidRPr="00CA5AFC">
        <w:t>l</w:t>
      </w:r>
      <w:r w:rsidR="008A4AEC" w:rsidRPr="00CA5AFC">
        <w:t>es bandes de fréquences 2 010-2 025 MHz (Régions 1 et 3), 2 160-2 170 MHz et 2</w:t>
      </w:r>
      <w:r w:rsidR="00574B4F" w:rsidRPr="00CA5AFC">
        <w:t> </w:t>
      </w:r>
      <w:r w:rsidR="008A4AEC" w:rsidRPr="00CA5AFC">
        <w:t>200-2 215 MHz</w:t>
      </w:r>
      <w:r w:rsidRPr="00CA5AFC">
        <w:t xml:space="preserve"> </w:t>
      </w:r>
      <w:r w:rsidR="007641D2" w:rsidRPr="00CA5AFC">
        <w:t>(Régions 1 et 3) et, le cas échéant, dans les bandes de fréquences adjacentes</w:t>
      </w:r>
      <w:r w:rsidR="008A4AEC" w:rsidRPr="00CA5AFC">
        <w:t>,</w:t>
      </w:r>
    </w:p>
    <w:p w14:paraId="38F93B64" w14:textId="349852DB" w:rsidR="00640B89" w:rsidRPr="00CA5AFC" w:rsidRDefault="00640B89" w:rsidP="00640B89">
      <w:pPr>
        <w:pStyle w:val="Call"/>
      </w:pPr>
      <w:r w:rsidRPr="00CA5AFC">
        <w:t>décide</w:t>
      </w:r>
    </w:p>
    <w:p w14:paraId="0CDF766C" w14:textId="76635DF1" w:rsidR="00640B89" w:rsidRPr="00CA5AFC" w:rsidRDefault="00640B89" w:rsidP="00574B4F">
      <w:pPr>
        <w:keepNext/>
        <w:keepLines/>
      </w:pPr>
      <w:r w:rsidRPr="00CA5AFC">
        <w:t>d'inviter la CMR-2</w:t>
      </w:r>
      <w:r w:rsidR="008A4AEC" w:rsidRPr="00CA5AFC">
        <w:t>7</w:t>
      </w:r>
      <w:r w:rsidRPr="00CA5AFC">
        <w:t xml:space="preserve"> à examiner, compte tenu des résultats des études ci-dessus, des attributions de fréquences additionnelles au </w:t>
      </w:r>
      <w:r w:rsidR="008A4AEC" w:rsidRPr="00CA5AFC">
        <w:t>SMS</w:t>
      </w:r>
      <w:r w:rsidRPr="00CA5AFC">
        <w:t xml:space="preserve"> à titre primaire, et à envisager l'identification de</w:t>
      </w:r>
      <w:r w:rsidR="008A4AEC" w:rsidRPr="00CA5AFC">
        <w:t>s</w:t>
      </w:r>
      <w:r w:rsidRPr="00CA5AFC">
        <w:t xml:space="preserve"> bandes de fréquences pour la composante </w:t>
      </w:r>
      <w:r w:rsidR="008A4AEC" w:rsidRPr="00CA5AFC">
        <w:t>satellite</w:t>
      </w:r>
      <w:r w:rsidRPr="00CA5AFC">
        <w:t xml:space="preserve"> des IMT</w:t>
      </w:r>
      <w:r w:rsidR="008A4AEC" w:rsidRPr="00CA5AFC">
        <w:t>-2020</w:t>
      </w:r>
      <w:r w:rsidRPr="00CA5AFC">
        <w:t>,</w:t>
      </w:r>
    </w:p>
    <w:p w14:paraId="6AA42064" w14:textId="77777777" w:rsidR="00640B89" w:rsidRPr="00CA5AFC" w:rsidRDefault="00640B89" w:rsidP="00640B89">
      <w:pPr>
        <w:pStyle w:val="Call"/>
      </w:pPr>
      <w:r w:rsidRPr="00CA5AFC">
        <w:t>invite les administrations</w:t>
      </w:r>
    </w:p>
    <w:p w14:paraId="357B9C62" w14:textId="3C10F887" w:rsidR="00640B89" w:rsidRPr="00CA5AFC" w:rsidRDefault="00640B89" w:rsidP="00640B89">
      <w:pPr>
        <w:keepNext/>
        <w:keepLines/>
        <w:rPr>
          <w:lang w:eastAsia="nl-NL"/>
        </w:rPr>
      </w:pPr>
      <w:r w:rsidRPr="00CA5AFC">
        <w:rPr>
          <w:lang w:eastAsia="nl-NL"/>
        </w:rPr>
        <w:t>à participer activement à ces études en soumettant des contributions au Secteur des radiocommunications de l'UIT.</w:t>
      </w:r>
    </w:p>
    <w:p w14:paraId="721B1F04" w14:textId="77777777" w:rsidR="00733B9C" w:rsidRPr="00CA5AFC" w:rsidRDefault="00733B9C" w:rsidP="00733B9C">
      <w:pPr>
        <w:pStyle w:val="Reasons"/>
        <w:rPr>
          <w:lang w:eastAsia="nl-NL"/>
        </w:rPr>
      </w:pPr>
    </w:p>
    <w:p w14:paraId="0D47714A" w14:textId="08D1ED8B" w:rsidR="00640B89" w:rsidRPr="00CA5AFC" w:rsidRDefault="00640B89">
      <w:pPr>
        <w:tabs>
          <w:tab w:val="clear" w:pos="1134"/>
          <w:tab w:val="clear" w:pos="1871"/>
          <w:tab w:val="clear" w:pos="2268"/>
        </w:tabs>
        <w:overflowPunct/>
        <w:autoSpaceDE/>
        <w:autoSpaceDN/>
        <w:adjustRightInd/>
        <w:spacing w:before="0"/>
        <w:textAlignment w:val="auto"/>
      </w:pPr>
      <w:r w:rsidRPr="00CA5AFC">
        <w:br w:type="page"/>
      </w:r>
    </w:p>
    <w:p w14:paraId="78928FCF" w14:textId="69653827" w:rsidR="00640B89" w:rsidRPr="00CA5AFC" w:rsidRDefault="00C44F01" w:rsidP="00640B89">
      <w:pPr>
        <w:pStyle w:val="AnnexNo"/>
      </w:pPr>
      <w:r w:rsidRPr="00CA5AFC">
        <w:lastRenderedPageBreak/>
        <w:t>ANNEXE</w:t>
      </w:r>
    </w:p>
    <w:p w14:paraId="6B281219" w14:textId="28F491CA" w:rsidR="00C44F01" w:rsidRPr="00CA5AFC" w:rsidRDefault="00C44F01" w:rsidP="00C44F01">
      <w:pPr>
        <w:pStyle w:val="Annexref"/>
        <w:rPr>
          <w:b/>
          <w:bCs/>
        </w:rPr>
      </w:pPr>
      <w:r w:rsidRPr="00CA5AFC">
        <w:rPr>
          <w:b/>
          <w:bCs/>
        </w:rPr>
        <w:t>Modèle pour la présentation des propositions de points de l'ordre du jour</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587DFB" w:rsidRPr="00CA5AFC" w14:paraId="2C7A1137" w14:textId="77777777" w:rsidTr="00D504C8">
        <w:tc>
          <w:tcPr>
            <w:tcW w:w="9723" w:type="dxa"/>
            <w:gridSpan w:val="2"/>
            <w:tcBorders>
              <w:top w:val="single" w:sz="4" w:space="0" w:color="auto"/>
              <w:left w:val="nil"/>
              <w:bottom w:val="single" w:sz="4" w:space="0" w:color="auto"/>
              <w:right w:val="nil"/>
            </w:tcBorders>
          </w:tcPr>
          <w:p w14:paraId="75DCA385" w14:textId="5350B34B" w:rsidR="00587DFB" w:rsidRPr="00CA5AFC" w:rsidRDefault="00587DFB" w:rsidP="00587DFB">
            <w:pPr>
              <w:rPr>
                <w:b/>
                <w:bCs/>
              </w:rPr>
            </w:pPr>
            <w:r w:rsidRPr="00CA5AFC">
              <w:rPr>
                <w:b/>
                <w:bCs/>
              </w:rPr>
              <w:t xml:space="preserve">Objet: </w:t>
            </w:r>
            <w:r w:rsidRPr="00CA5AFC">
              <w:t>Harmonisation, à l'échelle mondiale, des attributions au service mobile par satellite pour la composante satellite des Télécommunications mobiles internationales (IMT) dans la bande S des 2</w:t>
            </w:r>
            <w:r w:rsidR="00413FD2" w:rsidRPr="00CA5AFC">
              <w:t> </w:t>
            </w:r>
            <w:r w:rsidRPr="00CA5AFC">
              <w:t>GHz</w:t>
            </w:r>
          </w:p>
        </w:tc>
      </w:tr>
      <w:tr w:rsidR="00587DFB" w:rsidRPr="00CA5AFC" w14:paraId="3A77D065" w14:textId="77777777" w:rsidTr="00D504C8">
        <w:tc>
          <w:tcPr>
            <w:tcW w:w="9723" w:type="dxa"/>
            <w:gridSpan w:val="2"/>
            <w:tcBorders>
              <w:top w:val="single" w:sz="4" w:space="0" w:color="auto"/>
              <w:left w:val="nil"/>
              <w:bottom w:val="single" w:sz="4" w:space="0" w:color="auto"/>
              <w:right w:val="nil"/>
            </w:tcBorders>
          </w:tcPr>
          <w:p w14:paraId="32D89924" w14:textId="5BD6DB58" w:rsidR="00587DFB" w:rsidRPr="00CA5AFC" w:rsidRDefault="00587DFB" w:rsidP="00587DFB">
            <w:pPr>
              <w:rPr>
                <w:b/>
                <w:bCs/>
                <w:i/>
                <w:iCs/>
              </w:rPr>
            </w:pPr>
            <w:r w:rsidRPr="00CA5AFC">
              <w:rPr>
                <w:b/>
                <w:bCs/>
              </w:rPr>
              <w:t xml:space="preserve">Origine: </w:t>
            </w:r>
            <w:r w:rsidRPr="00CA5AFC">
              <w:t>À déterminer</w:t>
            </w:r>
          </w:p>
        </w:tc>
      </w:tr>
      <w:tr w:rsidR="00640B89" w:rsidRPr="00CA5AFC" w14:paraId="78CFB320" w14:textId="77777777" w:rsidTr="00D504C8">
        <w:tc>
          <w:tcPr>
            <w:tcW w:w="9723" w:type="dxa"/>
            <w:gridSpan w:val="2"/>
            <w:tcBorders>
              <w:top w:val="single" w:sz="4" w:space="0" w:color="auto"/>
              <w:left w:val="nil"/>
              <w:bottom w:val="single" w:sz="4" w:space="0" w:color="auto"/>
              <w:right w:val="nil"/>
            </w:tcBorders>
          </w:tcPr>
          <w:p w14:paraId="6AA28B87" w14:textId="79FE3AD5" w:rsidR="00640B89" w:rsidRPr="00CA5AFC" w:rsidRDefault="00640B89" w:rsidP="00587DFB">
            <w:r w:rsidRPr="00CA5AFC">
              <w:rPr>
                <w:b/>
                <w:bCs/>
                <w:i/>
                <w:iCs/>
              </w:rPr>
              <w:t>Proposition</w:t>
            </w:r>
            <w:r w:rsidRPr="00CA5AFC">
              <w:rPr>
                <w:b/>
                <w:bCs/>
              </w:rPr>
              <w:t>:</w:t>
            </w:r>
            <w:r w:rsidR="0072285E" w:rsidRPr="00CA5AFC">
              <w:rPr>
                <w:b/>
                <w:bCs/>
              </w:rPr>
              <w:t xml:space="preserve"> </w:t>
            </w:r>
            <w:r w:rsidR="0072285E" w:rsidRPr="00CA5AFC">
              <w:t>Envisager l'attribution et l'harmonisation, à l'échelle mondiale, des bandes de fréquences 2 010-2 025 MHz (Terre vers espace) et 2 160-2 170 MHz (espace vers Terre) dans les Régions 1 et 3 (déjà attribuées au service mobile par satellite dans la Région 2), et 2</w:t>
            </w:r>
            <w:r w:rsidR="00587DFB" w:rsidRPr="00CA5AFC">
              <w:t> </w:t>
            </w:r>
            <w:r w:rsidR="0072285E" w:rsidRPr="00CA5AFC">
              <w:t>200</w:t>
            </w:r>
            <w:r w:rsidR="00587DFB" w:rsidRPr="00CA5AFC">
              <w:noBreakHyphen/>
            </w:r>
            <w:r w:rsidR="0072285E" w:rsidRPr="00CA5AFC">
              <w:t>2</w:t>
            </w:r>
            <w:r w:rsidR="00587DFB" w:rsidRPr="00CA5AFC">
              <w:t> </w:t>
            </w:r>
            <w:r w:rsidR="0072285E" w:rsidRPr="00CA5AFC">
              <w:t>215</w:t>
            </w:r>
            <w:r w:rsidR="00587DFB" w:rsidRPr="00CA5AFC">
              <w:t> </w:t>
            </w:r>
            <w:r w:rsidR="0072285E" w:rsidRPr="00CA5AFC">
              <w:t>MHz (espace vers Terre) à l'échelle mondiale au service mobile par satellite (SMS) pour la composante satellite des IMT</w:t>
            </w:r>
            <w:r w:rsidR="00862DDE" w:rsidRPr="00CA5AFC">
              <w:t>.</w:t>
            </w:r>
          </w:p>
        </w:tc>
      </w:tr>
      <w:tr w:rsidR="00640B89" w:rsidRPr="00CA5AFC" w14:paraId="385B3370" w14:textId="77777777" w:rsidTr="00D504C8">
        <w:tc>
          <w:tcPr>
            <w:tcW w:w="9723" w:type="dxa"/>
            <w:gridSpan w:val="2"/>
            <w:tcBorders>
              <w:top w:val="single" w:sz="4" w:space="0" w:color="auto"/>
              <w:left w:val="nil"/>
              <w:bottom w:val="single" w:sz="4" w:space="0" w:color="auto"/>
              <w:right w:val="nil"/>
            </w:tcBorders>
          </w:tcPr>
          <w:p w14:paraId="5317C0D8" w14:textId="698E2EA8" w:rsidR="00640B89" w:rsidRPr="00CA5AFC" w:rsidRDefault="00640B89" w:rsidP="008F2E5E">
            <w:pPr>
              <w:spacing w:line="360" w:lineRule="auto"/>
              <w:rPr>
                <w:b/>
                <w:bCs/>
              </w:rPr>
            </w:pPr>
            <w:r w:rsidRPr="00CA5AFC">
              <w:rPr>
                <w:b/>
                <w:bCs/>
                <w:i/>
                <w:iCs/>
              </w:rPr>
              <w:t>Contexte/motif</w:t>
            </w:r>
            <w:r w:rsidRPr="00CA5AFC">
              <w:rPr>
                <w:b/>
                <w:bCs/>
              </w:rPr>
              <w:t>:</w:t>
            </w:r>
          </w:p>
          <w:p w14:paraId="0EA0E170" w14:textId="6E67200D" w:rsidR="008F2E5E" w:rsidRPr="00CA5AFC" w:rsidRDefault="008F2E5E" w:rsidP="005E041E">
            <w:pPr>
              <w:spacing w:before="0"/>
            </w:pPr>
            <w:r w:rsidRPr="00CA5AFC">
              <w:t>Les communications par satellite constituent un</w:t>
            </w:r>
            <w:r w:rsidR="00C26236" w:rsidRPr="00CA5AFC">
              <w:t xml:space="preserve"> moyen </w:t>
            </w:r>
            <w:r w:rsidRPr="00CA5AFC">
              <w:t xml:space="preserve">efficace </w:t>
            </w:r>
            <w:r w:rsidR="00C26236" w:rsidRPr="00CA5AFC">
              <w:t>d</w:t>
            </w:r>
            <w:r w:rsidR="005E4777" w:rsidRPr="00CA5AFC">
              <w:t>'</w:t>
            </w:r>
            <w:r w:rsidR="00C26236" w:rsidRPr="00CA5AFC">
              <w:t xml:space="preserve">assurer les </w:t>
            </w:r>
            <w:r w:rsidRPr="00CA5AFC">
              <w:t xml:space="preserve">services de communication </w:t>
            </w:r>
            <w:r w:rsidR="00C26236" w:rsidRPr="00CA5AFC">
              <w:t xml:space="preserve">dans les </w:t>
            </w:r>
            <w:r w:rsidRPr="00CA5AFC">
              <w:t xml:space="preserve">zones rurales, isolées, non desservies et mal desservies, </w:t>
            </w:r>
            <w:r w:rsidR="00164B75" w:rsidRPr="00CA5AFC">
              <w:t>et permettent donc, du même coup</w:t>
            </w:r>
            <w:r w:rsidR="00C26236" w:rsidRPr="00CA5AFC">
              <w:t xml:space="preserve">, </w:t>
            </w:r>
            <w:r w:rsidR="00164B75" w:rsidRPr="00CA5AFC">
              <w:t xml:space="preserve">de </w:t>
            </w:r>
            <w:r w:rsidRPr="00CA5AFC">
              <w:t xml:space="preserve">réduire la fracture numérique et </w:t>
            </w:r>
            <w:r w:rsidR="00164B75" w:rsidRPr="00CA5AFC">
              <w:t>d</w:t>
            </w:r>
            <w:r w:rsidR="005E4777" w:rsidRPr="00CA5AFC">
              <w:t>'</w:t>
            </w:r>
            <w:r w:rsidR="00164B75" w:rsidRPr="00CA5AFC">
              <w:t xml:space="preserve">aider les pays à adopter largement </w:t>
            </w:r>
            <w:r w:rsidR="00872641" w:rsidRPr="00CA5AFC">
              <w:t>l</w:t>
            </w:r>
            <w:r w:rsidR="005E4777" w:rsidRPr="00CA5AFC">
              <w:t>'</w:t>
            </w:r>
            <w:r w:rsidR="00872641" w:rsidRPr="00CA5AFC">
              <w:t>économie numérique</w:t>
            </w:r>
            <w:r w:rsidRPr="00CA5AFC">
              <w:t xml:space="preserve">. À cet égard, le développement des services de communication par satellite </w:t>
            </w:r>
            <w:r w:rsidR="00823E4E" w:rsidRPr="00CA5AFC">
              <w:t>contribue à la réalisation des</w:t>
            </w:r>
            <w:r w:rsidRPr="00CA5AFC">
              <w:t xml:space="preserve"> </w:t>
            </w:r>
            <w:r w:rsidR="00823E4E" w:rsidRPr="00CA5AFC">
              <w:t>O</w:t>
            </w:r>
            <w:r w:rsidRPr="00CA5AFC">
              <w:t xml:space="preserve">bjectifs de développement durable (ODD) </w:t>
            </w:r>
            <w:r w:rsidR="00164B75" w:rsidRPr="00CA5AFC">
              <w:t xml:space="preserve">des </w:t>
            </w:r>
            <w:r w:rsidRPr="00CA5AFC">
              <w:t xml:space="preserve">Nations unies visant à réduire les inégalités au sein des pays et entre eux, à construire des infrastructures résilientes, à promouvoir une industrialisation inclusive et durable et à favoriser l'innovation. Les services par satellite contribuent également </w:t>
            </w:r>
            <w:r w:rsidR="00FC092D" w:rsidRPr="00CA5AFC">
              <w:t>de manière indirecte</w:t>
            </w:r>
            <w:r w:rsidRPr="00CA5AFC">
              <w:t xml:space="preserve"> à </w:t>
            </w:r>
            <w:r w:rsidR="00FC092D" w:rsidRPr="00CA5AFC">
              <w:t xml:space="preserve">la réalisation </w:t>
            </w:r>
            <w:r w:rsidRPr="00CA5AFC">
              <w:t xml:space="preserve">d'autres ODD que l'UIT </w:t>
            </w:r>
            <w:r w:rsidR="00F244FB" w:rsidRPr="00CA5AFC">
              <w:t>s'emploie à atteindre</w:t>
            </w:r>
            <w:r w:rsidRPr="00CA5AFC">
              <w:t xml:space="preserve">, </w:t>
            </w:r>
            <w:r w:rsidR="006C1579" w:rsidRPr="00CA5AFC">
              <w:t xml:space="preserve">notamment </w:t>
            </w:r>
            <w:r w:rsidR="00164B75" w:rsidRPr="00CA5AFC">
              <w:t xml:space="preserve">ceux intitulés </w:t>
            </w:r>
            <w:r w:rsidR="006C1579" w:rsidRPr="00CA5AFC">
              <w:t>«énergie propre et d'un coût abordable»</w:t>
            </w:r>
            <w:r w:rsidR="00164B75" w:rsidRPr="00CA5AFC">
              <w:t xml:space="preserve">, </w:t>
            </w:r>
            <w:r w:rsidR="006C1579" w:rsidRPr="00CA5AFC">
              <w:t>«consommation et production responsables»</w:t>
            </w:r>
            <w:r w:rsidR="00164B75" w:rsidRPr="00CA5AFC">
              <w:t>,</w:t>
            </w:r>
            <w:r w:rsidR="006C1579" w:rsidRPr="00CA5AFC">
              <w:t xml:space="preserve"> «lutte contre les changements climatiques»</w:t>
            </w:r>
            <w:r w:rsidR="00164B75" w:rsidRPr="00CA5AFC">
              <w:t xml:space="preserve"> et</w:t>
            </w:r>
            <w:r w:rsidR="006C1579" w:rsidRPr="00CA5AFC">
              <w:t xml:space="preserve"> «villes et communautés durables».</w:t>
            </w:r>
          </w:p>
          <w:p w14:paraId="259B3BA5" w14:textId="133F1E2C" w:rsidR="007260FD" w:rsidRPr="00CA5AFC" w:rsidRDefault="006C1579" w:rsidP="00587DFB">
            <w:r w:rsidRPr="00CA5AFC">
              <w:t>En 2021, 5,3 milliards de personnes étaient abonnées à des services mobiles, soit 67% de la population mondiale</w:t>
            </w:r>
            <w:r w:rsidR="00D93E13" w:rsidRPr="00CA5AFC">
              <w:rPr>
                <w:rStyle w:val="FootnoteReference"/>
              </w:rPr>
              <w:footnoteReference w:id="1"/>
            </w:r>
            <w:r w:rsidRPr="00CA5AFC">
              <w:t xml:space="preserve">. Une grande partie des 33% restants se trouvent dans des zones rurales, éloignées, non desservies ou mal desservies, </w:t>
            </w:r>
            <w:r w:rsidR="003500D5" w:rsidRPr="00CA5AFC">
              <w:t xml:space="preserve">qui sont </w:t>
            </w:r>
            <w:r w:rsidRPr="00CA5AFC">
              <w:t xml:space="preserve">difficiles à atteindre. C'est précisément dans ces zones mal desservies que les services par satellite </w:t>
            </w:r>
            <w:r w:rsidR="00B165EC" w:rsidRPr="00CA5AFC">
              <w:t>de dispositif à dispositif</w:t>
            </w:r>
            <w:r w:rsidRPr="00CA5AFC">
              <w:t xml:space="preserve"> (D2D) sont les plus importants.</w:t>
            </w:r>
          </w:p>
          <w:p w14:paraId="0AB0BFDA" w14:textId="5F89929D" w:rsidR="006C1579" w:rsidRPr="00CA5AFC" w:rsidRDefault="006C1579" w:rsidP="00587DFB">
            <w:r w:rsidRPr="00CA5AFC">
              <w:t xml:space="preserve">Comme </w:t>
            </w:r>
            <w:r w:rsidR="007260FD" w:rsidRPr="00CA5AFC">
              <w:t>indiqué dans la</w:t>
            </w:r>
            <w:r w:rsidRPr="00CA5AFC">
              <w:t xml:space="preserve"> </w:t>
            </w:r>
            <w:r w:rsidR="007260FD" w:rsidRPr="00CA5AFC">
              <w:t>R</w:t>
            </w:r>
            <w:r w:rsidRPr="00CA5AFC">
              <w:t>ésolution UIT-R 56-2, les systèmes de télécommunications mobiles internationales 2020 (IMT-2020) sont des systèmes mobiles qui comprennent une ou plusieurs nouvelles interfaces radio</w:t>
            </w:r>
            <w:r w:rsidR="00A50633" w:rsidRPr="00CA5AFC">
              <w:t>électriques</w:t>
            </w:r>
            <w:r w:rsidRPr="00CA5AFC">
              <w:t xml:space="preserve"> prenant en charge les nouvelles capacités des systèmes </w:t>
            </w:r>
            <w:r w:rsidR="00A85140" w:rsidRPr="00CA5AFC">
              <w:t>postérieurs aux</w:t>
            </w:r>
            <w:r w:rsidRPr="00CA5AFC">
              <w:t xml:space="preserve"> IMT-2000 et des IMT-</w:t>
            </w:r>
            <w:r w:rsidR="002C5DC3" w:rsidRPr="00CA5AFC">
              <w:t>évoluées.</w:t>
            </w:r>
          </w:p>
          <w:p w14:paraId="6C59C3CD" w14:textId="297FF108" w:rsidR="00175C94" w:rsidRPr="00CA5AFC" w:rsidRDefault="00175C94" w:rsidP="00587DFB">
            <w:r w:rsidRPr="00CA5AFC">
              <w:t xml:space="preserve">L'accès par satellite, qui est l'une des technologies d'accès radioélectrique des IMT-2020, favorisera la mobilité grâce à l'intégration au niveau du terminal, du réseau et du service. Les composants du réseau </w:t>
            </w:r>
            <w:r w:rsidR="00525989" w:rsidRPr="00CA5AFC">
              <w:t>à satellite</w:t>
            </w:r>
            <w:r w:rsidRPr="00CA5AFC">
              <w:t xml:space="preserve"> </w:t>
            </w:r>
            <w:r w:rsidR="00241260" w:rsidRPr="00CA5AFC">
              <w:t>pourraient</w:t>
            </w:r>
            <w:r w:rsidRPr="00CA5AFC">
              <w:t xml:space="preserve"> fournir une couverture mondiale </w:t>
            </w:r>
            <w:r w:rsidR="00DA1B4F" w:rsidRPr="00CA5AFC">
              <w:t>ubiquitaire</w:t>
            </w:r>
            <w:r w:rsidRPr="00CA5AFC">
              <w:t xml:space="preserve"> aux équipements des utilisateurs fina</w:t>
            </w:r>
            <w:r w:rsidR="00DD29DE" w:rsidRPr="00CA5AFC">
              <w:t>ls</w:t>
            </w:r>
            <w:r w:rsidR="002C7E4D" w:rsidRPr="00CA5AFC">
              <w:t xml:space="preserve"> en vue</w:t>
            </w:r>
            <w:r w:rsidRPr="00CA5AFC">
              <w:t xml:space="preserve"> </w:t>
            </w:r>
            <w:r w:rsidR="00AC6ADE" w:rsidRPr="00CA5AFC">
              <w:t xml:space="preserve">de </w:t>
            </w:r>
            <w:r w:rsidR="004D3D50" w:rsidRPr="00CA5AFC">
              <w:t>satisfaire les</w:t>
            </w:r>
            <w:r w:rsidRPr="00CA5AFC">
              <w:t xml:space="preserve"> scénarios d'utilisation définis pour la composante </w:t>
            </w:r>
            <w:r w:rsidR="00942F40" w:rsidRPr="00CA5AFC">
              <w:t xml:space="preserve">satellite des </w:t>
            </w:r>
            <w:r w:rsidRPr="00CA5AFC">
              <w:t>IMT-2020</w:t>
            </w:r>
            <w:r w:rsidR="004D3D50" w:rsidRPr="00CA5AFC">
              <w:t>.</w:t>
            </w:r>
          </w:p>
          <w:p w14:paraId="1B720597" w14:textId="769301B9" w:rsidR="00D93E13" w:rsidRPr="00CA5AFC" w:rsidRDefault="001C5839" w:rsidP="00587DFB">
            <w:r w:rsidRPr="00CA5AFC">
              <w:t xml:space="preserve">L'utilisation </w:t>
            </w:r>
            <w:r w:rsidR="00164B75" w:rsidRPr="00CA5AFC">
              <w:t xml:space="preserve">et les objectifs </w:t>
            </w:r>
            <w:r w:rsidRPr="00CA5AFC">
              <w:t xml:space="preserve">des interfaces radioélectriques de satellite </w:t>
            </w:r>
            <w:r w:rsidR="00164B75" w:rsidRPr="00CA5AFC">
              <w:t xml:space="preserve">doivent en principe </w:t>
            </w:r>
            <w:r w:rsidRPr="00CA5AFC">
              <w:t xml:space="preserve">compléter les opérations des IMT-2020 de Terre, </w:t>
            </w:r>
            <w:r w:rsidR="00164B75" w:rsidRPr="00CA5AFC">
              <w:t xml:space="preserve">étant donné </w:t>
            </w:r>
            <w:r w:rsidRPr="00CA5AFC">
              <w:t xml:space="preserve">la capacité </w:t>
            </w:r>
            <w:r w:rsidR="003F36BD" w:rsidRPr="00CA5AFC">
              <w:t xml:space="preserve">singulière </w:t>
            </w:r>
            <w:r w:rsidRPr="00CA5AFC">
              <w:t xml:space="preserve">des satellites à </w:t>
            </w:r>
            <w:r w:rsidR="003F36BD" w:rsidRPr="00CA5AFC">
              <w:t xml:space="preserve">répondre aux problèmes </w:t>
            </w:r>
            <w:r w:rsidRPr="00CA5AFC">
              <w:t xml:space="preserve">de couverture et </w:t>
            </w:r>
            <w:r w:rsidR="003F36BD" w:rsidRPr="00CA5AFC">
              <w:t xml:space="preserve">aux </w:t>
            </w:r>
            <w:r w:rsidRPr="00CA5AFC">
              <w:t>cas d'utilisation</w:t>
            </w:r>
            <w:r w:rsidR="003D7A75" w:rsidRPr="00CA5AFC">
              <w:t xml:space="preserve"> complexes</w:t>
            </w:r>
            <w:r w:rsidR="00D93E13" w:rsidRPr="00CA5AFC">
              <w:t xml:space="preserve">. Les empreintes </w:t>
            </w:r>
            <w:r w:rsidRPr="00CA5AFC">
              <w:t xml:space="preserve">considérables </w:t>
            </w:r>
            <w:r w:rsidR="00D93E13" w:rsidRPr="00CA5AFC">
              <w:t xml:space="preserve">des systèmes </w:t>
            </w:r>
            <w:r w:rsidR="00FF60C3" w:rsidRPr="00CA5AFC">
              <w:t>à satellites</w:t>
            </w:r>
            <w:r w:rsidR="00D93E13" w:rsidRPr="00CA5AFC">
              <w:t xml:space="preserve"> rendent l'harmonisation</w:t>
            </w:r>
            <w:r w:rsidR="00E304D8" w:rsidRPr="00CA5AFC">
              <w:t xml:space="preserve"> des fréquences</w:t>
            </w:r>
            <w:r w:rsidR="00F26FB2" w:rsidRPr="00CA5AFC">
              <w:t xml:space="preserve"> à l'échelle</w:t>
            </w:r>
            <w:r w:rsidR="00D93E13" w:rsidRPr="00CA5AFC">
              <w:t xml:space="preserve"> mondiale </w:t>
            </w:r>
            <w:r w:rsidR="003F36BD" w:rsidRPr="00CA5AFC">
              <w:t xml:space="preserve">plus nécessaire </w:t>
            </w:r>
            <w:r w:rsidR="00D93E13" w:rsidRPr="00CA5AFC">
              <w:t xml:space="preserve">encore que pour les systèmes terrestres. L'harmonisation </w:t>
            </w:r>
            <w:r w:rsidR="00E304D8" w:rsidRPr="00CA5AFC">
              <w:t xml:space="preserve">à l'échelle mondiale des </w:t>
            </w:r>
            <w:r w:rsidR="00E304D8" w:rsidRPr="00CA5AFC">
              <w:lastRenderedPageBreak/>
              <w:t xml:space="preserve">fréquences </w:t>
            </w:r>
            <w:r w:rsidR="002B5B22" w:rsidRPr="00CA5AFC">
              <w:t>doit aussi permettre d</w:t>
            </w:r>
            <w:r w:rsidR="005E4777" w:rsidRPr="00CA5AFC">
              <w:t>'</w:t>
            </w:r>
            <w:r w:rsidR="002B5B22" w:rsidRPr="00CA5AFC">
              <w:t xml:space="preserve">optimiser les </w:t>
            </w:r>
            <w:r w:rsidR="00D93E13" w:rsidRPr="00CA5AFC">
              <w:t xml:space="preserve">économies d'échelle, </w:t>
            </w:r>
            <w:r w:rsidR="00E76F69" w:rsidRPr="00CA5AFC">
              <w:t xml:space="preserve">de </w:t>
            </w:r>
            <w:r w:rsidR="00B204C1" w:rsidRPr="00CA5AFC">
              <w:t>limiter</w:t>
            </w:r>
            <w:r w:rsidR="00D93E13" w:rsidRPr="00CA5AFC">
              <w:t xml:space="preserve"> le</w:t>
            </w:r>
            <w:r w:rsidR="00B204C1" w:rsidRPr="00CA5AFC">
              <w:t>s</w:t>
            </w:r>
            <w:r w:rsidR="00D93E13" w:rsidRPr="00CA5AFC">
              <w:t xml:space="preserve"> </w:t>
            </w:r>
            <w:r w:rsidR="00A302D8" w:rsidRPr="00CA5AFC">
              <w:t>risque</w:t>
            </w:r>
            <w:r w:rsidR="00B204C1" w:rsidRPr="00CA5AFC">
              <w:t>s</w:t>
            </w:r>
            <w:r w:rsidR="00A302D8" w:rsidRPr="00CA5AFC">
              <w:t xml:space="preserve"> de brouillage</w:t>
            </w:r>
            <w:r w:rsidR="00D93E13" w:rsidRPr="00CA5AFC">
              <w:t xml:space="preserve"> et donc </w:t>
            </w:r>
            <w:r w:rsidR="002B5B22" w:rsidRPr="00CA5AFC">
              <w:t>d</w:t>
            </w:r>
            <w:r w:rsidR="005E4777" w:rsidRPr="00CA5AFC">
              <w:t>'</w:t>
            </w:r>
            <w:r w:rsidR="002B5B22" w:rsidRPr="00CA5AFC">
              <w:t xml:space="preserve">obtenir des </w:t>
            </w:r>
            <w:r w:rsidR="00DB404B" w:rsidRPr="00CA5AFC">
              <w:t xml:space="preserve">gains d'efficacité </w:t>
            </w:r>
            <w:r w:rsidR="002B5B22" w:rsidRPr="00CA5AFC">
              <w:t xml:space="preserve">dans la </w:t>
            </w:r>
            <w:r w:rsidR="00D93E13" w:rsidRPr="00CA5AFC">
              <w:t xml:space="preserve">fabrication et </w:t>
            </w:r>
            <w:r w:rsidR="002B5B22" w:rsidRPr="00CA5AFC">
              <w:t xml:space="preserve">le </w:t>
            </w:r>
            <w:r w:rsidR="00D93E13" w:rsidRPr="00CA5AFC">
              <w:t xml:space="preserve">déploiement, tout en </w:t>
            </w:r>
            <w:r w:rsidR="00B204C1" w:rsidRPr="00CA5AFC">
              <w:t xml:space="preserve">limitant </w:t>
            </w:r>
            <w:r w:rsidR="00D93E13" w:rsidRPr="00CA5AFC">
              <w:t>les coûts des réseaux et des appareils</w:t>
            </w:r>
            <w:r w:rsidR="00DB404B" w:rsidRPr="00CA5AFC">
              <w:t>.</w:t>
            </w:r>
          </w:p>
          <w:p w14:paraId="11612AEE" w14:textId="70B4699B" w:rsidR="00DB404B" w:rsidRPr="00CA5AFC" w:rsidRDefault="00DB404B" w:rsidP="00587DFB">
            <w:r w:rsidRPr="00CA5AFC">
              <w:t xml:space="preserve">En outre, </w:t>
            </w:r>
            <w:r w:rsidR="00B204C1" w:rsidRPr="00CA5AFC">
              <w:t xml:space="preserve">l'UIT-R reconnaît </w:t>
            </w:r>
            <w:r w:rsidRPr="00CA5AFC">
              <w:t xml:space="preserve">depuis de nombreuses années l'utilisation des systèmes du service mobile par satellite et de la composante au sol complémentaire (CGC) pour les opérations de secours en cas de catastrophe naturelle ou de situation d'urgence </w:t>
            </w:r>
            <w:r w:rsidR="00FD2036" w:rsidRPr="00CA5AFC">
              <w:t>comparable</w:t>
            </w:r>
            <w:r w:rsidRPr="00CA5AFC">
              <w:t xml:space="preserve">, comme </w:t>
            </w:r>
            <w:r w:rsidR="00B204C1" w:rsidRPr="00CA5AFC">
              <w:t xml:space="preserve">il ressort </w:t>
            </w:r>
            <w:r w:rsidRPr="00CA5AFC">
              <w:t xml:space="preserve">clairement </w:t>
            </w:r>
            <w:r w:rsidR="00B204C1" w:rsidRPr="00CA5AFC">
              <w:t xml:space="preserve">de </w:t>
            </w:r>
            <w:r w:rsidRPr="00CA5AFC">
              <w:t>la Recommandation UIT-R M.1854-1</w:t>
            </w:r>
            <w:r w:rsidR="00134380" w:rsidRPr="00CA5AFC">
              <w:t>,</w:t>
            </w:r>
            <w:r w:rsidRPr="00CA5AFC">
              <w:t xml:space="preserve"> </w:t>
            </w:r>
            <w:r w:rsidR="00134380" w:rsidRPr="00CA5AFC">
              <w:t>intitulée «Utilisation du service mobile par satellite (SMS) pour les interventions et les secours en cas de catastrophe»,</w:t>
            </w:r>
            <w:r w:rsidRPr="00CA5AFC">
              <w:t xml:space="preserve"> et </w:t>
            </w:r>
            <w:r w:rsidR="00B204C1" w:rsidRPr="00CA5AFC">
              <w:t xml:space="preserve">du </w:t>
            </w:r>
            <w:r w:rsidR="005E041E" w:rsidRPr="00CA5AFC">
              <w:t>R</w:t>
            </w:r>
            <w:r w:rsidRPr="00CA5AFC">
              <w:t>apport</w:t>
            </w:r>
            <w:r w:rsidR="005E041E" w:rsidRPr="00CA5AFC">
              <w:t> </w:t>
            </w:r>
            <w:r w:rsidRPr="00CA5AFC">
              <w:t>UIT</w:t>
            </w:r>
            <w:r w:rsidR="005E041E" w:rsidRPr="00CA5AFC">
              <w:noBreakHyphen/>
            </w:r>
            <w:r w:rsidRPr="00CA5AFC">
              <w:t>R</w:t>
            </w:r>
            <w:r w:rsidR="005E041E" w:rsidRPr="00CA5AFC">
              <w:t> </w:t>
            </w:r>
            <w:r w:rsidRPr="00CA5AFC">
              <w:t>M.2149</w:t>
            </w:r>
            <w:r w:rsidR="00134380" w:rsidRPr="00CA5AFC">
              <w:t>,</w:t>
            </w:r>
            <w:r w:rsidRPr="00CA5AFC">
              <w:t xml:space="preserve"> </w:t>
            </w:r>
            <w:r w:rsidR="00134380" w:rsidRPr="00CA5AFC">
              <w:t>intitulé «Exemples d'utilisation de systèmes du service mobile par satellite dans les opérations de secours en cas de catastrophe naturelle ou de situation d'urgence comparable»</w:t>
            </w:r>
            <w:r w:rsidRPr="00CA5AFC">
              <w:t>.</w:t>
            </w:r>
          </w:p>
          <w:p w14:paraId="7FDDBE60" w14:textId="5D47BF63" w:rsidR="0067087A" w:rsidRPr="00CA5AFC" w:rsidRDefault="00B204C1" w:rsidP="00587DFB">
            <w:r w:rsidRPr="00CA5AFC">
              <w:t>Ces dix dernières années</w:t>
            </w:r>
            <w:r w:rsidR="0067087A" w:rsidRPr="00CA5AFC">
              <w:t xml:space="preserve">, l'intérêt croissant pour le </w:t>
            </w:r>
            <w:r w:rsidR="00A11C5C" w:rsidRPr="00CA5AFC">
              <w:t>SMS</w:t>
            </w:r>
            <w:r w:rsidR="0067087A" w:rsidRPr="00CA5AFC">
              <w:t xml:space="preserve"> s'est </w:t>
            </w:r>
            <w:r w:rsidR="00A11C5C" w:rsidRPr="00CA5AFC">
              <w:t>traduit</w:t>
            </w:r>
            <w:r w:rsidR="0067087A" w:rsidRPr="00CA5AFC">
              <w:t xml:space="preserve"> par </w:t>
            </w:r>
            <w:r w:rsidRPr="00CA5AFC">
              <w:t>le dépôt d</w:t>
            </w:r>
            <w:r w:rsidR="005E4777" w:rsidRPr="00CA5AFC">
              <w:t>'</w:t>
            </w:r>
            <w:r w:rsidRPr="00CA5AFC">
              <w:t xml:space="preserve">un </w:t>
            </w:r>
            <w:r w:rsidR="0067087A" w:rsidRPr="00CA5AFC">
              <w:t xml:space="preserve">nombre croissant de </w:t>
            </w:r>
            <w:r w:rsidR="009E572E" w:rsidRPr="00CA5AFC">
              <w:t>fiches de notification relatives aux</w:t>
            </w:r>
            <w:r w:rsidR="0067087A" w:rsidRPr="00CA5AFC">
              <w:t xml:space="preserve"> systèmes géostationnaires</w:t>
            </w:r>
            <w:r w:rsidR="0033786F" w:rsidRPr="00CA5AFC">
              <w:t xml:space="preserve"> (OSG)</w:t>
            </w:r>
            <w:r w:rsidR="0067087A" w:rsidRPr="00CA5AFC">
              <w:t xml:space="preserve"> et non géostationnaires (non OSG) </w:t>
            </w:r>
            <w:r w:rsidR="00AD5C5A" w:rsidRPr="00CA5AFC">
              <w:t xml:space="preserve">du SMS </w:t>
            </w:r>
            <w:r w:rsidR="0067087A" w:rsidRPr="00CA5AFC">
              <w:t xml:space="preserve">auprès du Bureau des radiocommunications par diverses administrations de l'UIT. Le besoin de spectre </w:t>
            </w:r>
            <w:r w:rsidR="0033786F" w:rsidRPr="00CA5AFC">
              <w:t>additionnel</w:t>
            </w:r>
            <w:r w:rsidR="0067087A" w:rsidRPr="00CA5AFC">
              <w:t xml:space="preserve"> pour </w:t>
            </w:r>
            <w:r w:rsidR="0033786F" w:rsidRPr="00CA5AFC">
              <w:t>le SMS</w:t>
            </w:r>
            <w:r w:rsidR="0067087A" w:rsidRPr="00CA5AFC">
              <w:t xml:space="preserve"> n'est </w:t>
            </w:r>
            <w:r w:rsidR="00DE08CC" w:rsidRPr="00CA5AFC">
              <w:t>guère</w:t>
            </w:r>
            <w:r w:rsidR="0067087A" w:rsidRPr="00CA5AFC">
              <w:t xml:space="preserve"> surprenant, </w:t>
            </w:r>
            <w:r w:rsidR="00B8075F" w:rsidRPr="00CA5AFC">
              <w:t xml:space="preserve">étant donné que la quantité totale de spectre actuellement attribuée au SMS est faible </w:t>
            </w:r>
            <w:r w:rsidRPr="00CA5AFC">
              <w:t>comparativement à d</w:t>
            </w:r>
            <w:r w:rsidR="005E4777" w:rsidRPr="00CA5AFC">
              <w:t>'</w:t>
            </w:r>
            <w:r w:rsidR="00B8075F" w:rsidRPr="00CA5AFC">
              <w:t>autres services de radiocommunication.</w:t>
            </w:r>
            <w:r w:rsidR="0067087A" w:rsidRPr="00CA5AFC">
              <w:t xml:space="preserve"> </w:t>
            </w:r>
            <w:r w:rsidR="00B8075F" w:rsidRPr="00CA5AFC">
              <w:t>En effet</w:t>
            </w:r>
            <w:r w:rsidR="0067087A" w:rsidRPr="00CA5AFC">
              <w:t xml:space="preserve">, la dernière fois qu'une conférence mondiale de l'UIT a identifié </w:t>
            </w:r>
            <w:r w:rsidR="00700A02" w:rsidRPr="00CA5AFC">
              <w:t xml:space="preserve">des fréquences </w:t>
            </w:r>
            <w:r w:rsidR="0067087A" w:rsidRPr="00CA5AFC">
              <w:t xml:space="preserve">pour la composante satellite des IMT, c'était lors de la </w:t>
            </w:r>
            <w:r w:rsidR="00230F35" w:rsidRPr="00CA5AFC">
              <w:t>Conférence administrative mondiale des radiocommunications de 1992 (</w:t>
            </w:r>
            <w:r w:rsidR="0067087A" w:rsidRPr="00CA5AFC">
              <w:t>CAMR</w:t>
            </w:r>
            <w:r w:rsidR="005E041E" w:rsidRPr="00CA5AFC">
              <w:noBreakHyphen/>
            </w:r>
            <w:r w:rsidR="0067087A" w:rsidRPr="00CA5AFC">
              <w:t>92</w:t>
            </w:r>
            <w:r w:rsidR="00230F35" w:rsidRPr="00CA5AFC">
              <w:t>)</w:t>
            </w:r>
            <w:r w:rsidR="00075DB0" w:rsidRPr="00CA5AFC">
              <w:t xml:space="preserve"> et, </w:t>
            </w:r>
            <w:r w:rsidR="0067087A" w:rsidRPr="00CA5AFC">
              <w:t xml:space="preserve">depuis lors, des changements technologiques considérables ont eu lieu </w:t>
            </w:r>
            <w:r w:rsidR="00902B5F" w:rsidRPr="00CA5AFC">
              <w:t>dans</w:t>
            </w:r>
            <w:r w:rsidR="0067087A" w:rsidRPr="00CA5AFC">
              <w:t xml:space="preserve"> </w:t>
            </w:r>
            <w:r w:rsidR="0044686E" w:rsidRPr="00CA5AFC">
              <w:t>le secteur</w:t>
            </w:r>
            <w:r w:rsidR="0067087A" w:rsidRPr="00CA5AFC">
              <w:t xml:space="preserve"> </w:t>
            </w:r>
            <w:r w:rsidR="00972A4C" w:rsidRPr="00CA5AFC">
              <w:t>du SMS</w:t>
            </w:r>
            <w:r w:rsidR="0067087A" w:rsidRPr="00CA5AFC">
              <w:t xml:space="preserve">. Par exemple, </w:t>
            </w:r>
            <w:r w:rsidRPr="00CA5AFC">
              <w:t>le progrès technologique rapide</w:t>
            </w:r>
            <w:r w:rsidR="0067087A" w:rsidRPr="00CA5AFC">
              <w:t>, y compris le déploiement initial des systèmes D2D et le développement de spécifications internationales (comme l</w:t>
            </w:r>
            <w:r w:rsidR="006274E0" w:rsidRPr="00CA5AFC">
              <w:t>a publication</w:t>
            </w:r>
            <w:r w:rsidR="0067087A" w:rsidRPr="00CA5AFC">
              <w:t xml:space="preserve"> de la version 17 du </w:t>
            </w:r>
            <w:r w:rsidR="003B0D25" w:rsidRPr="00CA5AFC">
              <w:t xml:space="preserve">Partenariat </w:t>
            </w:r>
            <w:r w:rsidR="0067087A" w:rsidRPr="00CA5AFC">
              <w:t xml:space="preserve">3GPP qui comprend des spécifications complètes pour les réseaux </w:t>
            </w:r>
            <w:r w:rsidR="00FD000B" w:rsidRPr="00CA5AFC">
              <w:t>autres que de Terre</w:t>
            </w:r>
            <w:r w:rsidR="0067087A" w:rsidRPr="00CA5AFC">
              <w:t xml:space="preserve"> (NTN) </w:t>
            </w:r>
            <w:r w:rsidR="00FD000B" w:rsidRPr="00CA5AFC">
              <w:t>f</w:t>
            </w:r>
            <w:r w:rsidR="00506F84" w:rsidRPr="00CA5AFC">
              <w:t>onctionnant</w:t>
            </w:r>
            <w:r w:rsidR="00FD000B" w:rsidRPr="00CA5AFC">
              <w:t xml:space="preserve"> sur un réseau </w:t>
            </w:r>
            <w:r w:rsidR="0067087A" w:rsidRPr="00CA5AFC">
              <w:t>5G</w:t>
            </w:r>
            <w:r w:rsidR="00DE1C73" w:rsidRPr="00CA5AFC">
              <w:t>)</w:t>
            </w:r>
            <w:r w:rsidR="0067087A" w:rsidRPr="00CA5AFC">
              <w:t xml:space="preserve"> </w:t>
            </w:r>
            <w:r w:rsidR="00DE1C73" w:rsidRPr="00CA5AFC">
              <w:t>sont à l'origine</w:t>
            </w:r>
            <w:r w:rsidR="0067087A" w:rsidRPr="00CA5AFC">
              <w:t xml:space="preserve"> </w:t>
            </w:r>
            <w:r w:rsidR="00135DF4" w:rsidRPr="00CA5AFC">
              <w:t>d'</w:t>
            </w:r>
            <w:r w:rsidR="0067087A" w:rsidRPr="00CA5AFC">
              <w:t xml:space="preserve">une </w:t>
            </w:r>
            <w:r w:rsidRPr="00CA5AFC">
              <w:t xml:space="preserve">nouvelle </w:t>
            </w:r>
            <w:r w:rsidR="0067087A" w:rsidRPr="00CA5AFC">
              <w:t>demande</w:t>
            </w:r>
            <w:r w:rsidR="007C1995" w:rsidRPr="00CA5AFC">
              <w:t xml:space="preserve"> </w:t>
            </w:r>
            <w:r w:rsidRPr="00CA5AFC">
              <w:t xml:space="preserve">de </w:t>
            </w:r>
            <w:r w:rsidR="00411759" w:rsidRPr="00CA5AFC">
              <w:t>SMS</w:t>
            </w:r>
            <w:r w:rsidR="0067087A" w:rsidRPr="00CA5AFC">
              <w:t>, en particulier en ce qui concerne la composante satellite d</w:t>
            </w:r>
            <w:r w:rsidR="00F71524" w:rsidRPr="00CA5AFC">
              <w:t xml:space="preserve">es </w:t>
            </w:r>
            <w:r w:rsidR="0067087A" w:rsidRPr="00CA5AFC">
              <w:t>IMT. Des améliorations des spécifications pour les</w:t>
            </w:r>
            <w:r w:rsidR="00CA751A" w:rsidRPr="00CA5AFC">
              <w:t xml:space="preserve"> réseaux</w:t>
            </w:r>
            <w:r w:rsidR="0067087A" w:rsidRPr="00CA5AFC">
              <w:t xml:space="preserve"> NTN </w:t>
            </w:r>
            <w:r w:rsidR="00356457" w:rsidRPr="00CA5AFC">
              <w:t xml:space="preserve">fonctionnant sur un réseau </w:t>
            </w:r>
            <w:r w:rsidR="0067087A" w:rsidRPr="00CA5AFC">
              <w:t xml:space="preserve">5G, </w:t>
            </w:r>
            <w:r w:rsidRPr="00CA5AFC">
              <w:t>notamment en ce qui concerne la</w:t>
            </w:r>
            <w:r w:rsidR="0067087A" w:rsidRPr="00CA5AFC">
              <w:t xml:space="preserve"> détermination </w:t>
            </w:r>
            <w:r w:rsidR="003447B8" w:rsidRPr="00CA5AFC">
              <w:t>de l'emplacement</w:t>
            </w:r>
            <w:r w:rsidR="0067087A" w:rsidRPr="00CA5AFC">
              <w:t xml:space="preserve">, sont attendues dans la version 18 du </w:t>
            </w:r>
            <w:r w:rsidR="00B354B5" w:rsidRPr="00CA5AFC">
              <w:t xml:space="preserve">Partenariat </w:t>
            </w:r>
            <w:r w:rsidR="0067087A" w:rsidRPr="00CA5AFC">
              <w:t>3GPP</w:t>
            </w:r>
            <w:r w:rsidR="00B354B5" w:rsidRPr="00CA5AFC">
              <w:t>.</w:t>
            </w:r>
          </w:p>
          <w:p w14:paraId="5F8EEF8C" w14:textId="4A82ECDB" w:rsidR="00A42BE7" w:rsidRPr="00CA5AFC" w:rsidRDefault="00A42BE7" w:rsidP="00587DFB">
            <w:r w:rsidRPr="00CA5AFC">
              <w:t xml:space="preserve">En septembre 2022, l'UIT-R a </w:t>
            </w:r>
            <w:r w:rsidR="00B204C1" w:rsidRPr="00CA5AFC">
              <w:t xml:space="preserve">tenu compte de </w:t>
            </w:r>
            <w:r w:rsidRPr="00CA5AFC">
              <w:t xml:space="preserve">ces évolutions dans le domaine des technologies par satellite et </w:t>
            </w:r>
            <w:r w:rsidR="00B204C1" w:rsidRPr="00CA5AFC">
              <w:t xml:space="preserve">des </w:t>
            </w:r>
            <w:r w:rsidRPr="00CA5AFC">
              <w:t xml:space="preserve">spécifications publiées à cet égard, lorsqu'il a adopté le </w:t>
            </w:r>
            <w:r w:rsidR="005E041E" w:rsidRPr="00CA5AFC">
              <w:t>R</w:t>
            </w:r>
            <w:r w:rsidRPr="00CA5AFC">
              <w:t>apport UIT-R M.2514-0</w:t>
            </w:r>
            <w:r w:rsidR="006D3BD6" w:rsidRPr="00CA5AFC">
              <w:t>, intitulé</w:t>
            </w:r>
            <w:r w:rsidRPr="00CA5AFC">
              <w:t xml:space="preserve"> «</w:t>
            </w:r>
            <w:r w:rsidR="006D3BD6" w:rsidRPr="00CA5AFC">
              <w:t>Vision, spécifications et lignes directrices relatives à l'évaluation de l'interface (des interfaces) radioélectrique(s) de satellite pour les IMT-2020</w:t>
            </w:r>
            <w:r w:rsidRPr="00CA5AFC">
              <w:t>». L</w:t>
            </w:r>
            <w:r w:rsidR="006D3BD6" w:rsidRPr="00CA5AFC">
              <w:t>'</w:t>
            </w:r>
            <w:r w:rsidRPr="00CA5AFC">
              <w:t xml:space="preserve">UIT-R met actuellement en œuvre un processus </w:t>
            </w:r>
            <w:r w:rsidR="00B204C1" w:rsidRPr="00CA5AFC">
              <w:t>pour l</w:t>
            </w:r>
            <w:r w:rsidR="005E4777" w:rsidRPr="00CA5AFC">
              <w:t>'</w:t>
            </w:r>
            <w:r w:rsidR="00B204C1" w:rsidRPr="00CA5AFC">
              <w:t xml:space="preserve">évaluation des </w:t>
            </w:r>
            <w:r w:rsidRPr="00CA5AFC">
              <w:t>technologies d</w:t>
            </w:r>
            <w:r w:rsidR="006D3BD6" w:rsidRPr="00CA5AFC">
              <w:t>'</w:t>
            </w:r>
            <w:r w:rsidRPr="00CA5AFC">
              <w:t>accès radioélectrique qui constitueront la composante satellite des IMT-2020, processus qui devrait s</w:t>
            </w:r>
            <w:r w:rsidR="006D3BD6" w:rsidRPr="00CA5AFC">
              <w:t>'</w:t>
            </w:r>
            <w:r w:rsidRPr="00CA5AFC">
              <w:t xml:space="preserve">achever </w:t>
            </w:r>
            <w:r w:rsidR="00510F34" w:rsidRPr="00CA5AFC">
              <w:t>d'ici à</w:t>
            </w:r>
            <w:r w:rsidR="005843BB" w:rsidRPr="00CA5AFC">
              <w:t xml:space="preserve"> </w:t>
            </w:r>
            <w:r w:rsidRPr="00CA5AFC">
              <w:t>2025.</w:t>
            </w:r>
          </w:p>
          <w:p w14:paraId="2F7044E1" w14:textId="725D68D7" w:rsidR="003452B7" w:rsidRPr="00CA5AFC" w:rsidRDefault="003452B7" w:rsidP="00587DFB">
            <w:r w:rsidRPr="00CA5AFC">
              <w:t xml:space="preserve">La Recommandation UIT-R M.2083 relative à la vision des IMT-2020 recense, entre autres, des scénarios d'utilisation pour les IMT-2020 et les systèmes </w:t>
            </w:r>
            <w:r w:rsidR="00E916ED" w:rsidRPr="00CA5AFC">
              <w:t>postérieurs,</w:t>
            </w:r>
            <w:r w:rsidRPr="00CA5AFC">
              <w:t xml:space="preserve"> </w:t>
            </w:r>
            <w:r w:rsidR="004854E6" w:rsidRPr="00CA5AFC">
              <w:t>à savoir</w:t>
            </w:r>
            <w:r w:rsidRPr="00CA5AFC">
              <w:t xml:space="preserve"> le large bande mobile évolué (eMBB), les communications massives de type machine (mMTC) et les communications ultra-fiables présentant un faible</w:t>
            </w:r>
            <w:r w:rsidR="00D16AC5" w:rsidRPr="00CA5AFC">
              <w:t xml:space="preserve"> temps de</w:t>
            </w:r>
            <w:r w:rsidRPr="00CA5AFC">
              <w:t xml:space="preserve"> latence (URLLC). Les réseaux à satellite fourniront les catégories de services correspondant au cas d</w:t>
            </w:r>
            <w:r w:rsidR="00F401B8" w:rsidRPr="00CA5AFC">
              <w:t>'</w:t>
            </w:r>
            <w:r w:rsidRPr="00CA5AFC">
              <w:t>utilisation des systèmes eMBB</w:t>
            </w:r>
            <w:r w:rsidR="00F401B8" w:rsidRPr="00CA5AFC">
              <w:t>-s</w:t>
            </w:r>
            <w:r w:rsidRPr="00CA5AFC">
              <w:t xml:space="preserve"> et mMTC</w:t>
            </w:r>
            <w:r w:rsidR="00F401B8" w:rsidRPr="00CA5AFC">
              <w:t>-s</w:t>
            </w:r>
            <w:r w:rsidR="00EE103C" w:rsidRPr="00CA5AFC">
              <w:t>,</w:t>
            </w:r>
            <w:r w:rsidRPr="00CA5AFC">
              <w:t xml:space="preserve"> qui sont des variantes satellitaires des systèmes eMBB et mMTC défini</w:t>
            </w:r>
            <w:r w:rsidR="00F401B8" w:rsidRPr="00CA5AFC">
              <w:t>e</w:t>
            </w:r>
            <w:r w:rsidRPr="00CA5AFC">
              <w:t>s dans la Recommandation UIT-R M.2083. La composante satellite des IMT-2020 ne traitera pas de</w:t>
            </w:r>
            <w:r w:rsidR="00F401B8" w:rsidRPr="00CA5AFC">
              <w:t xml:space="preserve">s communications </w:t>
            </w:r>
            <w:r w:rsidRPr="00CA5AFC">
              <w:t>URLLC, mais couvrira la catégorie de service</w:t>
            </w:r>
            <w:r w:rsidR="005851F4" w:rsidRPr="00CA5AFC">
              <w:t>s</w:t>
            </w:r>
            <w:r w:rsidRPr="00CA5AFC">
              <w:t xml:space="preserve"> de communication </w:t>
            </w:r>
            <w:r w:rsidR="005851F4" w:rsidRPr="00CA5AFC">
              <w:t xml:space="preserve">à </w:t>
            </w:r>
            <w:r w:rsidRPr="00CA5AFC">
              <w:t>haute fiabilité (HRC-s) spécifique à chaque satellite.</w:t>
            </w:r>
          </w:p>
          <w:p w14:paraId="07615859" w14:textId="7B938215" w:rsidR="00EE103C" w:rsidRPr="00CA5AFC" w:rsidRDefault="00EE103C" w:rsidP="00587DFB">
            <w:r w:rsidRPr="00CA5AFC">
              <w:t>La composante satellite des IMT-2020 peut être utilisée pour assurer, par exemple:</w:t>
            </w:r>
          </w:p>
          <w:p w14:paraId="2196DCCC" w14:textId="77777777" w:rsidR="00EE103C" w:rsidRPr="00CA5AFC" w:rsidRDefault="00EE103C" w:rsidP="005E041E">
            <w:pPr>
              <w:pStyle w:val="enumlev1"/>
            </w:pPr>
            <w:r w:rsidRPr="00CA5AFC">
              <w:t>–</w:t>
            </w:r>
            <w:r w:rsidRPr="00CA5AFC">
              <w:tab/>
              <w:t>Une connectivité mondiale aux dispositifs d'utilisateur final.</w:t>
            </w:r>
          </w:p>
          <w:p w14:paraId="33A140F2" w14:textId="77777777" w:rsidR="00EE103C" w:rsidRPr="00CA5AFC" w:rsidRDefault="00EE103C" w:rsidP="005E041E">
            <w:pPr>
              <w:pStyle w:val="enumlev1"/>
            </w:pPr>
            <w:r w:rsidRPr="00CA5AFC">
              <w:t>–</w:t>
            </w:r>
            <w:r w:rsidRPr="00CA5AFC">
              <w:tab/>
              <w:t>La résilience du réseau grâce à une disponibilité élevée associée à une haute fiabilité.</w:t>
            </w:r>
          </w:p>
          <w:p w14:paraId="4C455EA7" w14:textId="77777777" w:rsidR="00EE103C" w:rsidRPr="00CA5AFC" w:rsidRDefault="00EE103C" w:rsidP="005E041E">
            <w:pPr>
              <w:pStyle w:val="enumlev1"/>
            </w:pPr>
            <w:r w:rsidRPr="00CA5AFC">
              <w:t>–</w:t>
            </w:r>
            <w:r w:rsidRPr="00CA5AFC">
              <w:tab/>
              <w:t>Une connectivité à des fins de transport.</w:t>
            </w:r>
          </w:p>
          <w:p w14:paraId="1C4D053C" w14:textId="77777777" w:rsidR="00EE103C" w:rsidRPr="00CA5AFC" w:rsidRDefault="00EE103C" w:rsidP="005E041E">
            <w:pPr>
              <w:pStyle w:val="enumlev1"/>
            </w:pPr>
            <w:r w:rsidRPr="00CA5AFC">
              <w:t>–</w:t>
            </w:r>
            <w:r w:rsidRPr="00CA5AFC">
              <w:tab/>
              <w:t>Des interventions en cas d'urgence et au service de la sécurité du public.</w:t>
            </w:r>
          </w:p>
          <w:p w14:paraId="7E860CDF" w14:textId="51CE9D19" w:rsidR="00005801" w:rsidRPr="00CA5AFC" w:rsidRDefault="00EE103C" w:rsidP="005E041E">
            <w:pPr>
              <w:pStyle w:val="enumlev1"/>
            </w:pPr>
            <w:r w:rsidRPr="00CA5AFC">
              <w:lastRenderedPageBreak/>
              <w:t>–</w:t>
            </w:r>
            <w:r w:rsidRPr="00CA5AFC">
              <w:tab/>
              <w:t>La fourniture de contenus en mode diffusion ou multidiffusion aux dispositifs d'utilisateur final.</w:t>
            </w:r>
          </w:p>
          <w:p w14:paraId="27CA5A84" w14:textId="49699B31" w:rsidR="00005801" w:rsidRPr="00CA5AFC" w:rsidRDefault="00C46AF4" w:rsidP="00587DFB">
            <w:r w:rsidRPr="00CA5AFC">
              <w:t xml:space="preserve">Fin 2022, des opérateurs de satellites, des opérateurs de réseau mobile, des fabricants de puces et de dispositifs mobiles et des fabricants d'infrastructures ont annoncé des collaborations et des projets visant à développer et à déployer des technologies destinées aux applications prévues pour la composante satellite des IMT-2020. Dans certains pays, des opérateurs de satellites et des fabricants de dispositifs ont franchi une première étape et lancé des applications de messagerie qui fonctionnent moyennant une connexion directe entre les dispositifs mobiles de Terre et les satellites. Ces applications de connexion directe aux dispositifs </w:t>
            </w:r>
            <w:r w:rsidRPr="00CA5AFC">
              <w:rPr>
                <w:i/>
                <w:iCs/>
              </w:rPr>
              <w:t>(direct-to-device, D2D)</w:t>
            </w:r>
            <w:r w:rsidRPr="00CA5AFC">
              <w:t xml:space="preserve"> sont des précurseurs qui valident les cas d'utilisation et la demande croissante de systèmes à satellites IMT</w:t>
            </w:r>
            <w:r w:rsidR="00733B9C" w:rsidRPr="00CA5AFC">
              <w:noBreakHyphen/>
            </w:r>
            <w:r w:rsidRPr="00CA5AFC">
              <w:t>2020, pour le large bande mobile évolué, les communications à haute fiabilité et les communications massives de type machine.</w:t>
            </w:r>
          </w:p>
          <w:p w14:paraId="514DFFCD" w14:textId="1E5ABC2A" w:rsidR="00640B89" w:rsidRPr="00CA5AFC" w:rsidRDefault="00C46AF4" w:rsidP="00587DFB">
            <w:pPr>
              <w:rPr>
                <w:i/>
              </w:rPr>
            </w:pPr>
            <w:r w:rsidRPr="00CA5AFC">
              <w:t>L'utilité du service mobile par satellite (SMS) dans les bandes de fréquences cibles, la proximité de ces bandes de fréquences par rapport aux bandes de fréquences existantes identifiées pour la composante satellite et la composante de Terre des IMT-2020, les avantages découlant des attributions et des identifications à l'échelle mondiale pour des services mondiaux tels que le SMS et la composante satellite des IMT-2020, sont autant d</w:t>
            </w:r>
            <w:r w:rsidR="005E4777" w:rsidRPr="00CA5AFC">
              <w:t>'</w:t>
            </w:r>
            <w:r w:rsidRPr="00CA5AFC">
              <w:t>éléments qui donnent clairement à penser qu'un point doit être inscrit à l'ordre du jour de la CMR-27 et que la suite qui sera donnée à ce point contribuera utilement à la réalisation des Objectifs de développement durable des Nations</w:t>
            </w:r>
            <w:r w:rsidR="005E041E" w:rsidRPr="00CA5AFC">
              <w:t> </w:t>
            </w:r>
            <w:r w:rsidRPr="00CA5AFC">
              <w:t>Unies.</w:t>
            </w:r>
          </w:p>
        </w:tc>
      </w:tr>
      <w:tr w:rsidR="00640B89" w:rsidRPr="00CA5AFC" w14:paraId="1017F119" w14:textId="77777777" w:rsidTr="00D504C8">
        <w:tc>
          <w:tcPr>
            <w:tcW w:w="9723" w:type="dxa"/>
            <w:gridSpan w:val="2"/>
            <w:tcBorders>
              <w:top w:val="single" w:sz="4" w:space="0" w:color="auto"/>
              <w:left w:val="nil"/>
              <w:bottom w:val="single" w:sz="4" w:space="0" w:color="auto"/>
              <w:right w:val="nil"/>
            </w:tcBorders>
          </w:tcPr>
          <w:p w14:paraId="1DD132F8" w14:textId="77777777" w:rsidR="00640B89" w:rsidRPr="00CA5AFC" w:rsidRDefault="00640B89" w:rsidP="00D504C8">
            <w:r w:rsidRPr="00CA5AFC">
              <w:rPr>
                <w:b/>
                <w:bCs/>
                <w:i/>
                <w:iCs/>
              </w:rPr>
              <w:lastRenderedPageBreak/>
              <w:t>Services de radiocommunication concernés</w:t>
            </w:r>
            <w:r w:rsidRPr="00CA5AFC">
              <w:rPr>
                <w:b/>
                <w:bCs/>
              </w:rPr>
              <w:t>:</w:t>
            </w:r>
          </w:p>
          <w:p w14:paraId="1B06019B" w14:textId="2702CF87" w:rsidR="00640B89" w:rsidRPr="00CA5AFC" w:rsidRDefault="000061BA" w:rsidP="00587DFB">
            <w:pPr>
              <w:rPr>
                <w:bCs/>
                <w:iCs/>
              </w:rPr>
            </w:pPr>
            <w:r w:rsidRPr="00CA5AFC">
              <w:rPr>
                <w:bCs/>
                <w:iCs/>
              </w:rPr>
              <w:t>Le</w:t>
            </w:r>
            <w:r w:rsidR="00D12DD2" w:rsidRPr="00CA5AFC">
              <w:rPr>
                <w:bCs/>
                <w:iCs/>
              </w:rPr>
              <w:t xml:space="preserve"> service mobile par satellite</w:t>
            </w:r>
            <w:r w:rsidRPr="00CA5AFC">
              <w:rPr>
                <w:bCs/>
                <w:iCs/>
              </w:rPr>
              <w:t xml:space="preserve">, pour </w:t>
            </w:r>
            <w:r w:rsidR="0018570C" w:rsidRPr="00CA5AFC">
              <w:rPr>
                <w:bCs/>
                <w:iCs/>
              </w:rPr>
              <w:t>examen en vue</w:t>
            </w:r>
            <w:r w:rsidRPr="00CA5AFC">
              <w:rPr>
                <w:bCs/>
                <w:iCs/>
              </w:rPr>
              <w:t xml:space="preserve"> de nouvelles attributions </w:t>
            </w:r>
            <w:r w:rsidR="00D12DD2" w:rsidRPr="00CA5AFC">
              <w:rPr>
                <w:bCs/>
                <w:iCs/>
              </w:rPr>
              <w:t>dans les bandes de fréquences 2 010-2 025 MHz (Terre vers espace) et 2 160-2 170 MHz (espace vers Terre) dans les Régions 1 et 3 (déjà attribuées au SMS dans la Région 2) et 2 200-2 215 MHz (espace vers Terre) à l</w:t>
            </w:r>
            <w:r w:rsidR="00453505" w:rsidRPr="00CA5AFC">
              <w:rPr>
                <w:bCs/>
                <w:iCs/>
              </w:rPr>
              <w:t>'</w:t>
            </w:r>
            <w:r w:rsidR="00D12DD2" w:rsidRPr="00CA5AFC">
              <w:rPr>
                <w:bCs/>
                <w:iCs/>
              </w:rPr>
              <w:t>échelle mondiale.</w:t>
            </w:r>
          </w:p>
          <w:p w14:paraId="2B7CCE5D" w14:textId="28B6D78A" w:rsidR="00453505" w:rsidRPr="00CA5AFC" w:rsidRDefault="002B1109" w:rsidP="00587DFB">
            <w:pPr>
              <w:rPr>
                <w:bCs/>
                <w:iCs/>
              </w:rPr>
            </w:pPr>
            <w:r w:rsidRPr="00CA5AFC">
              <w:rPr>
                <w:bCs/>
                <w:iCs/>
              </w:rPr>
              <w:t>Les</w:t>
            </w:r>
            <w:r w:rsidR="00453505" w:rsidRPr="00CA5AFC">
              <w:rPr>
                <w:bCs/>
                <w:iCs/>
              </w:rPr>
              <w:t xml:space="preserve"> services fixe et mobile</w:t>
            </w:r>
            <w:r w:rsidRPr="00CA5AFC">
              <w:rPr>
                <w:bCs/>
                <w:iCs/>
              </w:rPr>
              <w:t xml:space="preserve">, pour examen en </w:t>
            </w:r>
            <w:r w:rsidR="005A182A" w:rsidRPr="00CA5AFC">
              <w:rPr>
                <w:bCs/>
                <w:iCs/>
              </w:rPr>
              <w:t xml:space="preserve">ce qu'ils </w:t>
            </w:r>
            <w:r w:rsidR="00B826B3" w:rsidRPr="00CA5AFC">
              <w:rPr>
                <w:bCs/>
                <w:iCs/>
              </w:rPr>
              <w:t>sont des</w:t>
            </w:r>
            <w:r w:rsidR="00453505" w:rsidRPr="00CA5AFC">
              <w:rPr>
                <w:bCs/>
                <w:iCs/>
              </w:rPr>
              <w:t xml:space="preserve"> services existants dans les bandes de fréquences 2 010-2 025 MHz et 2 160-2 270 MHz</w:t>
            </w:r>
            <w:r w:rsidR="00BF7A41" w:rsidRPr="00CA5AFC">
              <w:rPr>
                <w:bCs/>
                <w:iCs/>
              </w:rPr>
              <w:t xml:space="preserve"> (Régions 1 et 3)</w:t>
            </w:r>
            <w:r w:rsidR="00453505" w:rsidRPr="00CA5AFC">
              <w:rPr>
                <w:bCs/>
                <w:iCs/>
              </w:rPr>
              <w:t>.</w:t>
            </w:r>
          </w:p>
          <w:p w14:paraId="7D9D216B" w14:textId="75E68046" w:rsidR="00453505" w:rsidRPr="00CA5AFC" w:rsidRDefault="00453505" w:rsidP="00587DFB">
            <w:pPr>
              <w:rPr>
                <w:bCs/>
                <w:iCs/>
              </w:rPr>
            </w:pPr>
            <w:r w:rsidRPr="00CA5AFC">
              <w:rPr>
                <w:bCs/>
                <w:iCs/>
              </w:rPr>
              <w:t>Les services fixe, mobile, d'exploitation spatiale (espace vers Terre) (espace</w:t>
            </w:r>
            <w:r w:rsidR="00B02275" w:rsidRPr="00CA5AFC">
              <w:rPr>
                <w:bCs/>
                <w:iCs/>
              </w:rPr>
              <w:t>-</w:t>
            </w:r>
            <w:r w:rsidRPr="00CA5AFC">
              <w:rPr>
                <w:bCs/>
                <w:iCs/>
              </w:rPr>
              <w:t>espace), d'exploration de la Terre par satellite (espace vers Terre) (espace-espace) et de recherche spatiale (espace vers Terre) (espace-espace)</w:t>
            </w:r>
            <w:r w:rsidR="00B02275" w:rsidRPr="00CA5AFC">
              <w:rPr>
                <w:bCs/>
                <w:iCs/>
              </w:rPr>
              <w:t xml:space="preserve">, qui </w:t>
            </w:r>
            <w:r w:rsidRPr="00CA5AFC">
              <w:rPr>
                <w:bCs/>
                <w:iCs/>
              </w:rPr>
              <w:t>sont des services existants dans la bande de fréquences 2</w:t>
            </w:r>
            <w:r w:rsidR="00733B9C" w:rsidRPr="00CA5AFC">
              <w:rPr>
                <w:bCs/>
                <w:iCs/>
              </w:rPr>
              <w:t> </w:t>
            </w:r>
            <w:r w:rsidRPr="00CA5AFC">
              <w:rPr>
                <w:bCs/>
                <w:iCs/>
              </w:rPr>
              <w:t>200</w:t>
            </w:r>
            <w:r w:rsidR="00733B9C" w:rsidRPr="00CA5AFC">
              <w:rPr>
                <w:bCs/>
                <w:iCs/>
              </w:rPr>
              <w:noBreakHyphen/>
            </w:r>
            <w:r w:rsidRPr="00CA5AFC">
              <w:rPr>
                <w:bCs/>
                <w:iCs/>
              </w:rPr>
              <w:t>2</w:t>
            </w:r>
            <w:r w:rsidR="00733B9C" w:rsidRPr="00CA5AFC">
              <w:rPr>
                <w:bCs/>
                <w:iCs/>
              </w:rPr>
              <w:t> </w:t>
            </w:r>
            <w:r w:rsidRPr="00CA5AFC">
              <w:rPr>
                <w:bCs/>
                <w:iCs/>
              </w:rPr>
              <w:t>215</w:t>
            </w:r>
            <w:r w:rsidR="00733B9C" w:rsidRPr="00CA5AFC">
              <w:rPr>
                <w:bCs/>
                <w:iCs/>
              </w:rPr>
              <w:t> </w:t>
            </w:r>
            <w:r w:rsidRPr="00CA5AFC">
              <w:rPr>
                <w:bCs/>
                <w:iCs/>
              </w:rPr>
              <w:t>MHz.</w:t>
            </w:r>
          </w:p>
        </w:tc>
      </w:tr>
      <w:tr w:rsidR="00640B89" w:rsidRPr="00CA5AFC" w14:paraId="23DBE317" w14:textId="77777777" w:rsidTr="00D504C8">
        <w:tc>
          <w:tcPr>
            <w:tcW w:w="9723" w:type="dxa"/>
            <w:gridSpan w:val="2"/>
            <w:tcBorders>
              <w:top w:val="single" w:sz="4" w:space="0" w:color="auto"/>
              <w:left w:val="nil"/>
              <w:bottom w:val="single" w:sz="4" w:space="0" w:color="auto"/>
              <w:right w:val="nil"/>
            </w:tcBorders>
          </w:tcPr>
          <w:p w14:paraId="731D80E4" w14:textId="77777777" w:rsidR="005E4777" w:rsidRPr="00CA5AFC" w:rsidRDefault="00640B89" w:rsidP="00D504C8">
            <w:pPr>
              <w:rPr>
                <w:b/>
                <w:bCs/>
              </w:rPr>
            </w:pPr>
            <w:r w:rsidRPr="00CA5AFC">
              <w:rPr>
                <w:b/>
                <w:bCs/>
                <w:i/>
                <w:iCs/>
              </w:rPr>
              <w:t>Indication des difficultés éventuelles</w:t>
            </w:r>
            <w:r w:rsidRPr="00CA5AFC">
              <w:rPr>
                <w:b/>
                <w:bCs/>
              </w:rPr>
              <w:t>:</w:t>
            </w:r>
          </w:p>
          <w:p w14:paraId="7F596746" w14:textId="22A9E158" w:rsidR="00640B89" w:rsidRPr="00CA5AFC" w:rsidRDefault="002C3F93" w:rsidP="00587DFB">
            <w:r w:rsidRPr="00CA5AFC">
              <w:t>Aucune difficulté recensée</w:t>
            </w:r>
          </w:p>
        </w:tc>
      </w:tr>
      <w:tr w:rsidR="00640B89" w:rsidRPr="00CA5AFC" w14:paraId="7D5044CF" w14:textId="77777777" w:rsidTr="00D504C8">
        <w:tc>
          <w:tcPr>
            <w:tcW w:w="9723" w:type="dxa"/>
            <w:gridSpan w:val="2"/>
            <w:tcBorders>
              <w:top w:val="single" w:sz="4" w:space="0" w:color="auto"/>
              <w:left w:val="nil"/>
              <w:bottom w:val="single" w:sz="4" w:space="0" w:color="auto"/>
              <w:right w:val="nil"/>
            </w:tcBorders>
          </w:tcPr>
          <w:p w14:paraId="0DD55620" w14:textId="77777777" w:rsidR="005E041E" w:rsidRPr="00CA5AFC" w:rsidRDefault="00640B89" w:rsidP="00587DFB">
            <w:r w:rsidRPr="00CA5AFC">
              <w:rPr>
                <w:b/>
                <w:bCs/>
                <w:i/>
                <w:iCs/>
              </w:rPr>
              <w:t>Études précédentes ou en cours sur la question</w:t>
            </w:r>
            <w:r w:rsidRPr="00CA5AFC">
              <w:rPr>
                <w:b/>
                <w:bCs/>
              </w:rPr>
              <w:t>:</w:t>
            </w:r>
            <w:r w:rsidR="00E916ED" w:rsidRPr="00CA5AFC">
              <w:t xml:space="preserve"> </w:t>
            </w:r>
          </w:p>
          <w:p w14:paraId="45A3B5B5" w14:textId="15984680" w:rsidR="00640B89" w:rsidRPr="00CA5AFC" w:rsidRDefault="00E916ED" w:rsidP="00587DFB">
            <w:r w:rsidRPr="00CA5AFC">
              <w:t>Aucune étude sur la coexistence n'a été entreprise auparavant à l'UIT concernant «l'utilisation de la composante satellite des IMT» dans les bandes de fréquences cibles.</w:t>
            </w:r>
          </w:p>
          <w:p w14:paraId="347EBE1E" w14:textId="4A6D2C0F" w:rsidR="00640B89" w:rsidRPr="00CA5AFC" w:rsidRDefault="00E916ED" w:rsidP="005E4777">
            <w:pPr>
              <w:keepLines/>
            </w:pPr>
            <w:r w:rsidRPr="00CA5AFC">
              <w:t>L</w:t>
            </w:r>
            <w:r w:rsidR="00640B89" w:rsidRPr="00CA5AFC">
              <w:t>es études précédentes ont porté uniquement sur les besoins de spectre de la composante satellite des IMT – IMT-2000 et des systèmes postérieurs aux IMT-2000 (</w:t>
            </w:r>
            <w:r w:rsidR="005E041E" w:rsidRPr="00CA5AFC">
              <w:t>R</w:t>
            </w:r>
            <w:r w:rsidR="00640B89" w:rsidRPr="00CA5AFC">
              <w:t>apport UIT-R M.2077) et les besoins de spectre des nouvelles applications large bande du SMS dans la gamme de fréquences 4</w:t>
            </w:r>
            <w:r w:rsidR="005E041E" w:rsidRPr="00CA5AFC">
              <w:noBreakHyphen/>
            </w:r>
            <w:r w:rsidR="00640B89" w:rsidRPr="00CA5AFC">
              <w:t>16 GHz (</w:t>
            </w:r>
            <w:r w:rsidR="005E041E" w:rsidRPr="00CA5AFC">
              <w:t>R</w:t>
            </w:r>
            <w:r w:rsidR="00640B89" w:rsidRPr="00CA5AFC">
              <w:t>apports UIT</w:t>
            </w:r>
            <w:r w:rsidR="00640B89" w:rsidRPr="00CA5AFC">
              <w:noBreakHyphen/>
              <w:t>R M.2218 et UIT-R M.2221)</w:t>
            </w:r>
            <w:r w:rsidR="00BF7A41" w:rsidRPr="00CA5AFC">
              <w:t>.</w:t>
            </w:r>
          </w:p>
        </w:tc>
      </w:tr>
      <w:tr w:rsidR="00640B89" w:rsidRPr="00CA5AFC" w14:paraId="3DCC9C54" w14:textId="77777777" w:rsidTr="00D504C8">
        <w:tc>
          <w:tcPr>
            <w:tcW w:w="4627" w:type="dxa"/>
            <w:tcBorders>
              <w:top w:val="single" w:sz="4" w:space="0" w:color="auto"/>
              <w:left w:val="nil"/>
              <w:bottom w:val="single" w:sz="4" w:space="0" w:color="auto"/>
              <w:right w:val="single" w:sz="4" w:space="0" w:color="auto"/>
            </w:tcBorders>
          </w:tcPr>
          <w:p w14:paraId="0773BF9F" w14:textId="77777777" w:rsidR="00640B89" w:rsidRPr="00CA5AFC" w:rsidRDefault="00640B89" w:rsidP="005E041E">
            <w:pPr>
              <w:keepNext/>
              <w:keepLines/>
            </w:pPr>
            <w:r w:rsidRPr="00CA5AFC">
              <w:rPr>
                <w:b/>
                <w:bCs/>
                <w:i/>
                <w:iCs/>
              </w:rPr>
              <w:t>Études devant être réalisées par</w:t>
            </w:r>
            <w:r w:rsidRPr="00CA5AFC">
              <w:rPr>
                <w:b/>
                <w:bCs/>
              </w:rPr>
              <w:t>:</w:t>
            </w:r>
            <w:r w:rsidR="00676AAA" w:rsidRPr="00CA5AFC">
              <w:rPr>
                <w:b/>
                <w:bCs/>
              </w:rPr>
              <w:t xml:space="preserve"> </w:t>
            </w:r>
            <w:r w:rsidR="00676AAA" w:rsidRPr="00CA5AFC">
              <w:t>GT 4C</w:t>
            </w:r>
          </w:p>
          <w:p w14:paraId="64B85A19" w14:textId="40FB658E" w:rsidR="00CF1D68" w:rsidRPr="00CA5AFC" w:rsidRDefault="00CF1D68" w:rsidP="005E041E">
            <w:pPr>
              <w:keepNext/>
              <w:keepLines/>
            </w:pPr>
          </w:p>
        </w:tc>
        <w:tc>
          <w:tcPr>
            <w:tcW w:w="5096" w:type="dxa"/>
            <w:tcBorders>
              <w:top w:val="single" w:sz="4" w:space="0" w:color="auto"/>
              <w:left w:val="single" w:sz="4" w:space="0" w:color="auto"/>
              <w:bottom w:val="single" w:sz="4" w:space="0" w:color="auto"/>
              <w:right w:val="nil"/>
            </w:tcBorders>
          </w:tcPr>
          <w:p w14:paraId="72BA0092" w14:textId="77777777" w:rsidR="005E4777" w:rsidRPr="00CA5AFC" w:rsidRDefault="00640B89" w:rsidP="005E041E">
            <w:pPr>
              <w:keepNext/>
              <w:keepLines/>
              <w:rPr>
                <w:b/>
                <w:bCs/>
              </w:rPr>
            </w:pPr>
            <w:r w:rsidRPr="00CA5AFC">
              <w:rPr>
                <w:b/>
                <w:bCs/>
                <w:i/>
                <w:iCs/>
              </w:rPr>
              <w:t>avec la participation de</w:t>
            </w:r>
            <w:r w:rsidRPr="00CA5AFC">
              <w:rPr>
                <w:b/>
                <w:bCs/>
              </w:rPr>
              <w:t>:</w:t>
            </w:r>
            <w:bookmarkStart w:id="9" w:name="lt_pId171"/>
          </w:p>
          <w:p w14:paraId="0F655723" w14:textId="1E44E6C3" w:rsidR="00640B89" w:rsidRPr="00CA5AFC" w:rsidRDefault="00676AAA" w:rsidP="005E041E">
            <w:pPr>
              <w:keepNext/>
              <w:keepLines/>
              <w:rPr>
                <w:b/>
                <w:i/>
                <w:color w:val="000000"/>
              </w:rPr>
            </w:pPr>
            <w:r w:rsidRPr="00CA5AFC">
              <w:t>GT 4A, GT 4B, GT 5A, GT 5D, GT 7B, GT 7C</w:t>
            </w:r>
            <w:bookmarkEnd w:id="9"/>
          </w:p>
        </w:tc>
      </w:tr>
    </w:tbl>
    <w:p w14:paraId="7E1FFE4C" w14:textId="77777777" w:rsidR="005E041E" w:rsidRPr="00CA5AFC" w:rsidRDefault="005E041E"/>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640B89" w:rsidRPr="00CA5AFC" w14:paraId="1F148E98" w14:textId="77777777" w:rsidTr="00D504C8">
        <w:tc>
          <w:tcPr>
            <w:tcW w:w="9723" w:type="dxa"/>
            <w:gridSpan w:val="2"/>
            <w:tcBorders>
              <w:top w:val="single" w:sz="4" w:space="0" w:color="auto"/>
              <w:left w:val="nil"/>
              <w:bottom w:val="single" w:sz="4" w:space="0" w:color="auto"/>
              <w:right w:val="nil"/>
            </w:tcBorders>
          </w:tcPr>
          <w:p w14:paraId="4318DFBE" w14:textId="77777777" w:rsidR="005E4777" w:rsidRPr="00CA5AFC" w:rsidRDefault="00640B89" w:rsidP="005E041E">
            <w:pPr>
              <w:keepNext/>
              <w:keepLines/>
              <w:rPr>
                <w:b/>
                <w:bCs/>
              </w:rPr>
            </w:pPr>
            <w:r w:rsidRPr="00CA5AFC">
              <w:rPr>
                <w:b/>
                <w:bCs/>
                <w:i/>
                <w:iCs/>
              </w:rPr>
              <w:lastRenderedPageBreak/>
              <w:t>Commissions d'études de l'UIT-R concernées</w:t>
            </w:r>
            <w:r w:rsidRPr="00CA5AFC">
              <w:rPr>
                <w:b/>
                <w:bCs/>
              </w:rPr>
              <w:t>:</w:t>
            </w:r>
          </w:p>
          <w:p w14:paraId="2FCB2343" w14:textId="2C4C5DF5" w:rsidR="00640B89" w:rsidRPr="00CA5AFC" w:rsidRDefault="00676AAA" w:rsidP="005E041E">
            <w:pPr>
              <w:keepNext/>
              <w:keepLines/>
            </w:pPr>
            <w:r w:rsidRPr="00CA5AFC">
              <w:t>CE 4, CE 5, CE 7</w:t>
            </w:r>
          </w:p>
        </w:tc>
      </w:tr>
      <w:tr w:rsidR="00640B89" w:rsidRPr="00CA5AFC" w14:paraId="6FA59182" w14:textId="77777777" w:rsidTr="00D504C8">
        <w:tc>
          <w:tcPr>
            <w:tcW w:w="9723" w:type="dxa"/>
            <w:gridSpan w:val="2"/>
            <w:tcBorders>
              <w:top w:val="single" w:sz="4" w:space="0" w:color="auto"/>
              <w:left w:val="nil"/>
              <w:bottom w:val="single" w:sz="4" w:space="0" w:color="auto"/>
              <w:right w:val="nil"/>
            </w:tcBorders>
          </w:tcPr>
          <w:p w14:paraId="5C1866D0" w14:textId="77777777" w:rsidR="005E4777" w:rsidRPr="00CA5AFC" w:rsidRDefault="00640B89" w:rsidP="005E041E">
            <w:pPr>
              <w:keepNext/>
              <w:keepLines/>
              <w:rPr>
                <w:b/>
                <w:bCs/>
              </w:rPr>
            </w:pPr>
            <w:r w:rsidRPr="00CA5AFC">
              <w:rPr>
                <w:b/>
                <w:bCs/>
                <w:i/>
                <w:iCs/>
              </w:rPr>
              <w:t>Répercussions au niveau des ressources de l'UIT, y compris incidences financières</w:t>
            </w:r>
            <w:r w:rsidRPr="00CA5AFC">
              <w:rPr>
                <w:b/>
                <w:bCs/>
                <w:i/>
                <w:iCs/>
              </w:rPr>
              <w:br/>
              <w:t>(voir le numéro 126 de la Convention)</w:t>
            </w:r>
            <w:r w:rsidRPr="00CA5AFC">
              <w:rPr>
                <w:b/>
                <w:bCs/>
              </w:rPr>
              <w:t>:</w:t>
            </w:r>
          </w:p>
          <w:p w14:paraId="42AFDC5C" w14:textId="5FBFCC95" w:rsidR="00640B89" w:rsidRPr="00CA5AFC" w:rsidRDefault="005E1248" w:rsidP="005E041E">
            <w:pPr>
              <w:keepNext/>
              <w:keepLines/>
            </w:pPr>
            <w:r w:rsidRPr="00CA5AFC">
              <w:t xml:space="preserve">Les répercussions au niveau des ressources de toutes les activités/études relatives à cette proposition de point de l'ordre du jour devraient être couvertes dans les limites </w:t>
            </w:r>
            <w:r w:rsidR="00BF7A41" w:rsidRPr="00CA5AFC">
              <w:t xml:space="preserve">du budget </w:t>
            </w:r>
            <w:r w:rsidR="00A562BF" w:rsidRPr="00CA5AFC">
              <w:t xml:space="preserve">ordinaire </w:t>
            </w:r>
            <w:r w:rsidR="00BF7A41" w:rsidRPr="00CA5AFC">
              <w:t>existant</w:t>
            </w:r>
            <w:r w:rsidRPr="00CA5AFC">
              <w:t xml:space="preserve"> de l'UIT-R et</w:t>
            </w:r>
            <w:r w:rsidR="00F7117A" w:rsidRPr="00CA5AFC">
              <w:t>,</w:t>
            </w:r>
            <w:r w:rsidRPr="00CA5AFC">
              <w:t xml:space="preserve"> </w:t>
            </w:r>
            <w:r w:rsidR="00F7117A" w:rsidRPr="00CA5AFC">
              <w:t>u</w:t>
            </w:r>
            <w:r w:rsidRPr="00CA5AFC">
              <w:t>ne fo</w:t>
            </w:r>
            <w:r w:rsidR="00F7117A" w:rsidRPr="00CA5AFC">
              <w:t xml:space="preserve">is approuvé, </w:t>
            </w:r>
            <w:r w:rsidR="00BF7A41" w:rsidRPr="00CA5AFC">
              <w:t>du budget</w:t>
            </w:r>
            <w:r w:rsidR="00F7117A" w:rsidRPr="00CA5AFC">
              <w:t xml:space="preserve"> de la CMR-27.</w:t>
            </w:r>
          </w:p>
        </w:tc>
      </w:tr>
      <w:tr w:rsidR="00640B89" w:rsidRPr="00CA5AFC" w14:paraId="2D5CA14D" w14:textId="77777777" w:rsidTr="00D504C8">
        <w:tc>
          <w:tcPr>
            <w:tcW w:w="4627" w:type="dxa"/>
            <w:tcBorders>
              <w:top w:val="single" w:sz="4" w:space="0" w:color="auto"/>
              <w:left w:val="nil"/>
              <w:bottom w:val="single" w:sz="4" w:space="0" w:color="auto"/>
              <w:right w:val="nil"/>
            </w:tcBorders>
          </w:tcPr>
          <w:p w14:paraId="3DCC0B22" w14:textId="77777777" w:rsidR="00640B89" w:rsidRPr="00CA5AFC" w:rsidRDefault="00640B89" w:rsidP="005E041E">
            <w:pPr>
              <w:keepNext/>
              <w:keepLines/>
              <w:rPr>
                <w:b/>
                <w:iCs/>
              </w:rPr>
            </w:pPr>
            <w:r w:rsidRPr="00CA5AFC">
              <w:rPr>
                <w:b/>
                <w:bCs/>
                <w:i/>
                <w:iCs/>
              </w:rPr>
              <w:t>Proposition régionale commune</w:t>
            </w:r>
            <w:r w:rsidRPr="00CA5AFC">
              <w:rPr>
                <w:b/>
                <w:bCs/>
              </w:rPr>
              <w:t xml:space="preserve">: </w:t>
            </w:r>
            <w:r w:rsidRPr="00CA5AFC">
              <w:t>Oui/Non</w:t>
            </w:r>
          </w:p>
        </w:tc>
        <w:tc>
          <w:tcPr>
            <w:tcW w:w="5096" w:type="dxa"/>
            <w:tcBorders>
              <w:top w:val="single" w:sz="4" w:space="0" w:color="auto"/>
              <w:left w:val="nil"/>
              <w:bottom w:val="single" w:sz="4" w:space="0" w:color="auto"/>
              <w:right w:val="nil"/>
            </w:tcBorders>
          </w:tcPr>
          <w:p w14:paraId="57D3E833" w14:textId="77777777" w:rsidR="00640B89" w:rsidRPr="00CA5AFC" w:rsidRDefault="00640B89" w:rsidP="005E041E">
            <w:pPr>
              <w:keepNext/>
              <w:keepLines/>
            </w:pPr>
            <w:r w:rsidRPr="00CA5AFC">
              <w:rPr>
                <w:b/>
                <w:bCs/>
                <w:i/>
                <w:iCs/>
              </w:rPr>
              <w:t>Proposition soumise par plusieurs pays</w:t>
            </w:r>
            <w:r w:rsidRPr="00CA5AFC">
              <w:rPr>
                <w:b/>
                <w:bCs/>
              </w:rPr>
              <w:t xml:space="preserve">: </w:t>
            </w:r>
            <w:r w:rsidRPr="00CA5AFC">
              <w:t>Oui/Non</w:t>
            </w:r>
          </w:p>
          <w:p w14:paraId="7C4508C2" w14:textId="77777777" w:rsidR="00640B89" w:rsidRPr="00CA5AFC" w:rsidRDefault="00640B89" w:rsidP="005E041E">
            <w:pPr>
              <w:keepNext/>
              <w:keepLines/>
              <w:rPr>
                <w:b/>
                <w:bCs/>
              </w:rPr>
            </w:pPr>
            <w:r w:rsidRPr="00CA5AFC">
              <w:rPr>
                <w:b/>
                <w:bCs/>
                <w:i/>
                <w:iCs/>
              </w:rPr>
              <w:t>Nombre de pays</w:t>
            </w:r>
            <w:r w:rsidRPr="00CA5AFC">
              <w:rPr>
                <w:b/>
                <w:bCs/>
              </w:rPr>
              <w:t>:</w:t>
            </w:r>
          </w:p>
          <w:p w14:paraId="7BDB7677" w14:textId="2C6B9941" w:rsidR="005E041E" w:rsidRPr="00CA5AFC" w:rsidRDefault="005E041E" w:rsidP="005E041E">
            <w:pPr>
              <w:keepNext/>
              <w:keepLines/>
            </w:pPr>
          </w:p>
        </w:tc>
      </w:tr>
      <w:tr w:rsidR="00640B89" w:rsidRPr="00CA5AFC" w14:paraId="0DCB0D98" w14:textId="77777777" w:rsidTr="00D504C8">
        <w:tc>
          <w:tcPr>
            <w:tcW w:w="9723" w:type="dxa"/>
            <w:gridSpan w:val="2"/>
            <w:tcBorders>
              <w:top w:val="single" w:sz="4" w:space="0" w:color="auto"/>
              <w:left w:val="nil"/>
              <w:bottom w:val="nil"/>
              <w:right w:val="nil"/>
            </w:tcBorders>
          </w:tcPr>
          <w:p w14:paraId="55A4DA5E" w14:textId="77777777" w:rsidR="00640B89" w:rsidRPr="00CA5AFC" w:rsidRDefault="00640B89" w:rsidP="005E041E">
            <w:pPr>
              <w:keepNext/>
              <w:keepLines/>
            </w:pPr>
            <w:r w:rsidRPr="00CA5AFC">
              <w:rPr>
                <w:b/>
                <w:bCs/>
                <w:i/>
                <w:iCs/>
              </w:rPr>
              <w:t>Observations</w:t>
            </w:r>
          </w:p>
          <w:p w14:paraId="305A285C" w14:textId="77777777" w:rsidR="00640B89" w:rsidRPr="00CA5AFC" w:rsidRDefault="00640B89" w:rsidP="005E041E">
            <w:pPr>
              <w:keepNext/>
              <w:keepLines/>
              <w:rPr>
                <w:b/>
                <w:i/>
              </w:rPr>
            </w:pPr>
          </w:p>
        </w:tc>
      </w:tr>
    </w:tbl>
    <w:p w14:paraId="220953F6" w14:textId="4C35AE0E" w:rsidR="00640B89" w:rsidRPr="00CA5AFC" w:rsidRDefault="00640B89">
      <w:pPr>
        <w:jc w:val="center"/>
      </w:pPr>
      <w:r w:rsidRPr="00CA5AFC">
        <w:t>______________</w:t>
      </w:r>
    </w:p>
    <w:sectPr w:rsidR="00640B89" w:rsidRPr="00CA5AFC">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2633" w14:textId="77777777" w:rsidR="00CB685A" w:rsidRDefault="00CB685A">
      <w:r>
        <w:separator/>
      </w:r>
    </w:p>
  </w:endnote>
  <w:endnote w:type="continuationSeparator" w:id="0">
    <w:p w14:paraId="1F58DEFB"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3CFD" w14:textId="7774C4F3"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65299E">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99FF" w14:textId="2D09346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574B4F">
      <w:rPr>
        <w:lang w:val="en-US"/>
      </w:rPr>
      <w:t>P:\FRA\ITU-R\CONF-R\CMR23\100\186F.docx</w:t>
    </w:r>
    <w:r>
      <w:fldChar w:fldCharType="end"/>
    </w:r>
    <w:r w:rsidR="00B7368E">
      <w:t xml:space="preserve"> </w:t>
    </w:r>
    <w:r w:rsidR="00B7368E" w:rsidRPr="00B7368E">
      <w:t>(530521)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D41A" w14:textId="009CD96E"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5E4777">
      <w:rPr>
        <w:lang w:val="en-US"/>
      </w:rPr>
      <w:t>P:\FRA\ITU-R\CONF-R\CMR23\100\186F.docx</w:t>
    </w:r>
    <w:r>
      <w:fldChar w:fldCharType="end"/>
    </w:r>
    <w:r w:rsidR="00B7368E">
      <w:t xml:space="preserve"> </w:t>
    </w:r>
    <w:r w:rsidR="00B7368E" w:rsidRPr="00B7368E">
      <w:t>(530521)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160A" w14:textId="77777777" w:rsidR="00CB685A" w:rsidRDefault="00CB685A">
      <w:r>
        <w:rPr>
          <w:b/>
        </w:rPr>
        <w:t>_______________</w:t>
      </w:r>
    </w:p>
  </w:footnote>
  <w:footnote w:type="continuationSeparator" w:id="0">
    <w:p w14:paraId="4EC697D4" w14:textId="77777777" w:rsidR="00CB685A" w:rsidRDefault="00CB685A">
      <w:r>
        <w:continuationSeparator/>
      </w:r>
    </w:p>
  </w:footnote>
  <w:footnote w:id="1">
    <w:p w14:paraId="2D8414D3" w14:textId="219A9BC6" w:rsidR="00D93E13" w:rsidRPr="0080033B" w:rsidRDefault="00D93E13" w:rsidP="00D93E13">
      <w:pPr>
        <w:pStyle w:val="FootnoteText"/>
        <w:rPr>
          <w:lang w:val="en-US"/>
        </w:rPr>
      </w:pPr>
      <w:r>
        <w:rPr>
          <w:rStyle w:val="FootnoteReference"/>
          <w:rFonts w:eastAsia="BatangChe"/>
        </w:rPr>
        <w:footnoteRef/>
      </w:r>
      <w:r w:rsidRPr="00D93E13">
        <w:rPr>
          <w:lang w:val="en-GB"/>
        </w:rPr>
        <w:tab/>
      </w:r>
      <w:bookmarkStart w:id="8" w:name="lt_pId181"/>
      <w:r>
        <w:rPr>
          <w:lang w:val="en-US"/>
        </w:rPr>
        <w:t xml:space="preserve">«The Mobile Economy», GSMA 2022, </w:t>
      </w:r>
      <w:hyperlink r:id="rId1" w:history="1">
        <w:r w:rsidRPr="00FC3A90">
          <w:rPr>
            <w:rStyle w:val="Hyperlink"/>
            <w:lang w:val="en-US"/>
          </w:rPr>
          <w:t>www.gsma.com/mobileeconomy</w:t>
        </w:r>
      </w:hyperlink>
      <w:r>
        <w:rPr>
          <w:lang w:val="en-US"/>
        </w:rPr>
        <w:t>.</w:t>
      </w:r>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5EDB" w14:textId="771CCB63" w:rsidR="004F1F8E" w:rsidRDefault="004F1F8E" w:rsidP="004F1F8E">
    <w:pPr>
      <w:pStyle w:val="Header"/>
    </w:pPr>
    <w:r>
      <w:fldChar w:fldCharType="begin"/>
    </w:r>
    <w:r>
      <w:instrText xml:space="preserve"> PAGE </w:instrText>
    </w:r>
    <w:r>
      <w:fldChar w:fldCharType="separate"/>
    </w:r>
    <w:r w:rsidR="00C46AF4">
      <w:rPr>
        <w:noProof/>
      </w:rPr>
      <w:t>11</w:t>
    </w:r>
    <w:r>
      <w:fldChar w:fldCharType="end"/>
    </w:r>
  </w:p>
  <w:p w14:paraId="7229CDF3" w14:textId="77777777" w:rsidR="004F1F8E" w:rsidRDefault="00225CF2" w:rsidP="00FD7AA3">
    <w:pPr>
      <w:pStyle w:val="Header"/>
    </w:pPr>
    <w:r>
      <w:t>WRC</w:t>
    </w:r>
    <w:r w:rsidR="00D3426F">
      <w:t>23</w:t>
    </w:r>
    <w:r w:rsidR="004F1F8E">
      <w:t>/</w:t>
    </w:r>
    <w:r w:rsidR="006A4B45">
      <w:t>186-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60931522">
    <w:abstractNumId w:val="0"/>
  </w:num>
  <w:num w:numId="2" w16cid:durableId="181039566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3BF7"/>
    <w:rsid w:val="00005801"/>
    <w:rsid w:val="000061BA"/>
    <w:rsid w:val="00007EC7"/>
    <w:rsid w:val="00010B43"/>
    <w:rsid w:val="00016648"/>
    <w:rsid w:val="0003522F"/>
    <w:rsid w:val="0003769B"/>
    <w:rsid w:val="00042FBE"/>
    <w:rsid w:val="000441ED"/>
    <w:rsid w:val="00063A1F"/>
    <w:rsid w:val="00066411"/>
    <w:rsid w:val="00075DB0"/>
    <w:rsid w:val="00080E2C"/>
    <w:rsid w:val="00081366"/>
    <w:rsid w:val="000863B3"/>
    <w:rsid w:val="000A4755"/>
    <w:rsid w:val="000A55AE"/>
    <w:rsid w:val="000B2E0C"/>
    <w:rsid w:val="000B3D0C"/>
    <w:rsid w:val="001027D8"/>
    <w:rsid w:val="001167B9"/>
    <w:rsid w:val="001267A0"/>
    <w:rsid w:val="00134380"/>
    <w:rsid w:val="00135DF4"/>
    <w:rsid w:val="0015203F"/>
    <w:rsid w:val="00160C64"/>
    <w:rsid w:val="00164B75"/>
    <w:rsid w:val="001719EE"/>
    <w:rsid w:val="00175C94"/>
    <w:rsid w:val="0018169B"/>
    <w:rsid w:val="001831C2"/>
    <w:rsid w:val="0018570C"/>
    <w:rsid w:val="0019352B"/>
    <w:rsid w:val="001960D0"/>
    <w:rsid w:val="001A11F6"/>
    <w:rsid w:val="001B0F1C"/>
    <w:rsid w:val="001C5839"/>
    <w:rsid w:val="001F17E8"/>
    <w:rsid w:val="001F491F"/>
    <w:rsid w:val="00204306"/>
    <w:rsid w:val="0022485D"/>
    <w:rsid w:val="00225CF2"/>
    <w:rsid w:val="00230F35"/>
    <w:rsid w:val="00232FD2"/>
    <w:rsid w:val="00236B8B"/>
    <w:rsid w:val="00240F17"/>
    <w:rsid w:val="00241260"/>
    <w:rsid w:val="0026554E"/>
    <w:rsid w:val="00272057"/>
    <w:rsid w:val="00286A3E"/>
    <w:rsid w:val="00290A4A"/>
    <w:rsid w:val="002923B4"/>
    <w:rsid w:val="00293AE0"/>
    <w:rsid w:val="002A1D61"/>
    <w:rsid w:val="002A3CBC"/>
    <w:rsid w:val="002A4622"/>
    <w:rsid w:val="002A6F8F"/>
    <w:rsid w:val="002B1109"/>
    <w:rsid w:val="002B17E5"/>
    <w:rsid w:val="002B5B22"/>
    <w:rsid w:val="002C0EBF"/>
    <w:rsid w:val="002C28A4"/>
    <w:rsid w:val="002C3F93"/>
    <w:rsid w:val="002C5DC3"/>
    <w:rsid w:val="002C7E4D"/>
    <w:rsid w:val="002D375B"/>
    <w:rsid w:val="002D7E0A"/>
    <w:rsid w:val="00315AFE"/>
    <w:rsid w:val="00321EA8"/>
    <w:rsid w:val="0033786F"/>
    <w:rsid w:val="003411F6"/>
    <w:rsid w:val="003447B8"/>
    <w:rsid w:val="003452B7"/>
    <w:rsid w:val="003500D5"/>
    <w:rsid w:val="003527B7"/>
    <w:rsid w:val="00356457"/>
    <w:rsid w:val="003606A6"/>
    <w:rsid w:val="00365EA0"/>
    <w:rsid w:val="0036650C"/>
    <w:rsid w:val="003730F5"/>
    <w:rsid w:val="00393ACD"/>
    <w:rsid w:val="003A583E"/>
    <w:rsid w:val="003B0D25"/>
    <w:rsid w:val="003D7A75"/>
    <w:rsid w:val="003E112B"/>
    <w:rsid w:val="003E1D1C"/>
    <w:rsid w:val="003E2107"/>
    <w:rsid w:val="003E2BAA"/>
    <w:rsid w:val="003E7B05"/>
    <w:rsid w:val="003F36BD"/>
    <w:rsid w:val="003F3719"/>
    <w:rsid w:val="003F6F2D"/>
    <w:rsid w:val="004055BF"/>
    <w:rsid w:val="00411759"/>
    <w:rsid w:val="00413FD2"/>
    <w:rsid w:val="004244EF"/>
    <w:rsid w:val="004252E0"/>
    <w:rsid w:val="00433C64"/>
    <w:rsid w:val="00434952"/>
    <w:rsid w:val="004414F7"/>
    <w:rsid w:val="0044686E"/>
    <w:rsid w:val="00453505"/>
    <w:rsid w:val="00453C4A"/>
    <w:rsid w:val="00466211"/>
    <w:rsid w:val="00483196"/>
    <w:rsid w:val="004834A9"/>
    <w:rsid w:val="00484987"/>
    <w:rsid w:val="004854E6"/>
    <w:rsid w:val="00492448"/>
    <w:rsid w:val="004A6040"/>
    <w:rsid w:val="004C437F"/>
    <w:rsid w:val="004D01FC"/>
    <w:rsid w:val="004D3D50"/>
    <w:rsid w:val="004D468E"/>
    <w:rsid w:val="004E28C3"/>
    <w:rsid w:val="004F1F8E"/>
    <w:rsid w:val="00506F84"/>
    <w:rsid w:val="00510F34"/>
    <w:rsid w:val="00512A32"/>
    <w:rsid w:val="00525989"/>
    <w:rsid w:val="005343DA"/>
    <w:rsid w:val="00560874"/>
    <w:rsid w:val="005641B5"/>
    <w:rsid w:val="00574635"/>
    <w:rsid w:val="00574B4F"/>
    <w:rsid w:val="005843BB"/>
    <w:rsid w:val="005851F4"/>
    <w:rsid w:val="00586CF2"/>
    <w:rsid w:val="00587DFB"/>
    <w:rsid w:val="005965E3"/>
    <w:rsid w:val="005A182A"/>
    <w:rsid w:val="005A18FF"/>
    <w:rsid w:val="005A5511"/>
    <w:rsid w:val="005A7C75"/>
    <w:rsid w:val="005B1C9D"/>
    <w:rsid w:val="005B4EDE"/>
    <w:rsid w:val="005C3768"/>
    <w:rsid w:val="005C6C3F"/>
    <w:rsid w:val="005D3B10"/>
    <w:rsid w:val="005E041E"/>
    <w:rsid w:val="005E1248"/>
    <w:rsid w:val="005E4777"/>
    <w:rsid w:val="005F4D51"/>
    <w:rsid w:val="005F7A08"/>
    <w:rsid w:val="00613635"/>
    <w:rsid w:val="0062093D"/>
    <w:rsid w:val="00622F90"/>
    <w:rsid w:val="006274E0"/>
    <w:rsid w:val="00637181"/>
    <w:rsid w:val="00637ECF"/>
    <w:rsid w:val="00640B89"/>
    <w:rsid w:val="00647B59"/>
    <w:rsid w:val="00650AD3"/>
    <w:rsid w:val="0065299E"/>
    <w:rsid w:val="006619B8"/>
    <w:rsid w:val="0067087A"/>
    <w:rsid w:val="00676AAA"/>
    <w:rsid w:val="0068300B"/>
    <w:rsid w:val="00690C7B"/>
    <w:rsid w:val="006A4B45"/>
    <w:rsid w:val="006C1579"/>
    <w:rsid w:val="006C6D84"/>
    <w:rsid w:val="006D3BD6"/>
    <w:rsid w:val="006D4724"/>
    <w:rsid w:val="006F5FA2"/>
    <w:rsid w:val="0070076C"/>
    <w:rsid w:val="00700A02"/>
    <w:rsid w:val="00701BAE"/>
    <w:rsid w:val="00701CA6"/>
    <w:rsid w:val="0071576E"/>
    <w:rsid w:val="00721F04"/>
    <w:rsid w:val="0072285E"/>
    <w:rsid w:val="007260FD"/>
    <w:rsid w:val="00730E95"/>
    <w:rsid w:val="00733B9C"/>
    <w:rsid w:val="007426B9"/>
    <w:rsid w:val="007641D2"/>
    <w:rsid w:val="00764342"/>
    <w:rsid w:val="00774362"/>
    <w:rsid w:val="00786598"/>
    <w:rsid w:val="00790C74"/>
    <w:rsid w:val="007A04E8"/>
    <w:rsid w:val="007B2BD5"/>
    <w:rsid w:val="007B2C34"/>
    <w:rsid w:val="007C1995"/>
    <w:rsid w:val="007C393B"/>
    <w:rsid w:val="007D5EC4"/>
    <w:rsid w:val="007D7A24"/>
    <w:rsid w:val="007F282B"/>
    <w:rsid w:val="008158BF"/>
    <w:rsid w:val="00823E4E"/>
    <w:rsid w:val="00830086"/>
    <w:rsid w:val="00851625"/>
    <w:rsid w:val="00862DDE"/>
    <w:rsid w:val="00863C0A"/>
    <w:rsid w:val="00872641"/>
    <w:rsid w:val="00897B35"/>
    <w:rsid w:val="008A3120"/>
    <w:rsid w:val="008A4AEC"/>
    <w:rsid w:val="008A4B97"/>
    <w:rsid w:val="008A5A00"/>
    <w:rsid w:val="008A7D29"/>
    <w:rsid w:val="008B23EB"/>
    <w:rsid w:val="008C5B8E"/>
    <w:rsid w:val="008C5DD5"/>
    <w:rsid w:val="008C7123"/>
    <w:rsid w:val="008D41BE"/>
    <w:rsid w:val="008D58D3"/>
    <w:rsid w:val="008E3BC9"/>
    <w:rsid w:val="008F2E5E"/>
    <w:rsid w:val="00902B5F"/>
    <w:rsid w:val="00913960"/>
    <w:rsid w:val="00923064"/>
    <w:rsid w:val="00930FFD"/>
    <w:rsid w:val="00936D25"/>
    <w:rsid w:val="00941EA5"/>
    <w:rsid w:val="00942F40"/>
    <w:rsid w:val="009543D8"/>
    <w:rsid w:val="00964700"/>
    <w:rsid w:val="00966C16"/>
    <w:rsid w:val="00967A8B"/>
    <w:rsid w:val="00971882"/>
    <w:rsid w:val="00972A4C"/>
    <w:rsid w:val="0098732F"/>
    <w:rsid w:val="009A045F"/>
    <w:rsid w:val="009A6A2B"/>
    <w:rsid w:val="009C459D"/>
    <w:rsid w:val="009C4EEA"/>
    <w:rsid w:val="009C7E7C"/>
    <w:rsid w:val="009E572E"/>
    <w:rsid w:val="00A00473"/>
    <w:rsid w:val="00A03C9B"/>
    <w:rsid w:val="00A05E46"/>
    <w:rsid w:val="00A11C5C"/>
    <w:rsid w:val="00A27891"/>
    <w:rsid w:val="00A2791F"/>
    <w:rsid w:val="00A302D8"/>
    <w:rsid w:val="00A37105"/>
    <w:rsid w:val="00A42BE7"/>
    <w:rsid w:val="00A50633"/>
    <w:rsid w:val="00A53AD5"/>
    <w:rsid w:val="00A562BF"/>
    <w:rsid w:val="00A606C3"/>
    <w:rsid w:val="00A7325C"/>
    <w:rsid w:val="00A74548"/>
    <w:rsid w:val="00A83B09"/>
    <w:rsid w:val="00A84541"/>
    <w:rsid w:val="00A85140"/>
    <w:rsid w:val="00A97BEA"/>
    <w:rsid w:val="00AA0932"/>
    <w:rsid w:val="00AA105D"/>
    <w:rsid w:val="00AC6ADE"/>
    <w:rsid w:val="00AD5C5A"/>
    <w:rsid w:val="00AE36A0"/>
    <w:rsid w:val="00AF1ADF"/>
    <w:rsid w:val="00B00294"/>
    <w:rsid w:val="00B02275"/>
    <w:rsid w:val="00B165EC"/>
    <w:rsid w:val="00B204C1"/>
    <w:rsid w:val="00B214E6"/>
    <w:rsid w:val="00B354B5"/>
    <w:rsid w:val="00B3749C"/>
    <w:rsid w:val="00B56519"/>
    <w:rsid w:val="00B642D6"/>
    <w:rsid w:val="00B64FD0"/>
    <w:rsid w:val="00B719D9"/>
    <w:rsid w:val="00B71DF4"/>
    <w:rsid w:val="00B7368E"/>
    <w:rsid w:val="00B8075F"/>
    <w:rsid w:val="00B826B3"/>
    <w:rsid w:val="00BA0E12"/>
    <w:rsid w:val="00BA5BD0"/>
    <w:rsid w:val="00BB1D82"/>
    <w:rsid w:val="00BC217E"/>
    <w:rsid w:val="00BD51C5"/>
    <w:rsid w:val="00BF26E7"/>
    <w:rsid w:val="00BF7A41"/>
    <w:rsid w:val="00C10BF8"/>
    <w:rsid w:val="00C1305F"/>
    <w:rsid w:val="00C17FAC"/>
    <w:rsid w:val="00C26236"/>
    <w:rsid w:val="00C34809"/>
    <w:rsid w:val="00C44F01"/>
    <w:rsid w:val="00C46AF4"/>
    <w:rsid w:val="00C472CF"/>
    <w:rsid w:val="00C53FCA"/>
    <w:rsid w:val="00C56251"/>
    <w:rsid w:val="00C57688"/>
    <w:rsid w:val="00C71DEB"/>
    <w:rsid w:val="00C76BAF"/>
    <w:rsid w:val="00C814B9"/>
    <w:rsid w:val="00C93BBA"/>
    <w:rsid w:val="00C9491D"/>
    <w:rsid w:val="00CA4DF5"/>
    <w:rsid w:val="00CA5AFC"/>
    <w:rsid w:val="00CA751A"/>
    <w:rsid w:val="00CB685A"/>
    <w:rsid w:val="00CD516F"/>
    <w:rsid w:val="00CD75E6"/>
    <w:rsid w:val="00CF1D68"/>
    <w:rsid w:val="00D119A7"/>
    <w:rsid w:val="00D12DD2"/>
    <w:rsid w:val="00D147BE"/>
    <w:rsid w:val="00D16AC5"/>
    <w:rsid w:val="00D21111"/>
    <w:rsid w:val="00D25FBA"/>
    <w:rsid w:val="00D32B28"/>
    <w:rsid w:val="00D3426F"/>
    <w:rsid w:val="00D42954"/>
    <w:rsid w:val="00D47CD3"/>
    <w:rsid w:val="00D60763"/>
    <w:rsid w:val="00D66EAC"/>
    <w:rsid w:val="00D67E02"/>
    <w:rsid w:val="00D730DF"/>
    <w:rsid w:val="00D772F0"/>
    <w:rsid w:val="00D77BDC"/>
    <w:rsid w:val="00D9373D"/>
    <w:rsid w:val="00D93E13"/>
    <w:rsid w:val="00DA1B4F"/>
    <w:rsid w:val="00DB404B"/>
    <w:rsid w:val="00DC402B"/>
    <w:rsid w:val="00DC4577"/>
    <w:rsid w:val="00DD29DE"/>
    <w:rsid w:val="00DE08CC"/>
    <w:rsid w:val="00DE0932"/>
    <w:rsid w:val="00DE1C73"/>
    <w:rsid w:val="00DF15E8"/>
    <w:rsid w:val="00E01F37"/>
    <w:rsid w:val="00E03A27"/>
    <w:rsid w:val="00E049F1"/>
    <w:rsid w:val="00E261AB"/>
    <w:rsid w:val="00E27730"/>
    <w:rsid w:val="00E304D8"/>
    <w:rsid w:val="00E37043"/>
    <w:rsid w:val="00E37A25"/>
    <w:rsid w:val="00E507BC"/>
    <w:rsid w:val="00E537FF"/>
    <w:rsid w:val="00E55D21"/>
    <w:rsid w:val="00E60CB2"/>
    <w:rsid w:val="00E6539B"/>
    <w:rsid w:val="00E70A31"/>
    <w:rsid w:val="00E723A7"/>
    <w:rsid w:val="00E76F69"/>
    <w:rsid w:val="00E77E0C"/>
    <w:rsid w:val="00E86520"/>
    <w:rsid w:val="00E916ED"/>
    <w:rsid w:val="00E9428D"/>
    <w:rsid w:val="00EA3F38"/>
    <w:rsid w:val="00EA5AB6"/>
    <w:rsid w:val="00EC2A3B"/>
    <w:rsid w:val="00EC7615"/>
    <w:rsid w:val="00ED07E7"/>
    <w:rsid w:val="00ED16AA"/>
    <w:rsid w:val="00ED1B02"/>
    <w:rsid w:val="00ED6B8D"/>
    <w:rsid w:val="00EE103C"/>
    <w:rsid w:val="00EE3D7B"/>
    <w:rsid w:val="00EE7931"/>
    <w:rsid w:val="00EF662E"/>
    <w:rsid w:val="00F10064"/>
    <w:rsid w:val="00F148F1"/>
    <w:rsid w:val="00F244FB"/>
    <w:rsid w:val="00F26FB2"/>
    <w:rsid w:val="00F401B8"/>
    <w:rsid w:val="00F41875"/>
    <w:rsid w:val="00F7117A"/>
    <w:rsid w:val="00F711A7"/>
    <w:rsid w:val="00F71524"/>
    <w:rsid w:val="00F83B35"/>
    <w:rsid w:val="00F94F92"/>
    <w:rsid w:val="00F97C61"/>
    <w:rsid w:val="00FA3BBF"/>
    <w:rsid w:val="00FB54D6"/>
    <w:rsid w:val="00FC092D"/>
    <w:rsid w:val="00FC41F8"/>
    <w:rsid w:val="00FD000B"/>
    <w:rsid w:val="00FD2036"/>
    <w:rsid w:val="00FD3A39"/>
    <w:rsid w:val="00FD7AA3"/>
    <w:rsid w:val="00FF1C40"/>
    <w:rsid w:val="00FF2E9A"/>
    <w:rsid w:val="00FF60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830519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aliases w:val="CEO_Hyperlink,ECC Hyperlink,超级链接"/>
    <w:basedOn w:val="DefaultParagraphFont"/>
    <w:uiPriority w:val="99"/>
    <w:unhideWhenUsed/>
    <w:qFormat/>
    <w:rPr>
      <w:color w:val="0000FF" w:themeColor="hyperlink"/>
      <w:u w:val="single"/>
    </w:rPr>
  </w:style>
  <w:style w:type="character" w:customStyle="1" w:styleId="RestitleChar">
    <w:name w:val="Res_title Char"/>
    <w:basedOn w:val="DefaultParagraphFont"/>
    <w:link w:val="Restitle"/>
    <w:rsid w:val="00B7368E"/>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
    <w:rsid w:val="00B7368E"/>
    <w:rPr>
      <w:rFonts w:ascii="Times New Roman" w:hAnsi="Times New Roman"/>
      <w:sz w:val="24"/>
      <w:lang w:val="fr-FR" w:eastAsia="en-US"/>
    </w:rPr>
  </w:style>
  <w:style w:type="character" w:customStyle="1" w:styleId="CallChar">
    <w:name w:val="Call Char"/>
    <w:basedOn w:val="DefaultParagraphFont"/>
    <w:link w:val="Call"/>
    <w:qFormat/>
    <w:locked/>
    <w:rsid w:val="00640B89"/>
    <w:rPr>
      <w:rFonts w:ascii="Times New Roman" w:hAnsi="Times New Roman"/>
      <w:i/>
      <w:sz w:val="24"/>
      <w:lang w:val="fr-FR" w:eastAsia="en-US"/>
    </w:rPr>
  </w:style>
  <w:style w:type="character" w:customStyle="1" w:styleId="enumlev1Char">
    <w:name w:val="enumlev1 Char"/>
    <w:basedOn w:val="DefaultParagraphFont"/>
    <w:link w:val="enumlev1"/>
    <w:locked/>
    <w:rsid w:val="00640B89"/>
    <w:rPr>
      <w:rFonts w:ascii="Times New Roman" w:hAnsi="Times New Roman"/>
      <w:sz w:val="24"/>
      <w:lang w:val="fr-FR" w:eastAsia="en-US"/>
    </w:rPr>
  </w:style>
  <w:style w:type="character" w:customStyle="1" w:styleId="FootnoteTextChar">
    <w:name w:val="Footnote Text Char"/>
    <w:basedOn w:val="DefaultParagraphFont"/>
    <w:link w:val="FootnoteText"/>
    <w:uiPriority w:val="99"/>
    <w:qFormat/>
    <w:rsid w:val="00640B89"/>
    <w:rPr>
      <w:rFonts w:ascii="Times New Roman" w:hAnsi="Times New Roman"/>
      <w:sz w:val="24"/>
      <w:lang w:val="fr-FR" w:eastAsia="en-US"/>
    </w:rPr>
  </w:style>
  <w:style w:type="paragraph" w:customStyle="1" w:styleId="Anne">
    <w:name w:val="Anne.."/>
    <w:basedOn w:val="Reasons"/>
    <w:rsid w:val="00640B89"/>
  </w:style>
  <w:style w:type="character" w:customStyle="1" w:styleId="HeadingbChar">
    <w:name w:val="Heading_b Char"/>
    <w:basedOn w:val="DefaultParagraphFont"/>
    <w:link w:val="Headingb"/>
    <w:locked/>
    <w:rsid w:val="00640B89"/>
    <w:rPr>
      <w:rFonts w:ascii="Times New Roman" w:hAnsi="Times New Roman"/>
      <w:b/>
      <w:sz w:val="24"/>
      <w:lang w:val="fr-FR" w:eastAsia="en-US"/>
    </w:rPr>
  </w:style>
  <w:style w:type="character" w:customStyle="1" w:styleId="UnresolvedMention1">
    <w:name w:val="Unresolved Mention1"/>
    <w:basedOn w:val="DefaultParagraphFont"/>
    <w:uiPriority w:val="99"/>
    <w:semiHidden/>
    <w:unhideWhenUsed/>
    <w:rsid w:val="007260FD"/>
    <w:rPr>
      <w:color w:val="605E5C"/>
      <w:shd w:val="clear" w:color="auto" w:fill="E1DFDD"/>
    </w:rPr>
  </w:style>
  <w:style w:type="character" w:styleId="CommentReference">
    <w:name w:val="annotation reference"/>
    <w:basedOn w:val="DefaultParagraphFont"/>
    <w:semiHidden/>
    <w:unhideWhenUsed/>
    <w:rsid w:val="00134380"/>
    <w:rPr>
      <w:sz w:val="16"/>
      <w:szCs w:val="16"/>
    </w:rPr>
  </w:style>
  <w:style w:type="paragraph" w:styleId="CommentText">
    <w:name w:val="annotation text"/>
    <w:basedOn w:val="Normal"/>
    <w:link w:val="CommentTextChar"/>
    <w:semiHidden/>
    <w:unhideWhenUsed/>
    <w:rsid w:val="00134380"/>
    <w:rPr>
      <w:sz w:val="20"/>
    </w:rPr>
  </w:style>
  <w:style w:type="character" w:customStyle="1" w:styleId="CommentTextChar">
    <w:name w:val="Comment Text Char"/>
    <w:basedOn w:val="DefaultParagraphFont"/>
    <w:link w:val="CommentText"/>
    <w:semiHidden/>
    <w:rsid w:val="0013438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34380"/>
    <w:rPr>
      <w:b/>
      <w:bCs/>
    </w:rPr>
  </w:style>
  <w:style w:type="character" w:customStyle="1" w:styleId="CommentSubjectChar">
    <w:name w:val="Comment Subject Char"/>
    <w:basedOn w:val="CommentTextChar"/>
    <w:link w:val="CommentSubject"/>
    <w:semiHidden/>
    <w:rsid w:val="00134380"/>
    <w:rPr>
      <w:rFonts w:ascii="Times New Roman" w:hAnsi="Times New Roman"/>
      <w:b/>
      <w:bCs/>
      <w:lang w:val="fr-FR" w:eastAsia="en-US"/>
    </w:rPr>
  </w:style>
  <w:style w:type="paragraph" w:styleId="BalloonText">
    <w:name w:val="Balloon Text"/>
    <w:basedOn w:val="Normal"/>
    <w:link w:val="BalloonTextChar"/>
    <w:semiHidden/>
    <w:unhideWhenUsed/>
    <w:rsid w:val="00164B7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64B75"/>
    <w:rPr>
      <w:rFonts w:ascii="Segoe UI" w:hAnsi="Segoe UI" w:cs="Segoe UI"/>
      <w:sz w:val="18"/>
      <w:szCs w:val="18"/>
      <w:lang w:val="fr-FR" w:eastAsia="en-US"/>
    </w:rPr>
  </w:style>
  <w:style w:type="paragraph" w:styleId="Revision">
    <w:name w:val="Revision"/>
    <w:hidden/>
    <w:uiPriority w:val="99"/>
    <w:semiHidden/>
    <w:rsid w:val="003E2BAA"/>
    <w:rPr>
      <w:rFonts w:ascii="Times New Roman" w:hAnsi="Times New Roman"/>
      <w:sz w:val="24"/>
      <w:lang w:val="fr-FR" w:eastAsia="en-US"/>
    </w:rPr>
  </w:style>
  <w:style w:type="character" w:styleId="FollowedHyperlink">
    <w:name w:val="FollowedHyperlink"/>
    <w:basedOn w:val="DefaultParagraphFont"/>
    <w:semiHidden/>
    <w:unhideWhenUsed/>
    <w:rsid w:val="00587D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7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gsma.com/mobile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R23-WRC23-C-0186!!MSW-F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F0978-A560-48D8-85E4-7F7FE2CFC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6E827-A491-4A4D-A128-877E0FB2D8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BBA3A8C0-9FFE-4B31-A33B-2905473DAFA6}">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3413</Words>
  <Characters>19247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R23-WRC23-C-0186!!MSW-F</vt:lpstr>
    </vt:vector>
  </TitlesOfParts>
  <Manager>Secrétariat général - Pool</Manager>
  <Company>Union internationale des télécommunications (UIT)</Company>
  <LinksUpToDate>false</LinksUpToDate>
  <CharactersWithSpaces>22615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R23-WRC23-C-0186!!MSW-F</dc:title>
  <dc:subject>Conférence mondiale des radiocommunications - 2019</dc:subject>
  <dc:creator>Documents Proposals Manager (DPM)</dc:creator>
  <cp:keywords>DPM_v2023.8.1.1_prod</cp:keywords>
  <dc:description/>
  <cp:lastModifiedBy>French</cp:lastModifiedBy>
  <cp:revision>9</cp:revision>
  <cp:lastPrinted>2003-06-05T19:34:00Z</cp:lastPrinted>
  <dcterms:created xsi:type="dcterms:W3CDTF">2023-11-14T15:22:00Z</dcterms:created>
  <dcterms:modified xsi:type="dcterms:W3CDTF">2023-11-19T13:56:00Z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