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22410E" w14:paraId="68B2866D" w14:textId="77777777" w:rsidTr="0080079E">
        <w:trPr>
          <w:cantSplit/>
        </w:trPr>
        <w:tc>
          <w:tcPr>
            <w:tcW w:w="1418" w:type="dxa"/>
            <w:vAlign w:val="center"/>
          </w:tcPr>
          <w:p w14:paraId="3832AF75" w14:textId="77777777" w:rsidR="0080079E" w:rsidRPr="0022410E" w:rsidRDefault="0080079E" w:rsidP="0080079E">
            <w:pPr>
              <w:spacing w:before="0" w:line="240" w:lineRule="atLeast"/>
              <w:rPr>
                <w:rFonts w:ascii="Verdana" w:hAnsi="Verdana"/>
                <w:position w:val="6"/>
                <w:lang w:val="es-ES"/>
              </w:rPr>
            </w:pPr>
            <w:r w:rsidRPr="0022410E">
              <w:rPr>
                <w:noProof/>
                <w:lang w:val="es-ES"/>
              </w:rPr>
              <w:drawing>
                <wp:inline distT="0" distB="0" distL="0" distR="0" wp14:anchorId="7BC77C06" wp14:editId="2EEDFD7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B81E802" w14:textId="77777777" w:rsidR="0080079E" w:rsidRPr="0022410E" w:rsidRDefault="0080079E" w:rsidP="00C44E9E">
            <w:pPr>
              <w:spacing w:before="400" w:after="48" w:line="240" w:lineRule="atLeast"/>
              <w:rPr>
                <w:rFonts w:ascii="Verdana" w:hAnsi="Verdana"/>
                <w:position w:val="6"/>
                <w:lang w:val="es-ES"/>
              </w:rPr>
            </w:pPr>
            <w:r w:rsidRPr="0022410E">
              <w:rPr>
                <w:rFonts w:ascii="Verdana" w:hAnsi="Verdana" w:cs="Times"/>
                <w:b/>
                <w:position w:val="6"/>
                <w:sz w:val="20"/>
                <w:lang w:val="es-ES"/>
              </w:rPr>
              <w:t>Conferencia Mundial de Radiocomunicaciones (CMR-23)</w:t>
            </w:r>
            <w:r w:rsidRPr="0022410E">
              <w:rPr>
                <w:rFonts w:ascii="Verdana" w:hAnsi="Verdana" w:cs="Times"/>
                <w:b/>
                <w:position w:val="6"/>
                <w:sz w:val="20"/>
                <w:lang w:val="es-ES"/>
              </w:rPr>
              <w:br/>
            </w:r>
            <w:r w:rsidRPr="0022410E">
              <w:rPr>
                <w:rFonts w:ascii="Verdana" w:hAnsi="Verdana" w:cs="Times"/>
                <w:b/>
                <w:position w:val="6"/>
                <w:sz w:val="18"/>
                <w:szCs w:val="18"/>
                <w:lang w:val="es-ES"/>
              </w:rPr>
              <w:t>Dubái, 20 de noviembre - 15 de diciembre de 2023</w:t>
            </w:r>
          </w:p>
        </w:tc>
        <w:tc>
          <w:tcPr>
            <w:tcW w:w="1809" w:type="dxa"/>
            <w:vAlign w:val="center"/>
          </w:tcPr>
          <w:p w14:paraId="11AE59AA" w14:textId="77777777" w:rsidR="0080079E" w:rsidRPr="0022410E" w:rsidRDefault="0080079E" w:rsidP="0080079E">
            <w:pPr>
              <w:spacing w:before="0" w:line="240" w:lineRule="atLeast"/>
              <w:rPr>
                <w:lang w:val="es-ES"/>
              </w:rPr>
            </w:pPr>
            <w:bookmarkStart w:id="0" w:name="ditulogo"/>
            <w:bookmarkEnd w:id="0"/>
            <w:r w:rsidRPr="0022410E">
              <w:rPr>
                <w:noProof/>
                <w:lang w:val="es-ES"/>
              </w:rPr>
              <w:drawing>
                <wp:inline distT="0" distB="0" distL="0" distR="0" wp14:anchorId="7B21D834" wp14:editId="5C704D82">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22410E" w14:paraId="378E3221" w14:textId="77777777" w:rsidTr="0050008E">
        <w:trPr>
          <w:cantSplit/>
        </w:trPr>
        <w:tc>
          <w:tcPr>
            <w:tcW w:w="6911" w:type="dxa"/>
            <w:gridSpan w:val="2"/>
            <w:tcBorders>
              <w:bottom w:val="single" w:sz="12" w:space="0" w:color="auto"/>
            </w:tcBorders>
          </w:tcPr>
          <w:p w14:paraId="23DC023A" w14:textId="77777777" w:rsidR="0090121B" w:rsidRPr="0022410E" w:rsidRDefault="0090121B" w:rsidP="0090121B">
            <w:pPr>
              <w:spacing w:before="0" w:after="48" w:line="240" w:lineRule="atLeast"/>
              <w:rPr>
                <w:b/>
                <w:smallCaps/>
                <w:szCs w:val="24"/>
                <w:lang w:val="es-ES"/>
              </w:rPr>
            </w:pPr>
            <w:bookmarkStart w:id="1" w:name="dhead"/>
          </w:p>
        </w:tc>
        <w:tc>
          <w:tcPr>
            <w:tcW w:w="3120" w:type="dxa"/>
            <w:gridSpan w:val="2"/>
            <w:tcBorders>
              <w:bottom w:val="single" w:sz="12" w:space="0" w:color="auto"/>
            </w:tcBorders>
          </w:tcPr>
          <w:p w14:paraId="4A4E43DC" w14:textId="77777777" w:rsidR="0090121B" w:rsidRPr="0022410E" w:rsidRDefault="0090121B" w:rsidP="0090121B">
            <w:pPr>
              <w:spacing w:before="0" w:line="240" w:lineRule="atLeast"/>
              <w:rPr>
                <w:rFonts w:ascii="Verdana" w:hAnsi="Verdana"/>
                <w:szCs w:val="24"/>
                <w:lang w:val="es-ES"/>
              </w:rPr>
            </w:pPr>
          </w:p>
        </w:tc>
      </w:tr>
      <w:tr w:rsidR="0090121B" w:rsidRPr="0022410E" w14:paraId="54C888C1" w14:textId="77777777" w:rsidTr="0090121B">
        <w:trPr>
          <w:cantSplit/>
        </w:trPr>
        <w:tc>
          <w:tcPr>
            <w:tcW w:w="6911" w:type="dxa"/>
            <w:gridSpan w:val="2"/>
            <w:tcBorders>
              <w:top w:val="single" w:sz="12" w:space="0" w:color="auto"/>
            </w:tcBorders>
          </w:tcPr>
          <w:p w14:paraId="6525E258" w14:textId="77777777" w:rsidR="0090121B" w:rsidRPr="0022410E"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7969394F" w14:textId="77777777" w:rsidR="0090121B" w:rsidRPr="0022410E" w:rsidRDefault="0090121B" w:rsidP="0090121B">
            <w:pPr>
              <w:spacing w:before="0" w:line="240" w:lineRule="atLeast"/>
              <w:rPr>
                <w:rFonts w:ascii="Verdana" w:hAnsi="Verdana"/>
                <w:sz w:val="20"/>
                <w:lang w:val="es-ES"/>
              </w:rPr>
            </w:pPr>
          </w:p>
        </w:tc>
      </w:tr>
      <w:tr w:rsidR="0090121B" w:rsidRPr="0022410E" w14:paraId="328AB07D" w14:textId="77777777" w:rsidTr="0090121B">
        <w:trPr>
          <w:cantSplit/>
        </w:trPr>
        <w:tc>
          <w:tcPr>
            <w:tcW w:w="6911" w:type="dxa"/>
            <w:gridSpan w:val="2"/>
          </w:tcPr>
          <w:p w14:paraId="2C333419" w14:textId="77777777" w:rsidR="0090121B" w:rsidRPr="0022410E" w:rsidRDefault="001E7D42" w:rsidP="00EA77F0">
            <w:pPr>
              <w:pStyle w:val="Committee"/>
              <w:framePr w:hSpace="0" w:wrap="auto" w:hAnchor="text" w:yAlign="inline"/>
              <w:rPr>
                <w:sz w:val="18"/>
                <w:szCs w:val="18"/>
                <w:lang w:val="es-ES"/>
              </w:rPr>
            </w:pPr>
            <w:r w:rsidRPr="0022410E">
              <w:rPr>
                <w:sz w:val="18"/>
                <w:szCs w:val="18"/>
                <w:lang w:val="es-ES"/>
              </w:rPr>
              <w:t>SESIÓN PLENARIA</w:t>
            </w:r>
          </w:p>
        </w:tc>
        <w:tc>
          <w:tcPr>
            <w:tcW w:w="3120" w:type="dxa"/>
            <w:gridSpan w:val="2"/>
          </w:tcPr>
          <w:p w14:paraId="436270B5" w14:textId="77777777" w:rsidR="0090121B" w:rsidRPr="0022410E" w:rsidRDefault="00AE658F" w:rsidP="0045384C">
            <w:pPr>
              <w:spacing w:before="0"/>
              <w:rPr>
                <w:rFonts w:ascii="Verdana" w:hAnsi="Verdana"/>
                <w:sz w:val="18"/>
                <w:szCs w:val="18"/>
                <w:lang w:val="es-ES"/>
              </w:rPr>
            </w:pPr>
            <w:r w:rsidRPr="0022410E">
              <w:rPr>
                <w:rFonts w:ascii="Verdana" w:hAnsi="Verdana"/>
                <w:b/>
                <w:sz w:val="18"/>
                <w:szCs w:val="18"/>
                <w:lang w:val="es-ES"/>
              </w:rPr>
              <w:t>Documento 183</w:t>
            </w:r>
            <w:r w:rsidR="0090121B" w:rsidRPr="0022410E">
              <w:rPr>
                <w:rFonts w:ascii="Verdana" w:hAnsi="Verdana"/>
                <w:b/>
                <w:sz w:val="18"/>
                <w:szCs w:val="18"/>
                <w:lang w:val="es-ES"/>
              </w:rPr>
              <w:t>-</w:t>
            </w:r>
            <w:r w:rsidRPr="0022410E">
              <w:rPr>
                <w:rFonts w:ascii="Verdana" w:hAnsi="Verdana"/>
                <w:b/>
                <w:sz w:val="18"/>
                <w:szCs w:val="18"/>
                <w:lang w:val="es-ES"/>
              </w:rPr>
              <w:t>S</w:t>
            </w:r>
          </w:p>
        </w:tc>
      </w:tr>
      <w:bookmarkEnd w:id="1"/>
      <w:tr w:rsidR="000A5B9A" w:rsidRPr="0022410E" w14:paraId="3F161E39" w14:textId="77777777" w:rsidTr="0090121B">
        <w:trPr>
          <w:cantSplit/>
        </w:trPr>
        <w:tc>
          <w:tcPr>
            <w:tcW w:w="6911" w:type="dxa"/>
            <w:gridSpan w:val="2"/>
          </w:tcPr>
          <w:p w14:paraId="0DA171FF" w14:textId="77777777" w:rsidR="000A5B9A" w:rsidRPr="0022410E" w:rsidRDefault="000A5B9A" w:rsidP="0045384C">
            <w:pPr>
              <w:spacing w:before="0" w:after="48"/>
              <w:rPr>
                <w:rFonts w:ascii="Verdana" w:hAnsi="Verdana"/>
                <w:b/>
                <w:smallCaps/>
                <w:sz w:val="18"/>
                <w:szCs w:val="18"/>
                <w:lang w:val="es-ES"/>
              </w:rPr>
            </w:pPr>
          </w:p>
        </w:tc>
        <w:tc>
          <w:tcPr>
            <w:tcW w:w="3120" w:type="dxa"/>
            <w:gridSpan w:val="2"/>
          </w:tcPr>
          <w:p w14:paraId="059EFB2A" w14:textId="77777777" w:rsidR="000A5B9A" w:rsidRPr="0022410E" w:rsidRDefault="000A5B9A" w:rsidP="0045384C">
            <w:pPr>
              <w:spacing w:before="0"/>
              <w:rPr>
                <w:rFonts w:ascii="Verdana" w:hAnsi="Verdana"/>
                <w:b/>
                <w:sz w:val="18"/>
                <w:szCs w:val="18"/>
                <w:lang w:val="es-ES"/>
              </w:rPr>
            </w:pPr>
            <w:r w:rsidRPr="0022410E">
              <w:rPr>
                <w:rFonts w:ascii="Verdana" w:hAnsi="Verdana"/>
                <w:b/>
                <w:sz w:val="18"/>
                <w:szCs w:val="18"/>
                <w:lang w:val="es-ES"/>
              </w:rPr>
              <w:t>30 de octubre de 2023</w:t>
            </w:r>
          </w:p>
        </w:tc>
      </w:tr>
      <w:tr w:rsidR="000A5B9A" w:rsidRPr="0022410E" w14:paraId="3C96264D" w14:textId="77777777" w:rsidTr="0090121B">
        <w:trPr>
          <w:cantSplit/>
        </w:trPr>
        <w:tc>
          <w:tcPr>
            <w:tcW w:w="6911" w:type="dxa"/>
            <w:gridSpan w:val="2"/>
          </w:tcPr>
          <w:p w14:paraId="4E9251BD" w14:textId="77777777" w:rsidR="000A5B9A" w:rsidRPr="0022410E" w:rsidRDefault="000A5B9A" w:rsidP="0045384C">
            <w:pPr>
              <w:spacing w:before="0" w:after="48"/>
              <w:rPr>
                <w:rFonts w:ascii="Verdana" w:hAnsi="Verdana"/>
                <w:b/>
                <w:smallCaps/>
                <w:sz w:val="18"/>
                <w:szCs w:val="18"/>
                <w:lang w:val="es-ES"/>
              </w:rPr>
            </w:pPr>
          </w:p>
        </w:tc>
        <w:tc>
          <w:tcPr>
            <w:tcW w:w="3120" w:type="dxa"/>
            <w:gridSpan w:val="2"/>
          </w:tcPr>
          <w:p w14:paraId="5E56A21D" w14:textId="77777777" w:rsidR="000A5B9A" w:rsidRPr="0022410E" w:rsidRDefault="000A5B9A" w:rsidP="0045384C">
            <w:pPr>
              <w:spacing w:before="0"/>
              <w:rPr>
                <w:rFonts w:ascii="Verdana" w:hAnsi="Verdana"/>
                <w:b/>
                <w:sz w:val="18"/>
                <w:szCs w:val="18"/>
                <w:lang w:val="es-ES"/>
              </w:rPr>
            </w:pPr>
            <w:r w:rsidRPr="0022410E">
              <w:rPr>
                <w:rFonts w:ascii="Verdana" w:hAnsi="Verdana"/>
                <w:b/>
                <w:sz w:val="18"/>
                <w:szCs w:val="18"/>
                <w:lang w:val="es-ES"/>
              </w:rPr>
              <w:t>Original: inglés</w:t>
            </w:r>
          </w:p>
        </w:tc>
      </w:tr>
      <w:tr w:rsidR="000A5B9A" w:rsidRPr="0022410E" w14:paraId="5592426B" w14:textId="77777777" w:rsidTr="006744FC">
        <w:trPr>
          <w:cantSplit/>
        </w:trPr>
        <w:tc>
          <w:tcPr>
            <w:tcW w:w="10031" w:type="dxa"/>
            <w:gridSpan w:val="4"/>
          </w:tcPr>
          <w:p w14:paraId="674823CC" w14:textId="77777777" w:rsidR="000A5B9A" w:rsidRPr="0022410E" w:rsidRDefault="000A5B9A" w:rsidP="0045384C">
            <w:pPr>
              <w:spacing w:before="0"/>
              <w:rPr>
                <w:rFonts w:ascii="Verdana" w:hAnsi="Verdana"/>
                <w:b/>
                <w:sz w:val="18"/>
                <w:szCs w:val="22"/>
                <w:lang w:val="es-ES"/>
              </w:rPr>
            </w:pPr>
          </w:p>
        </w:tc>
      </w:tr>
      <w:tr w:rsidR="000A5B9A" w:rsidRPr="0022410E" w14:paraId="27321EBF" w14:textId="77777777" w:rsidTr="0050008E">
        <w:trPr>
          <w:cantSplit/>
        </w:trPr>
        <w:tc>
          <w:tcPr>
            <w:tcW w:w="10031" w:type="dxa"/>
            <w:gridSpan w:val="4"/>
          </w:tcPr>
          <w:p w14:paraId="670ADFA1" w14:textId="77777777" w:rsidR="000A5B9A" w:rsidRPr="0022410E" w:rsidRDefault="000A5B9A" w:rsidP="000A5B9A">
            <w:pPr>
              <w:pStyle w:val="Source"/>
              <w:rPr>
                <w:lang w:val="es-ES"/>
              </w:rPr>
            </w:pPr>
            <w:bookmarkStart w:id="2" w:name="dsource" w:colFirst="0" w:colLast="0"/>
            <w:r w:rsidRPr="0022410E">
              <w:rPr>
                <w:lang w:val="es-ES"/>
              </w:rPr>
              <w:t>China (República Popular de)/Indonesia (República de)/Papua Nueva Guinea/Singapur (República de)/Tonga (Reino de)</w:t>
            </w:r>
          </w:p>
        </w:tc>
      </w:tr>
      <w:tr w:rsidR="000A5B9A" w:rsidRPr="0022410E" w14:paraId="4873F310" w14:textId="77777777" w:rsidTr="0050008E">
        <w:trPr>
          <w:cantSplit/>
        </w:trPr>
        <w:tc>
          <w:tcPr>
            <w:tcW w:w="10031" w:type="dxa"/>
            <w:gridSpan w:val="4"/>
          </w:tcPr>
          <w:p w14:paraId="48D25782" w14:textId="420B356B" w:rsidR="000A5B9A" w:rsidRPr="0022410E" w:rsidRDefault="00AF61D7" w:rsidP="000A5B9A">
            <w:pPr>
              <w:pStyle w:val="Title1"/>
              <w:rPr>
                <w:lang w:val="es-ES"/>
              </w:rPr>
            </w:pPr>
            <w:bookmarkStart w:id="3" w:name="dtitle1" w:colFirst="0" w:colLast="0"/>
            <w:bookmarkEnd w:id="2"/>
            <w:r w:rsidRPr="0022410E">
              <w:rPr>
                <w:lang w:val="es-ES"/>
              </w:rPr>
              <w:t>Propuestas para los trabajos de la conferencia</w:t>
            </w:r>
          </w:p>
        </w:tc>
      </w:tr>
      <w:tr w:rsidR="000A5B9A" w:rsidRPr="0022410E" w14:paraId="7DC822D8" w14:textId="77777777" w:rsidTr="0050008E">
        <w:trPr>
          <w:cantSplit/>
        </w:trPr>
        <w:tc>
          <w:tcPr>
            <w:tcW w:w="10031" w:type="dxa"/>
            <w:gridSpan w:val="4"/>
          </w:tcPr>
          <w:p w14:paraId="234088AD" w14:textId="77777777" w:rsidR="000A5B9A" w:rsidRPr="0022410E" w:rsidRDefault="000A5B9A" w:rsidP="000A5B9A">
            <w:pPr>
              <w:pStyle w:val="Title2"/>
              <w:rPr>
                <w:lang w:val="es-ES"/>
              </w:rPr>
            </w:pPr>
            <w:bookmarkStart w:id="4" w:name="dtitle2" w:colFirst="0" w:colLast="0"/>
            <w:bookmarkEnd w:id="3"/>
          </w:p>
        </w:tc>
      </w:tr>
      <w:tr w:rsidR="000A5B9A" w:rsidRPr="0022410E" w14:paraId="1853CA57" w14:textId="77777777" w:rsidTr="0050008E">
        <w:trPr>
          <w:cantSplit/>
        </w:trPr>
        <w:tc>
          <w:tcPr>
            <w:tcW w:w="10031" w:type="dxa"/>
            <w:gridSpan w:val="4"/>
          </w:tcPr>
          <w:p w14:paraId="01EDBC0C" w14:textId="77777777" w:rsidR="000A5B9A" w:rsidRPr="0022410E" w:rsidRDefault="000A5B9A" w:rsidP="000A5B9A">
            <w:pPr>
              <w:pStyle w:val="Agendaitem"/>
              <w:rPr>
                <w:lang w:val="es-ES"/>
              </w:rPr>
            </w:pPr>
            <w:bookmarkStart w:id="5" w:name="dtitle3" w:colFirst="0" w:colLast="0"/>
            <w:bookmarkEnd w:id="4"/>
            <w:r w:rsidRPr="0022410E">
              <w:rPr>
                <w:lang w:val="es-ES"/>
              </w:rPr>
              <w:t>Punto 10 del orden del día</w:t>
            </w:r>
          </w:p>
        </w:tc>
      </w:tr>
    </w:tbl>
    <w:bookmarkEnd w:id="5"/>
    <w:p w14:paraId="61862500" w14:textId="77777777" w:rsidR="00300870" w:rsidRPr="0022410E" w:rsidRDefault="0054460B" w:rsidP="007E716E">
      <w:pPr>
        <w:rPr>
          <w:lang w:val="es-ES"/>
        </w:rPr>
      </w:pPr>
      <w:r w:rsidRPr="0022410E">
        <w:rPr>
          <w:lang w:val="es-ES"/>
        </w:rPr>
        <w:t>10</w:t>
      </w:r>
      <w:r w:rsidRPr="0022410E">
        <w:rPr>
          <w:lang w:val="es-ES"/>
        </w:rPr>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22410E">
        <w:rPr>
          <w:b/>
          <w:bCs/>
          <w:lang w:val="es-ES"/>
        </w:rPr>
        <w:t>804 (Rev.CMR-19)</w:t>
      </w:r>
      <w:r w:rsidRPr="0022410E">
        <w:rPr>
          <w:lang w:val="es-ES"/>
        </w:rPr>
        <w:t>,</w:t>
      </w:r>
    </w:p>
    <w:p w14:paraId="4BE14251" w14:textId="7AA5CBE9" w:rsidR="00AF61D7" w:rsidRPr="0022410E" w:rsidRDefault="00AF61D7" w:rsidP="00AF61D7">
      <w:pPr>
        <w:pStyle w:val="Headingb"/>
        <w:rPr>
          <w:lang w:val="es-ES" w:eastAsia="zh-CN"/>
        </w:rPr>
      </w:pPr>
      <w:r w:rsidRPr="0022410E">
        <w:rPr>
          <w:lang w:val="es-ES" w:eastAsia="zh-CN"/>
        </w:rPr>
        <w:t>Introducción</w:t>
      </w:r>
    </w:p>
    <w:p w14:paraId="469DB0E7" w14:textId="33C615F7" w:rsidR="00AF61D7" w:rsidRDefault="00AF61D7" w:rsidP="00AF7F80">
      <w:pPr>
        <w:rPr>
          <w:lang w:val="es-ES" w:eastAsia="zh-CN"/>
        </w:rPr>
      </w:pPr>
      <w:bookmarkStart w:id="6" w:name="_Hlk142957965"/>
      <w:r w:rsidRPr="0022410E">
        <w:rPr>
          <w:lang w:val="es-ES" w:eastAsia="zh-CN"/>
        </w:rPr>
        <w:t>China (República Popular de), Indonesia (República de), Papua Nueva Guinea, Singapur(República de) y Tonga (Reino de) apoyan la inclusión del siguiente punto del orden del día de la CMR-27.</w:t>
      </w:r>
    </w:p>
    <w:p w14:paraId="431F144A" w14:textId="14319F23" w:rsidR="0022410E" w:rsidRPr="0022410E" w:rsidRDefault="0022410E" w:rsidP="00AF7F80">
      <w:pPr>
        <w:rPr>
          <w:rFonts w:eastAsia="SimSun"/>
          <w:lang w:val="es-ES" w:eastAsia="zh-CN"/>
        </w:rPr>
      </w:pPr>
      <w:r w:rsidRPr="0022410E">
        <w:rPr>
          <w:lang w:val="es-ES"/>
        </w:rPr>
        <w:t>Examinar la posible revisión de las condiciones de compartición para la banda de frecuencias 13,75-14 GHz a fin de habilitar la utilización eficiente de la banda por las estaciones terrenas de enlace ascendente del</w:t>
      </w:r>
      <w:r>
        <w:rPr>
          <w:lang w:val="es-ES"/>
        </w:rPr>
        <w:t xml:space="preserve"> servicio fijo por satélite (</w:t>
      </w:r>
      <w:r w:rsidRPr="0022410E">
        <w:rPr>
          <w:lang w:val="es-ES"/>
        </w:rPr>
        <w:t>SFS</w:t>
      </w:r>
      <w:r>
        <w:rPr>
          <w:lang w:val="es-ES"/>
        </w:rPr>
        <w:t>), incluidas las estaciones terrenas</w:t>
      </w:r>
      <w:r w:rsidRPr="0022410E">
        <w:rPr>
          <w:lang w:val="es-ES"/>
        </w:rPr>
        <w:t xml:space="preserve"> con menores tamaños de antena</w:t>
      </w:r>
      <w:r>
        <w:rPr>
          <w:lang w:val="es-ES"/>
        </w:rPr>
        <w:t>.</w:t>
      </w:r>
    </w:p>
    <w:bookmarkEnd w:id="6"/>
    <w:p w14:paraId="2A986FC7" w14:textId="5A733F19" w:rsidR="00AF61D7" w:rsidRPr="0022410E" w:rsidRDefault="00AF61D7" w:rsidP="00AF61D7">
      <w:pPr>
        <w:pStyle w:val="Headingb"/>
        <w:rPr>
          <w:lang w:val="es-ES"/>
        </w:rPr>
      </w:pPr>
      <w:r w:rsidRPr="0022410E">
        <w:rPr>
          <w:lang w:val="es-ES"/>
        </w:rPr>
        <w:t>Propuestas</w:t>
      </w:r>
    </w:p>
    <w:p w14:paraId="3504E150" w14:textId="5145835D" w:rsidR="00AF61D7" w:rsidRPr="0022410E" w:rsidRDefault="00AF61D7" w:rsidP="00AF61D7">
      <w:pPr>
        <w:rPr>
          <w:lang w:val="es-ES"/>
        </w:rPr>
      </w:pPr>
      <w:r w:rsidRPr="0022410E">
        <w:rPr>
          <w:lang w:val="es-ES" w:eastAsia="zh-CN"/>
        </w:rPr>
        <w:t>Estas administraciones proponen incluir este punto del orden del día de la CMR-27 del modo siguiente.</w:t>
      </w:r>
    </w:p>
    <w:p w14:paraId="11ED9B06" w14:textId="77777777" w:rsidR="008750A8" w:rsidRPr="0022410E" w:rsidRDefault="008750A8" w:rsidP="008750A8">
      <w:pPr>
        <w:tabs>
          <w:tab w:val="clear" w:pos="1134"/>
          <w:tab w:val="clear" w:pos="1871"/>
          <w:tab w:val="clear" w:pos="2268"/>
        </w:tabs>
        <w:overflowPunct/>
        <w:autoSpaceDE/>
        <w:autoSpaceDN/>
        <w:adjustRightInd/>
        <w:spacing w:before="0"/>
        <w:textAlignment w:val="auto"/>
        <w:rPr>
          <w:lang w:val="es-ES"/>
        </w:rPr>
      </w:pPr>
      <w:r w:rsidRPr="0022410E">
        <w:rPr>
          <w:lang w:val="es-ES"/>
        </w:rPr>
        <w:br w:type="page"/>
      </w:r>
    </w:p>
    <w:p w14:paraId="6360FB89" w14:textId="77777777" w:rsidR="00CD4FD6" w:rsidRPr="00AF7F80" w:rsidRDefault="0054460B">
      <w:pPr>
        <w:pStyle w:val="Proposal"/>
        <w:rPr>
          <w:lang w:val="en-US"/>
        </w:rPr>
      </w:pPr>
      <w:r w:rsidRPr="00AF7F80">
        <w:rPr>
          <w:lang w:val="en-US"/>
        </w:rPr>
        <w:lastRenderedPageBreak/>
        <w:t>ADD</w:t>
      </w:r>
      <w:r w:rsidRPr="00AF7F80">
        <w:rPr>
          <w:lang w:val="en-US"/>
        </w:rPr>
        <w:tab/>
        <w:t>CHN/INS/PNG/SNG/TON/183/1</w:t>
      </w:r>
    </w:p>
    <w:p w14:paraId="1A9EA61E" w14:textId="3502A6B4" w:rsidR="00CD4FD6" w:rsidRPr="0022410E" w:rsidRDefault="0054460B">
      <w:pPr>
        <w:pStyle w:val="ResNo"/>
        <w:rPr>
          <w:lang w:val="es-ES"/>
        </w:rPr>
      </w:pPr>
      <w:r w:rsidRPr="0022410E">
        <w:rPr>
          <w:lang w:val="es-ES"/>
        </w:rPr>
        <w:t>Proyecto de nueva Resolución [CHN/INS/PNG/SNG/TON-</w:t>
      </w:r>
      <w:r w:rsidR="00AF61D7" w:rsidRPr="0022410E">
        <w:rPr>
          <w:lang w:val="es-ES"/>
        </w:rPr>
        <w:t>AI10_WRC-27_AGENDA] (CMR-23)</w:t>
      </w:r>
    </w:p>
    <w:p w14:paraId="53577D3A" w14:textId="2791F5FD" w:rsidR="00CD4FD6" w:rsidRPr="00AF7F80" w:rsidRDefault="00AF61D7" w:rsidP="00AF7F80">
      <w:pPr>
        <w:pStyle w:val="Restitle"/>
      </w:pPr>
      <w:r w:rsidRPr="00AF7F80">
        <w:t>Orden del día de la Conferencia Mundial de Radiocomunicaciones de 2027</w:t>
      </w:r>
    </w:p>
    <w:p w14:paraId="32054E6F" w14:textId="7956D531" w:rsidR="00AF61D7" w:rsidRPr="0022410E" w:rsidRDefault="00AF61D7" w:rsidP="00AF7F80">
      <w:pPr>
        <w:pStyle w:val="Normalaftertitle"/>
        <w:rPr>
          <w:lang w:val="es-ES"/>
        </w:rPr>
      </w:pPr>
      <w:r w:rsidRPr="0022410E">
        <w:rPr>
          <w:lang w:val="es-ES"/>
        </w:rPr>
        <w:t>La Conferencia Mundial de Radiocomunicaciones (Dubái, 2023)</w:t>
      </w:r>
    </w:p>
    <w:p w14:paraId="41EF2D1C" w14:textId="65162C3F" w:rsidR="00AF61D7" w:rsidRPr="0022410E" w:rsidRDefault="00AF61D7" w:rsidP="00AF7F80">
      <w:pPr>
        <w:rPr>
          <w:lang w:val="es-ES"/>
        </w:rPr>
      </w:pPr>
      <w:r w:rsidRPr="0022410E">
        <w:rPr>
          <w:lang w:val="es-ES"/>
        </w:rPr>
        <w:t>…</w:t>
      </w:r>
    </w:p>
    <w:p w14:paraId="09D47D31" w14:textId="292C84AC" w:rsidR="00AF61D7" w:rsidRPr="00AF7F80" w:rsidRDefault="00AF61D7" w:rsidP="00AF7F80">
      <w:pPr>
        <w:pStyle w:val="Call"/>
      </w:pPr>
      <w:r w:rsidRPr="00AF7F80">
        <w:t>resuelve</w:t>
      </w:r>
    </w:p>
    <w:p w14:paraId="37D3830A" w14:textId="495520A9" w:rsidR="00AF61D7" w:rsidRPr="0022410E" w:rsidRDefault="00C52F76" w:rsidP="00AF61D7">
      <w:pPr>
        <w:rPr>
          <w:lang w:val="es-ES"/>
        </w:rPr>
      </w:pPr>
      <w:r w:rsidRPr="0022410E">
        <w:rPr>
          <w:lang w:val="es-ES"/>
        </w:rPr>
        <w:t xml:space="preserve">recomendar al Consejo la celebración de una CMR en 2023 con una duración de cuatro Semanas, con el siguiente orden del día: </w:t>
      </w:r>
    </w:p>
    <w:p w14:paraId="4856DFFD" w14:textId="4870A6F6" w:rsidR="00AF61D7" w:rsidRPr="0022410E" w:rsidRDefault="00AF61D7" w:rsidP="00AF61D7">
      <w:pPr>
        <w:rPr>
          <w:lang w:val="es-ES"/>
        </w:rPr>
      </w:pPr>
      <w:r w:rsidRPr="0022410E">
        <w:rPr>
          <w:lang w:val="es-ES"/>
        </w:rPr>
        <w:t>1</w:t>
      </w:r>
      <w:r w:rsidRPr="0022410E">
        <w:rPr>
          <w:lang w:val="es-ES"/>
        </w:rPr>
        <w:tab/>
      </w:r>
      <w:r w:rsidR="00C52F76" w:rsidRPr="0022410E">
        <w:rPr>
          <w:lang w:val="es-ES"/>
        </w:rPr>
        <w:t xml:space="preserve">sobre la base de las propuestas de las administraciones, teniendo en cuenta los resultados de la CMR-23 y del Informe de la Reunión Preparatoria de la Conferencia, y con la debida consideración a las necesidades de servicios existentes y futuros en las bandas de frecuencias, considerar y tomar las medidas adecuadas con </w:t>
      </w:r>
      <w:r w:rsidR="005B429A" w:rsidRPr="0022410E">
        <w:rPr>
          <w:lang w:val="es-ES"/>
        </w:rPr>
        <w:t>respecto</w:t>
      </w:r>
      <w:r w:rsidR="00C52F76" w:rsidRPr="0022410E">
        <w:rPr>
          <w:lang w:val="es-ES"/>
        </w:rPr>
        <w:t xml:space="preserve"> a los temas siguientes:</w:t>
      </w:r>
    </w:p>
    <w:p w14:paraId="47DBC015" w14:textId="77777777" w:rsidR="00AF61D7" w:rsidRPr="0022410E" w:rsidRDefault="00AF61D7" w:rsidP="00AF7F80">
      <w:pPr>
        <w:rPr>
          <w:lang w:val="es-ES"/>
        </w:rPr>
      </w:pPr>
      <w:r w:rsidRPr="0022410E">
        <w:rPr>
          <w:lang w:val="es-ES"/>
        </w:rPr>
        <w:t>…</w:t>
      </w:r>
    </w:p>
    <w:p w14:paraId="5464B0EE" w14:textId="30A20CD4" w:rsidR="00AF61D7" w:rsidRPr="0022410E" w:rsidRDefault="00AF61D7" w:rsidP="00AF61D7">
      <w:pPr>
        <w:rPr>
          <w:szCs w:val="22"/>
          <w:lang w:val="es-ES" w:eastAsia="zh-CN"/>
        </w:rPr>
      </w:pPr>
      <w:r w:rsidRPr="0022410E">
        <w:rPr>
          <w:szCs w:val="22"/>
          <w:lang w:val="es-ES" w:eastAsia="ko-KR"/>
        </w:rPr>
        <w:t>1.xx</w:t>
      </w:r>
      <w:r w:rsidRPr="0022410E">
        <w:rPr>
          <w:szCs w:val="22"/>
          <w:lang w:val="es-ES" w:eastAsia="ko-KR"/>
        </w:rPr>
        <w:tab/>
      </w:r>
      <w:r w:rsidR="00C52F76" w:rsidRPr="0022410E">
        <w:rPr>
          <w:szCs w:val="22"/>
          <w:lang w:val="es-ES" w:eastAsia="zh-CN"/>
        </w:rPr>
        <w:t xml:space="preserve">Examinar </w:t>
      </w:r>
      <w:r w:rsidR="003F0BAA" w:rsidRPr="0022410E">
        <w:rPr>
          <w:szCs w:val="22"/>
          <w:lang w:val="es-ES" w:eastAsia="zh-CN"/>
        </w:rPr>
        <w:t>la posible revisión</w:t>
      </w:r>
      <w:r w:rsidR="00C52F76" w:rsidRPr="0022410E">
        <w:rPr>
          <w:szCs w:val="22"/>
          <w:lang w:val="es-ES" w:eastAsia="zh-CN"/>
        </w:rPr>
        <w:t xml:space="preserve"> de las condiciones de compartición en la banda de frecuencias 13,75-14 GHz a fin de</w:t>
      </w:r>
      <w:r w:rsidR="003F0BAA" w:rsidRPr="0022410E">
        <w:rPr>
          <w:szCs w:val="22"/>
          <w:lang w:val="es-ES" w:eastAsia="zh-CN"/>
        </w:rPr>
        <w:t xml:space="preserve"> habilitar</w:t>
      </w:r>
      <w:r w:rsidR="00C52F76" w:rsidRPr="0022410E">
        <w:rPr>
          <w:szCs w:val="22"/>
          <w:lang w:val="es-ES" w:eastAsia="zh-CN"/>
        </w:rPr>
        <w:t xml:space="preserve"> la utilización eficiente de la banda por las estaciones terrenas de enlace ascendente del SFS</w:t>
      </w:r>
      <w:r w:rsidR="0022410E">
        <w:rPr>
          <w:szCs w:val="22"/>
          <w:lang w:val="es-ES" w:eastAsia="zh-CN"/>
        </w:rPr>
        <w:t>, incluidas las estaciones terrenas</w:t>
      </w:r>
      <w:r w:rsidR="00C52F76" w:rsidRPr="0022410E">
        <w:rPr>
          <w:szCs w:val="22"/>
          <w:lang w:val="es-ES" w:eastAsia="zh-CN"/>
        </w:rPr>
        <w:t xml:space="preserve"> con menores tamaños de antena, de conformidad con el proyecto de nueva Resolución </w:t>
      </w:r>
      <w:r w:rsidR="00C52F76" w:rsidRPr="0022410E">
        <w:rPr>
          <w:b/>
          <w:bCs/>
          <w:szCs w:val="22"/>
          <w:lang w:val="es-ES" w:eastAsia="zh-CN"/>
        </w:rPr>
        <w:t>[CHN/INS/PNG/SNG/TON-FSS IN 13.75-14 GHZ] (CMR-23)</w:t>
      </w:r>
      <w:r w:rsidR="00C52F76" w:rsidRPr="0022410E">
        <w:rPr>
          <w:szCs w:val="22"/>
          <w:lang w:val="es-ES" w:eastAsia="zh-CN"/>
        </w:rPr>
        <w:t>;</w:t>
      </w:r>
    </w:p>
    <w:p w14:paraId="35E4895B" w14:textId="77777777" w:rsidR="00AF61D7" w:rsidRPr="00AF7F80" w:rsidRDefault="00AF61D7" w:rsidP="00AF61D7">
      <w:pPr>
        <w:rPr>
          <w:lang w:val="en-US"/>
        </w:rPr>
      </w:pPr>
      <w:r w:rsidRPr="00AF7F80">
        <w:rPr>
          <w:szCs w:val="22"/>
          <w:lang w:val="en-US" w:eastAsia="zh-CN"/>
        </w:rPr>
        <w:t>...</w:t>
      </w:r>
    </w:p>
    <w:p w14:paraId="6F61D8D7" w14:textId="77777777" w:rsidR="00CD4FD6" w:rsidRPr="00AF7F80" w:rsidRDefault="00CD4FD6">
      <w:pPr>
        <w:pStyle w:val="Reasons"/>
        <w:rPr>
          <w:lang w:val="en-US"/>
        </w:rPr>
      </w:pPr>
    </w:p>
    <w:p w14:paraId="17C894F6" w14:textId="77777777" w:rsidR="00CD4FD6" w:rsidRPr="00AF7F80" w:rsidRDefault="0054460B">
      <w:pPr>
        <w:pStyle w:val="Proposal"/>
        <w:rPr>
          <w:lang w:val="en-US"/>
        </w:rPr>
      </w:pPr>
      <w:r w:rsidRPr="00AF7F80">
        <w:rPr>
          <w:lang w:val="en-US"/>
        </w:rPr>
        <w:t>ADD</w:t>
      </w:r>
      <w:r w:rsidRPr="00AF7F80">
        <w:rPr>
          <w:lang w:val="en-US"/>
        </w:rPr>
        <w:tab/>
        <w:t>CHN/INS/PNG/SNG/TON/183/2</w:t>
      </w:r>
    </w:p>
    <w:p w14:paraId="050767BB" w14:textId="4E5F3082" w:rsidR="00CD4FD6" w:rsidRPr="0022410E" w:rsidRDefault="0054460B">
      <w:pPr>
        <w:pStyle w:val="ResNo"/>
        <w:rPr>
          <w:lang w:val="es-ES"/>
        </w:rPr>
      </w:pPr>
      <w:r w:rsidRPr="0022410E">
        <w:rPr>
          <w:lang w:val="es-ES"/>
        </w:rPr>
        <w:t>Proyecto de nueva Resolución [CHN/INS/PNG/SNG/TON-</w:t>
      </w:r>
      <w:r w:rsidR="005F4C7F" w:rsidRPr="0022410E">
        <w:rPr>
          <w:lang w:val="es-ES"/>
        </w:rPr>
        <w:t>fss in 13.75-14 GHZ</w:t>
      </w:r>
      <w:r w:rsidRPr="0022410E">
        <w:rPr>
          <w:lang w:val="es-ES"/>
        </w:rPr>
        <w:t>]</w:t>
      </w:r>
      <w:r w:rsidR="005F4C7F" w:rsidRPr="0022410E">
        <w:rPr>
          <w:lang w:val="es-ES"/>
        </w:rPr>
        <w:t xml:space="preserve"> (CMR-23)</w:t>
      </w:r>
    </w:p>
    <w:p w14:paraId="0823138E" w14:textId="72CD706E" w:rsidR="00CD4FD6" w:rsidRPr="00AF7F80" w:rsidRDefault="005F4C7F" w:rsidP="00AF7F80">
      <w:pPr>
        <w:pStyle w:val="Restitle"/>
      </w:pPr>
      <w:r w:rsidRPr="00AF7F80">
        <w:t xml:space="preserve">Examinar </w:t>
      </w:r>
      <w:r w:rsidR="00773CB6" w:rsidRPr="00AF7F80">
        <w:t>la</w:t>
      </w:r>
      <w:r w:rsidRPr="00AF7F80">
        <w:t xml:space="preserve"> </w:t>
      </w:r>
      <w:r w:rsidR="00773CB6" w:rsidRPr="00AF7F80">
        <w:t xml:space="preserve">posible </w:t>
      </w:r>
      <w:r w:rsidRPr="00AF7F80">
        <w:t>revisi</w:t>
      </w:r>
      <w:r w:rsidR="00773CB6" w:rsidRPr="00AF7F80">
        <w:t>ón</w:t>
      </w:r>
      <w:r w:rsidRPr="00AF7F80">
        <w:t xml:space="preserve"> de las condiciones de compartición </w:t>
      </w:r>
      <w:r w:rsidR="00773CB6" w:rsidRPr="00AF7F80">
        <w:t>para</w:t>
      </w:r>
      <w:r w:rsidRPr="00AF7F80">
        <w:t xml:space="preserve"> la banda de frecuencias 13,75-14 GHz a fin de </w:t>
      </w:r>
      <w:r w:rsidR="00773CB6" w:rsidRPr="00AF7F80">
        <w:t xml:space="preserve">habilitar </w:t>
      </w:r>
      <w:r w:rsidRPr="00AF7F80">
        <w:t xml:space="preserve">la utilización eficiente de la banda por las estaciones terrenas de enlace ascendente del SFS </w:t>
      </w:r>
      <w:r w:rsidR="00773CB6" w:rsidRPr="00AF7F80">
        <w:t>, incluidas las estaciones terrenas utilizando</w:t>
      </w:r>
      <w:r w:rsidRPr="00AF7F80">
        <w:t xml:space="preserve"> menores tamaños de antena</w:t>
      </w:r>
    </w:p>
    <w:p w14:paraId="5EB6C736" w14:textId="34D4D181" w:rsidR="005F4C7F" w:rsidRPr="0022410E" w:rsidRDefault="005F4C7F" w:rsidP="005F4C7F">
      <w:pPr>
        <w:pStyle w:val="Resref"/>
        <w:jc w:val="left"/>
        <w:rPr>
          <w:lang w:val="es-ES"/>
        </w:rPr>
      </w:pPr>
      <w:r w:rsidRPr="0022410E">
        <w:rPr>
          <w:lang w:val="es-ES"/>
        </w:rPr>
        <w:t>La Conferencia Mundial de Radiocomunicaciones (Dubái, 2023),</w:t>
      </w:r>
    </w:p>
    <w:p w14:paraId="5DBEC7BB" w14:textId="77777777" w:rsidR="00773CB6" w:rsidRPr="0022410E" w:rsidRDefault="00773CB6" w:rsidP="00773CB6">
      <w:pPr>
        <w:pStyle w:val="Call"/>
        <w:rPr>
          <w:lang w:val="es-ES"/>
        </w:rPr>
      </w:pPr>
      <w:r w:rsidRPr="0022410E">
        <w:rPr>
          <w:iCs/>
          <w:lang w:val="es-ES"/>
        </w:rPr>
        <w:t>considerando</w:t>
      </w:r>
    </w:p>
    <w:p w14:paraId="7B014465" w14:textId="6587A506" w:rsidR="00773CB6" w:rsidRPr="0022410E" w:rsidRDefault="00773CB6" w:rsidP="00773CB6">
      <w:pPr>
        <w:rPr>
          <w:lang w:val="es-ES"/>
        </w:rPr>
      </w:pPr>
      <w:r w:rsidRPr="0022410E">
        <w:rPr>
          <w:i/>
          <w:iCs/>
          <w:lang w:val="es-ES"/>
        </w:rPr>
        <w:t>a)</w:t>
      </w:r>
      <w:r w:rsidRPr="0022410E">
        <w:rPr>
          <w:lang w:val="es-ES"/>
        </w:rPr>
        <w:tab/>
        <w:t>que la CAMR-92 añadió una atribución al servicio fijo por satélite (SFS) (Tierra</w:t>
      </w:r>
      <w:r w:rsidRPr="0022410E">
        <w:rPr>
          <w:lang w:val="es-ES"/>
        </w:rPr>
        <w:noBreakHyphen/>
        <w:t>espacio) en la banda de frecuencias 13,75-14 GHz;</w:t>
      </w:r>
      <w:bookmarkStart w:id="7" w:name="_Hlk147836600"/>
      <w:bookmarkEnd w:id="7"/>
    </w:p>
    <w:p w14:paraId="7AA9D35E" w14:textId="77777777" w:rsidR="00773CB6" w:rsidRPr="0022410E" w:rsidRDefault="00773CB6" w:rsidP="00773CB6">
      <w:pPr>
        <w:rPr>
          <w:lang w:val="es-ES"/>
        </w:rPr>
      </w:pPr>
      <w:r w:rsidRPr="0022410E">
        <w:rPr>
          <w:i/>
          <w:iCs/>
          <w:lang w:val="es-ES"/>
        </w:rPr>
        <w:t>b)</w:t>
      </w:r>
      <w:r w:rsidRPr="0022410E">
        <w:rPr>
          <w:lang w:val="es-ES"/>
        </w:rPr>
        <w:tab/>
        <w:t>que la CMR-03 modificó los números </w:t>
      </w:r>
      <w:r w:rsidRPr="0022410E">
        <w:rPr>
          <w:rStyle w:val="Artref"/>
          <w:b/>
          <w:bCs/>
          <w:lang w:val="es-ES"/>
        </w:rPr>
        <w:t>5.502</w:t>
      </w:r>
      <w:r w:rsidRPr="0022410E">
        <w:rPr>
          <w:lang w:val="es-ES"/>
        </w:rPr>
        <w:t xml:space="preserve"> y </w:t>
      </w:r>
      <w:r w:rsidRPr="0022410E">
        <w:rPr>
          <w:rStyle w:val="Artref"/>
          <w:b/>
          <w:bCs/>
          <w:lang w:val="es-ES"/>
        </w:rPr>
        <w:t>5.503</w:t>
      </w:r>
      <w:r w:rsidRPr="0022410E">
        <w:rPr>
          <w:lang w:val="es-ES"/>
        </w:rPr>
        <w:t xml:space="preserve"> que, entre otras cosas, permitían la utilización de antenas de estaciones terrenas con una limitación del diámetro mínimo de 1,2 m para las redes de satélites geoestacionarios (OSG) del SFS, manteniendo un diámetro mínimo de antena de 4,5 m para los sistemas no geoestacionarios (no OSG) del SFS;</w:t>
      </w:r>
    </w:p>
    <w:p w14:paraId="601EC6F1" w14:textId="29E68497" w:rsidR="00773CB6" w:rsidRPr="0022410E" w:rsidRDefault="00773CB6" w:rsidP="00773CB6">
      <w:pPr>
        <w:rPr>
          <w:lang w:val="es-ES"/>
        </w:rPr>
      </w:pPr>
      <w:r w:rsidRPr="0022410E">
        <w:rPr>
          <w:i/>
          <w:iCs/>
          <w:lang w:val="es-ES"/>
        </w:rPr>
        <w:lastRenderedPageBreak/>
        <w:t>c)</w:t>
      </w:r>
      <w:r w:rsidRPr="0022410E">
        <w:rPr>
          <w:lang w:val="es-ES"/>
        </w:rPr>
        <w:tab/>
        <w:t>que los números </w:t>
      </w:r>
      <w:r w:rsidRPr="0022410E">
        <w:rPr>
          <w:rStyle w:val="Artref"/>
          <w:b/>
          <w:bCs/>
          <w:lang w:val="es-ES"/>
        </w:rPr>
        <w:t>5.502</w:t>
      </w:r>
      <w:r w:rsidRPr="0022410E">
        <w:rPr>
          <w:lang w:val="es-ES"/>
        </w:rPr>
        <w:t xml:space="preserve"> y </w:t>
      </w:r>
      <w:r w:rsidRPr="0022410E">
        <w:rPr>
          <w:rStyle w:val="Artref"/>
          <w:b/>
          <w:bCs/>
          <w:lang w:val="es-ES"/>
        </w:rPr>
        <w:t>5.503</w:t>
      </w:r>
      <w:r w:rsidRPr="0022410E">
        <w:rPr>
          <w:lang w:val="es-ES"/>
        </w:rPr>
        <w:t xml:space="preserve"> también contienen la densidad de flujo de potencia, la p.i.r.e. y los límites de densidad de p.i.r.e. que deben respetar las estaciones;</w:t>
      </w:r>
    </w:p>
    <w:p w14:paraId="17C2E6E4" w14:textId="77777777" w:rsidR="00773CB6" w:rsidRPr="0022410E" w:rsidRDefault="00773CB6" w:rsidP="00773CB6">
      <w:pPr>
        <w:rPr>
          <w:lang w:val="es-ES"/>
        </w:rPr>
      </w:pPr>
      <w:r w:rsidRPr="0022410E">
        <w:rPr>
          <w:i/>
          <w:iCs/>
          <w:lang w:val="es-ES"/>
        </w:rPr>
        <w:t>d)</w:t>
      </w:r>
      <w:r w:rsidRPr="0022410E">
        <w:rPr>
          <w:lang w:val="es-ES"/>
        </w:rPr>
        <w:tab/>
        <w:t>que el arco geoestacionario está muy congestionado y es necesario garantizar que los recursos espectrales y orbitales se utilizan eficaz y racionalmente para facilitar la introducción de nuevas redes de satélites, en particular las de los nuevos operadores de satélites;</w:t>
      </w:r>
    </w:p>
    <w:p w14:paraId="2B207C6A" w14:textId="131ED354" w:rsidR="00773CB6" w:rsidRPr="0022410E" w:rsidRDefault="00773CB6" w:rsidP="00773CB6">
      <w:pPr>
        <w:rPr>
          <w:lang w:val="es-ES"/>
        </w:rPr>
      </w:pPr>
      <w:r w:rsidRPr="0022410E">
        <w:rPr>
          <w:i/>
          <w:iCs/>
          <w:lang w:val="es-ES"/>
        </w:rPr>
        <w:t>e)</w:t>
      </w:r>
      <w:r w:rsidRPr="0022410E">
        <w:rPr>
          <w:lang w:val="es-ES"/>
        </w:rPr>
        <w:tab/>
        <w:t>que desde la CMR-03, ha habido una evolución significativa de las redes de satélites OSG del SFS, en las que cada vez se observa un mayor uso de antenas de estación terrena pequeña;</w:t>
      </w:r>
    </w:p>
    <w:p w14:paraId="1851C235" w14:textId="557D172F" w:rsidR="00773CB6" w:rsidRPr="0022410E" w:rsidRDefault="00773CB6" w:rsidP="00773CB6">
      <w:pPr>
        <w:rPr>
          <w:lang w:val="es-ES"/>
        </w:rPr>
      </w:pPr>
      <w:r w:rsidRPr="0022410E">
        <w:rPr>
          <w:i/>
          <w:iCs/>
          <w:lang w:val="es-ES"/>
        </w:rPr>
        <w:t>f)</w:t>
      </w:r>
      <w:r w:rsidRPr="0022410E">
        <w:rPr>
          <w:lang w:val="es-ES"/>
        </w:rPr>
        <w:tab/>
        <w:t xml:space="preserve">que ha habido un aumento importante de los sistemas no OSG que funcionan en la </w:t>
      </w:r>
      <w:r w:rsidR="00AA6586" w:rsidRPr="0022410E">
        <w:rPr>
          <w:lang w:val="es-ES"/>
        </w:rPr>
        <w:t xml:space="preserve">banda en la gama de </w:t>
      </w:r>
      <w:r w:rsidRPr="0022410E">
        <w:rPr>
          <w:lang w:val="es-ES"/>
        </w:rPr>
        <w:t>frecuencias 10-15 GHz para el SFS con antenas de estación terrena de diámetro más pequeño y los límites impuestos por los números </w:t>
      </w:r>
      <w:r w:rsidRPr="0022410E">
        <w:rPr>
          <w:rStyle w:val="Artref"/>
          <w:b/>
          <w:bCs/>
          <w:lang w:val="es-ES"/>
        </w:rPr>
        <w:t>5.502</w:t>
      </w:r>
      <w:r w:rsidRPr="0022410E">
        <w:rPr>
          <w:lang w:val="es-ES"/>
        </w:rPr>
        <w:t xml:space="preserve"> y </w:t>
      </w:r>
      <w:r w:rsidRPr="0022410E">
        <w:rPr>
          <w:rStyle w:val="Artref"/>
          <w:b/>
          <w:bCs/>
          <w:lang w:val="es-ES"/>
        </w:rPr>
        <w:t>5.503</w:t>
      </w:r>
      <w:r w:rsidRPr="0022410E">
        <w:rPr>
          <w:lang w:val="es-ES"/>
        </w:rPr>
        <w:t xml:space="preserve"> tal vez no correspondan a las características de los sistemas modernos del SFS no OSG;</w:t>
      </w:r>
    </w:p>
    <w:p w14:paraId="33CDA4B8" w14:textId="63761961" w:rsidR="00773CB6" w:rsidRPr="0022410E" w:rsidRDefault="00773CB6" w:rsidP="00773CB6">
      <w:pPr>
        <w:rPr>
          <w:lang w:val="es-ES"/>
        </w:rPr>
      </w:pPr>
      <w:r w:rsidRPr="0022410E">
        <w:rPr>
          <w:i/>
          <w:iCs/>
          <w:lang w:val="es-ES"/>
        </w:rPr>
        <w:t>g)</w:t>
      </w:r>
      <w:r w:rsidRPr="0022410E">
        <w:rPr>
          <w:lang w:val="es-ES"/>
        </w:rPr>
        <w:tab/>
        <w:t xml:space="preserve">que </w:t>
      </w:r>
      <w:r w:rsidR="00AA6586" w:rsidRPr="0022410E">
        <w:rPr>
          <w:lang w:val="es-ES"/>
        </w:rPr>
        <w:t xml:space="preserve">hay una carencia de ancho de banda de enlace ascendente en la gama de frecuencias 13-15 GHz que pueda utilizarse eficazmente, incluso con antenas de estación terrena de </w:t>
      </w:r>
      <w:r w:rsidR="00CC4594" w:rsidRPr="0022410E">
        <w:rPr>
          <w:lang w:val="es-ES"/>
        </w:rPr>
        <w:t xml:space="preserve">menor diámetro; </w:t>
      </w:r>
      <w:r w:rsidR="00AA6586" w:rsidRPr="0022410E">
        <w:rPr>
          <w:lang w:val="es-ES"/>
        </w:rPr>
        <w:t>en todo el mundo para alimentar la capacidad de enlace descendente en la gama de frecuencias 10</w:t>
      </w:r>
      <w:r w:rsidR="00AA6586" w:rsidRPr="0022410E">
        <w:rPr>
          <w:lang w:val="es-ES"/>
        </w:rPr>
        <w:noBreakHyphen/>
        <w:t>13 GHz;</w:t>
      </w:r>
    </w:p>
    <w:p w14:paraId="7334FCB5" w14:textId="77777777" w:rsidR="00773CB6" w:rsidRPr="0022410E" w:rsidRDefault="00773CB6" w:rsidP="00773CB6">
      <w:pPr>
        <w:rPr>
          <w:lang w:val="es-ES"/>
        </w:rPr>
      </w:pPr>
      <w:r w:rsidRPr="0022410E">
        <w:rPr>
          <w:i/>
          <w:iCs/>
          <w:lang w:val="es-ES"/>
        </w:rPr>
        <w:t>i)</w:t>
      </w:r>
      <w:r w:rsidRPr="0022410E">
        <w:rPr>
          <w:lang w:val="es-ES"/>
        </w:rPr>
        <w:tab/>
        <w:t>que esta banda está compartida con el servicio de radiolocalización con sujeción a las condiciones establecidas en el número </w:t>
      </w:r>
      <w:r w:rsidRPr="0022410E">
        <w:rPr>
          <w:rStyle w:val="Artref"/>
          <w:b/>
          <w:bCs/>
          <w:lang w:val="es-ES"/>
        </w:rPr>
        <w:t>5.502</w:t>
      </w:r>
      <w:r w:rsidRPr="0022410E">
        <w:rPr>
          <w:lang w:val="es-ES"/>
        </w:rPr>
        <w:t>;</w:t>
      </w:r>
    </w:p>
    <w:p w14:paraId="52CFB219" w14:textId="77777777" w:rsidR="00773CB6" w:rsidRPr="0022410E" w:rsidRDefault="00773CB6" w:rsidP="00773CB6">
      <w:pPr>
        <w:rPr>
          <w:lang w:val="es-ES"/>
        </w:rPr>
      </w:pPr>
      <w:r w:rsidRPr="0022410E">
        <w:rPr>
          <w:i/>
          <w:iCs/>
          <w:lang w:val="es-ES"/>
        </w:rPr>
        <w:t>j)</w:t>
      </w:r>
      <w:r w:rsidRPr="0022410E">
        <w:rPr>
          <w:lang w:val="es-ES"/>
        </w:rPr>
        <w:tab/>
        <w:t>que el servicio de investigación espacial tiene una atribución secundaria en esta banda y las condiciones de compartición correspondientes se establecen en el número </w:t>
      </w:r>
      <w:r w:rsidRPr="0022410E">
        <w:rPr>
          <w:rStyle w:val="Artref"/>
          <w:b/>
          <w:bCs/>
          <w:lang w:val="es-ES"/>
        </w:rPr>
        <w:t>5.503</w:t>
      </w:r>
      <w:r w:rsidRPr="0022410E">
        <w:rPr>
          <w:lang w:val="es-ES"/>
        </w:rPr>
        <w:t>;</w:t>
      </w:r>
    </w:p>
    <w:p w14:paraId="04F05D26" w14:textId="77777777" w:rsidR="00773CB6" w:rsidRPr="0022410E" w:rsidRDefault="00773CB6" w:rsidP="00773CB6">
      <w:pPr>
        <w:rPr>
          <w:lang w:val="es-ES"/>
        </w:rPr>
      </w:pPr>
      <w:r w:rsidRPr="0022410E">
        <w:rPr>
          <w:i/>
          <w:iCs/>
          <w:lang w:val="es-ES"/>
        </w:rPr>
        <w:t>k)</w:t>
      </w:r>
      <w:r w:rsidRPr="0022410E">
        <w:rPr>
          <w:lang w:val="es-ES"/>
        </w:rPr>
        <w:tab/>
        <w:t>que las estaciones espaciales OSG del servicio de investigación espacial cuya información de publicación anticipada recibió la Oficina antes del 31 de enero de 1992 deben funcionar en igualdad de condiciones con las estaciones del SFS; que, después de dicha fecha, las nuevas estaciones espaciales OSG del servicio de investigación espacial funcionarán con categoría secundaria;</w:t>
      </w:r>
    </w:p>
    <w:p w14:paraId="14323C25" w14:textId="4EB84616" w:rsidR="00773CB6" w:rsidRPr="0022410E" w:rsidRDefault="00773CB6" w:rsidP="00773CB6">
      <w:pPr>
        <w:rPr>
          <w:lang w:val="es-ES"/>
        </w:rPr>
      </w:pPr>
      <w:r w:rsidRPr="0022410E">
        <w:rPr>
          <w:i/>
          <w:iCs/>
          <w:lang w:val="es-ES"/>
        </w:rPr>
        <w:t>l)</w:t>
      </w:r>
      <w:r w:rsidRPr="0022410E">
        <w:rPr>
          <w:lang w:val="es-ES"/>
        </w:rPr>
        <w:tab/>
        <w:t>que, hasta que dejen de funcionar en esta banda las estaciones espaciales OSG del servicio de información espacial cuya información de publicación anticipada recibió la Oficina antes del 31 de enero de 1992, la banda de frecuencias 13,77-13,78 GHz está compartida con el servicio de investigación espacial bajo las condiciones estipuladas en el número </w:t>
      </w:r>
      <w:r w:rsidRPr="0022410E">
        <w:rPr>
          <w:rStyle w:val="Artref"/>
          <w:b/>
          <w:bCs/>
          <w:lang w:val="es-ES"/>
        </w:rPr>
        <w:t>5.503</w:t>
      </w:r>
      <w:r w:rsidRPr="0022410E">
        <w:rPr>
          <w:lang w:val="es-ES"/>
        </w:rPr>
        <w:t>;</w:t>
      </w:r>
    </w:p>
    <w:p w14:paraId="663A19E7" w14:textId="77777777" w:rsidR="00773CB6" w:rsidRPr="0022410E" w:rsidRDefault="00773CB6" w:rsidP="00773CB6">
      <w:pPr>
        <w:rPr>
          <w:lang w:val="es-ES"/>
        </w:rPr>
      </w:pPr>
      <w:r w:rsidRPr="0022410E">
        <w:rPr>
          <w:i/>
          <w:iCs/>
          <w:lang w:val="es-ES"/>
        </w:rPr>
        <w:t>m)</w:t>
      </w:r>
      <w:r w:rsidRPr="0022410E">
        <w:rPr>
          <w:lang w:val="es-ES"/>
        </w:rPr>
        <w:tab/>
        <w:t>que en algunos países la banda está también atribuida al servicio fijo y al servicio móvil (números </w:t>
      </w:r>
      <w:r w:rsidRPr="0022410E">
        <w:rPr>
          <w:rStyle w:val="Artref"/>
          <w:b/>
          <w:bCs/>
          <w:lang w:val="es-ES"/>
        </w:rPr>
        <w:t>5.499</w:t>
      </w:r>
      <w:r w:rsidRPr="0022410E">
        <w:rPr>
          <w:lang w:val="es-ES"/>
        </w:rPr>
        <w:t xml:space="preserve"> y </w:t>
      </w:r>
      <w:r w:rsidRPr="0022410E">
        <w:rPr>
          <w:rStyle w:val="Artref"/>
          <w:b/>
          <w:bCs/>
          <w:lang w:val="es-ES"/>
        </w:rPr>
        <w:t>5.500</w:t>
      </w:r>
      <w:r w:rsidRPr="0022410E">
        <w:rPr>
          <w:lang w:val="es-ES"/>
        </w:rPr>
        <w:t>), así como al servicio de radionavegación (número </w:t>
      </w:r>
      <w:r w:rsidRPr="0022410E">
        <w:rPr>
          <w:rStyle w:val="Artref"/>
          <w:b/>
          <w:bCs/>
          <w:lang w:val="es-ES"/>
        </w:rPr>
        <w:t>5.501</w:t>
      </w:r>
      <w:r w:rsidRPr="0022410E">
        <w:rPr>
          <w:lang w:val="es-ES"/>
        </w:rPr>
        <w:t>);</w:t>
      </w:r>
    </w:p>
    <w:p w14:paraId="5E00912D" w14:textId="344038BF" w:rsidR="00773CB6" w:rsidRPr="0022410E" w:rsidRDefault="00773CB6" w:rsidP="00773CB6">
      <w:pPr>
        <w:rPr>
          <w:lang w:val="es-ES"/>
        </w:rPr>
      </w:pPr>
      <w:r w:rsidRPr="0022410E">
        <w:rPr>
          <w:i/>
          <w:iCs/>
          <w:lang w:val="es-ES"/>
        </w:rPr>
        <w:t>n)</w:t>
      </w:r>
      <w:r w:rsidRPr="0022410E">
        <w:rPr>
          <w:lang w:val="es-ES"/>
        </w:rPr>
        <w:tab/>
        <w:t xml:space="preserve">que la mejora de las condiciones operativas de las estaciones terrenas en la banda de frecuencias 13,75-14 GHz contribuirá a colmar las necesidades evolutivas de las aplicaciones satelitales y permitir la utilización eficiente y racional de las bandas </w:t>
      </w:r>
      <w:r w:rsidR="00AA6586" w:rsidRPr="0022410E">
        <w:rPr>
          <w:lang w:val="es-ES"/>
        </w:rPr>
        <w:t xml:space="preserve">en la gama </w:t>
      </w:r>
      <w:r w:rsidRPr="0022410E">
        <w:rPr>
          <w:lang w:val="es-ES"/>
        </w:rPr>
        <w:t>13-15 GHz (Tierra-espacio) y 10-13 GHz (espacio-Tierra),</w:t>
      </w:r>
    </w:p>
    <w:p w14:paraId="01420832" w14:textId="5B1BED4F" w:rsidR="00AA6586" w:rsidRPr="0022410E" w:rsidRDefault="00C549B0" w:rsidP="00AA6586">
      <w:pPr>
        <w:pStyle w:val="Call"/>
        <w:rPr>
          <w:iCs/>
          <w:lang w:val="es-ES"/>
        </w:rPr>
      </w:pPr>
      <w:r w:rsidRPr="0022410E">
        <w:rPr>
          <w:lang w:val="es-ES"/>
        </w:rPr>
        <w:t xml:space="preserve">considerando además </w:t>
      </w:r>
    </w:p>
    <w:p w14:paraId="5D4115D1" w14:textId="74C95E97" w:rsidR="00AA6586" w:rsidRPr="0022410E" w:rsidRDefault="00AA6586" w:rsidP="00AA6586">
      <w:pPr>
        <w:rPr>
          <w:lang w:val="es-ES"/>
        </w:rPr>
      </w:pPr>
      <w:r w:rsidRPr="0022410E">
        <w:rPr>
          <w:i/>
          <w:iCs/>
          <w:lang w:val="es-ES"/>
        </w:rPr>
        <w:t>a)</w:t>
      </w:r>
      <w:r w:rsidRPr="0022410E">
        <w:rPr>
          <w:lang w:val="es-ES"/>
        </w:rPr>
        <w:tab/>
      </w:r>
      <w:r w:rsidR="00C549B0" w:rsidRPr="0022410E">
        <w:rPr>
          <w:lang w:val="es-ES"/>
        </w:rPr>
        <w:t xml:space="preserve">que es necesario realizar estudios para </w:t>
      </w:r>
      <w:r w:rsidR="008F71D2" w:rsidRPr="0022410E">
        <w:rPr>
          <w:lang w:val="es-ES"/>
        </w:rPr>
        <w:t>definir</w:t>
      </w:r>
      <w:r w:rsidR="00C549B0" w:rsidRPr="0022410E">
        <w:rPr>
          <w:lang w:val="es-ES"/>
        </w:rPr>
        <w:t xml:space="preserve"> los posibles cambios reglamentarios necesarios para cumplir los cada vez más importantes </w:t>
      </w:r>
      <w:r w:rsidR="008F71D2" w:rsidRPr="0022410E">
        <w:rPr>
          <w:lang w:val="es-ES"/>
        </w:rPr>
        <w:t>requisitos</w:t>
      </w:r>
      <w:r w:rsidR="00C549B0" w:rsidRPr="0022410E">
        <w:rPr>
          <w:lang w:val="es-ES"/>
        </w:rPr>
        <w:t xml:space="preserve"> para poder </w:t>
      </w:r>
      <w:r w:rsidR="008F71D2" w:rsidRPr="0022410E">
        <w:rPr>
          <w:lang w:val="es-ES"/>
        </w:rPr>
        <w:t>utilizar</w:t>
      </w:r>
      <w:r w:rsidR="00C549B0" w:rsidRPr="0022410E">
        <w:rPr>
          <w:lang w:val="es-ES"/>
        </w:rPr>
        <w:t xml:space="preserve"> eficientemente el espectro de la gama de frecuencias 13-15 GHz, incluidas las que utilizan antenas de estaciones terrenas de menor diámetro;</w:t>
      </w:r>
    </w:p>
    <w:p w14:paraId="24EEE0D9" w14:textId="7204907D" w:rsidR="00AA6586" w:rsidRPr="0022410E" w:rsidRDefault="00AA6586" w:rsidP="00AA6586">
      <w:pPr>
        <w:rPr>
          <w:lang w:val="es-ES"/>
        </w:rPr>
      </w:pPr>
      <w:r w:rsidRPr="0022410E">
        <w:rPr>
          <w:i/>
          <w:iCs/>
          <w:lang w:val="es-ES"/>
        </w:rPr>
        <w:t>b)</w:t>
      </w:r>
      <w:r w:rsidRPr="0022410E">
        <w:rPr>
          <w:lang w:val="es-ES"/>
        </w:rPr>
        <w:tab/>
      </w:r>
      <w:r w:rsidR="009D76D6" w:rsidRPr="0022410E">
        <w:rPr>
          <w:lang w:val="es-ES"/>
        </w:rPr>
        <w:t xml:space="preserve">que, al considerar la revisión de las condiciones para la banda 13,75-14 GHz, es necesario </w:t>
      </w:r>
      <w:r w:rsidR="005B429A" w:rsidRPr="0022410E">
        <w:rPr>
          <w:lang w:val="es-ES"/>
        </w:rPr>
        <w:t>determinar</w:t>
      </w:r>
      <w:r w:rsidR="009D76D6" w:rsidRPr="0022410E">
        <w:rPr>
          <w:lang w:val="es-ES"/>
        </w:rPr>
        <w:t xml:space="preserve"> las condiciones de coexistencia adecuadas entre otros servicios que comparten la banda con sus características y aplicaciones actuales y las estaciones terrenas del SFS de enlace ascendente, en particular los número </w:t>
      </w:r>
      <w:r w:rsidR="009D76D6" w:rsidRPr="0022410E">
        <w:rPr>
          <w:b/>
          <w:bCs/>
          <w:lang w:val="es-ES"/>
        </w:rPr>
        <w:t xml:space="preserve">5.502 </w:t>
      </w:r>
      <w:r w:rsidR="009D76D6" w:rsidRPr="0022410E">
        <w:rPr>
          <w:lang w:val="es-ES"/>
        </w:rPr>
        <w:t xml:space="preserve">y </w:t>
      </w:r>
      <w:r w:rsidR="009D76D6" w:rsidRPr="0022410E">
        <w:rPr>
          <w:b/>
          <w:bCs/>
          <w:lang w:val="es-ES"/>
        </w:rPr>
        <w:t>5.503</w:t>
      </w:r>
      <w:r w:rsidR="00AF7F80">
        <w:rPr>
          <w:lang w:val="es-ES"/>
        </w:rPr>
        <w:t>,</w:t>
      </w:r>
    </w:p>
    <w:p w14:paraId="34484EF7" w14:textId="77777777" w:rsidR="008F71D2" w:rsidRPr="0022410E" w:rsidRDefault="008F71D2" w:rsidP="008F71D2">
      <w:pPr>
        <w:pStyle w:val="Call"/>
        <w:rPr>
          <w:lang w:val="es-ES"/>
        </w:rPr>
      </w:pPr>
      <w:r w:rsidRPr="0022410E">
        <w:rPr>
          <w:lang w:val="es-ES"/>
        </w:rPr>
        <w:lastRenderedPageBreak/>
        <w:t>resuelve invitar al UIT-R</w:t>
      </w:r>
    </w:p>
    <w:p w14:paraId="550A20FC" w14:textId="4A272BCF" w:rsidR="008F71D2" w:rsidRPr="0022410E" w:rsidRDefault="008F71D2" w:rsidP="008F71D2">
      <w:pPr>
        <w:rPr>
          <w:lang w:val="es-ES"/>
        </w:rPr>
      </w:pPr>
      <w:r w:rsidRPr="0022410E">
        <w:rPr>
          <w:lang w:val="es-ES"/>
        </w:rPr>
        <w:t>a llevar a cabo estudios, a tiempo para su consideración por la CMR-27, sobre posibles revisiones de las condiciones de compartición en la banda de frecuencias 13,75-14 GHz a fin de facilitar la utilización eficiente de la banda por las estaciones terrenas de enlace ascendente del SFS OSG y no OSG con menores tamaños de antena,</w:t>
      </w:r>
    </w:p>
    <w:p w14:paraId="78394AD1" w14:textId="7208F5AD" w:rsidR="008F71D2" w:rsidRPr="0022410E" w:rsidRDefault="008F71D2" w:rsidP="008F71D2">
      <w:pPr>
        <w:pStyle w:val="Call"/>
        <w:rPr>
          <w:lang w:val="es-ES"/>
        </w:rPr>
      </w:pPr>
      <w:r w:rsidRPr="0022410E">
        <w:rPr>
          <w:lang w:val="es-ES"/>
        </w:rPr>
        <w:t>invita a la Conferencia Mundial de Radiocomunicaciones de 2027</w:t>
      </w:r>
    </w:p>
    <w:p w14:paraId="44B1DEEA" w14:textId="512CA411" w:rsidR="00CD4FD6" w:rsidRPr="0022410E" w:rsidRDefault="008F71D2" w:rsidP="008F71D2">
      <w:pPr>
        <w:rPr>
          <w:lang w:val="es-ES"/>
        </w:rPr>
      </w:pPr>
      <w:r w:rsidRPr="0022410E">
        <w:rPr>
          <w:lang w:val="es-ES"/>
        </w:rPr>
        <w:t xml:space="preserve">a considerar los resultados de los estudios antes mencionados en el </w:t>
      </w:r>
      <w:r w:rsidRPr="0022410E">
        <w:rPr>
          <w:i/>
          <w:iCs/>
          <w:lang w:val="es-ES"/>
        </w:rPr>
        <w:t>resuelve invitar al UIT-R</w:t>
      </w:r>
      <w:r w:rsidRPr="0022410E">
        <w:rPr>
          <w:lang w:val="es-ES"/>
        </w:rPr>
        <w:t xml:space="preserve"> y a tomar las medidas necesarias, según convenga.</w:t>
      </w:r>
    </w:p>
    <w:p w14:paraId="489EFDF5" w14:textId="57BD1AD2" w:rsidR="008F71D2" w:rsidRDefault="0054460B" w:rsidP="00AF7F80">
      <w:pPr>
        <w:pStyle w:val="Reasons"/>
      </w:pPr>
      <w:r w:rsidRPr="00AF7F80">
        <w:rPr>
          <w:b/>
          <w:bCs/>
        </w:rPr>
        <w:t>Motivos</w:t>
      </w:r>
      <w:r w:rsidRPr="00AF7F80">
        <w:t>:</w:t>
      </w:r>
      <w:r w:rsidRPr="00AF7F80">
        <w:tab/>
      </w:r>
      <w:r w:rsidR="008F71D2" w:rsidRPr="00AF7F80">
        <w:t>Véase el siguiente Cuadro que se ha preparado utilizando el modelo proporcionado en el Anexo 2 de la Resolución</w:t>
      </w:r>
      <w:r w:rsidR="00AF7F80">
        <w:t> </w:t>
      </w:r>
      <w:r w:rsidR="008F71D2" w:rsidRPr="00AF7F80">
        <w:rPr>
          <w:b/>
          <w:bCs/>
        </w:rPr>
        <w:t>804 (Rev.CMR-19</w:t>
      </w:r>
      <w:r w:rsidR="008F71D2" w:rsidRPr="00AF7F80">
        <w:t>).</w:t>
      </w:r>
    </w:p>
    <w:p w14:paraId="2139BB00" w14:textId="3EC7A386" w:rsidR="00AF7F80" w:rsidRDefault="00AF7F80">
      <w:pPr>
        <w:tabs>
          <w:tab w:val="clear" w:pos="1134"/>
          <w:tab w:val="clear" w:pos="1871"/>
          <w:tab w:val="clear" w:pos="2268"/>
        </w:tabs>
        <w:overflowPunct/>
        <w:autoSpaceDE/>
        <w:autoSpaceDN/>
        <w:adjustRightInd/>
        <w:spacing w:before="0"/>
        <w:textAlignment w:val="auto"/>
      </w:pPr>
      <w:r>
        <w:br w:type="page"/>
      </w:r>
    </w:p>
    <w:p w14:paraId="304E11E0" w14:textId="621A3304" w:rsidR="008F71D2" w:rsidRPr="0022410E" w:rsidRDefault="008F71D2" w:rsidP="008F71D2">
      <w:pPr>
        <w:pStyle w:val="AnnexNo"/>
        <w:rPr>
          <w:lang w:val="es-ES"/>
        </w:rPr>
      </w:pPr>
      <w:r w:rsidRPr="0022410E">
        <w:rPr>
          <w:lang w:val="es-ES"/>
        </w:rPr>
        <w:lastRenderedPageBreak/>
        <w:t>adjunto</w:t>
      </w:r>
    </w:p>
    <w:p w14:paraId="3E1098AA" w14:textId="1BE24228" w:rsidR="008F71D2" w:rsidRPr="0022410E" w:rsidRDefault="008F71D2" w:rsidP="008F71D2">
      <w:pPr>
        <w:pStyle w:val="Annextitle"/>
        <w:rPr>
          <w:lang w:val="es-ES"/>
        </w:rPr>
      </w:pPr>
      <w:r w:rsidRPr="0022410E">
        <w:rPr>
          <w:lang w:val="es-ES"/>
        </w:rPr>
        <w:t>Modelo para la presentación de propuestas de puntos del orden del día</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8F71D2" w:rsidRPr="0022410E" w14:paraId="0AEC2668" w14:textId="77777777" w:rsidTr="003723EE">
        <w:trPr>
          <w:cantSplit/>
        </w:trPr>
        <w:tc>
          <w:tcPr>
            <w:tcW w:w="9723" w:type="dxa"/>
            <w:gridSpan w:val="2"/>
            <w:hideMark/>
          </w:tcPr>
          <w:p w14:paraId="1DBD86E1" w14:textId="7978A7EF" w:rsidR="008F71D2" w:rsidRPr="0022410E" w:rsidRDefault="008F71D2" w:rsidP="00393A53">
            <w:pPr>
              <w:keepNext/>
              <w:rPr>
                <w:b/>
                <w:bCs/>
                <w:lang w:val="es-ES"/>
              </w:rPr>
            </w:pPr>
            <w:bookmarkStart w:id="8" w:name="_Hlk150161608"/>
            <w:r w:rsidRPr="0022410E">
              <w:rPr>
                <w:b/>
                <w:bCs/>
                <w:lang w:val="es-ES"/>
              </w:rPr>
              <w:t xml:space="preserve">Asunto: </w:t>
            </w:r>
            <w:r w:rsidRPr="00393A53">
              <w:t>Exa</w:t>
            </w:r>
            <w:r w:rsidRPr="00393A53">
              <w:rPr>
                <w:lang w:val="es-ES" w:eastAsia="zh-CN"/>
              </w:rPr>
              <w:t>minar la posible revisión de las condiciones de compartición para la banda de frecuencias 13,75-14 GHz a fin de habilitar la utilización eficiente de la banda por las estaciones terrenas de enlace ascendente del SFS</w:t>
            </w:r>
            <w:r w:rsidR="00B30D89" w:rsidRPr="00393A53">
              <w:rPr>
                <w:lang w:val="es-ES" w:eastAsia="zh-CN"/>
              </w:rPr>
              <w:t>, incluidas las</w:t>
            </w:r>
            <w:r w:rsidR="00B30D89" w:rsidRPr="00AF7F80">
              <w:rPr>
                <w:szCs w:val="22"/>
                <w:lang w:val="es-ES" w:eastAsia="zh-CN"/>
              </w:rPr>
              <w:t xml:space="preserve"> estaciones terrenas</w:t>
            </w:r>
            <w:r w:rsidRPr="00AF7F80">
              <w:rPr>
                <w:szCs w:val="22"/>
                <w:lang w:val="es-ES" w:eastAsia="zh-CN"/>
              </w:rPr>
              <w:t xml:space="preserve"> con menores tamaños de antena. </w:t>
            </w:r>
          </w:p>
        </w:tc>
      </w:tr>
      <w:tr w:rsidR="008F71D2" w:rsidRPr="0022410E" w14:paraId="6B43C0D0" w14:textId="77777777" w:rsidTr="003723EE">
        <w:trPr>
          <w:cantSplit/>
        </w:trPr>
        <w:tc>
          <w:tcPr>
            <w:tcW w:w="9723" w:type="dxa"/>
            <w:gridSpan w:val="2"/>
            <w:tcBorders>
              <w:top w:val="nil"/>
              <w:left w:val="nil"/>
              <w:bottom w:val="single" w:sz="4" w:space="0" w:color="auto"/>
              <w:right w:val="nil"/>
            </w:tcBorders>
            <w:hideMark/>
          </w:tcPr>
          <w:p w14:paraId="208A0DE5" w14:textId="77D239E3" w:rsidR="008F71D2" w:rsidRPr="0022410E" w:rsidRDefault="008F71D2" w:rsidP="00393A53">
            <w:pPr>
              <w:keepNext/>
              <w:rPr>
                <w:b/>
                <w:i/>
                <w:color w:val="000000"/>
                <w:lang w:val="es-ES"/>
              </w:rPr>
            </w:pPr>
            <w:r w:rsidRPr="0022410E">
              <w:rPr>
                <w:b/>
                <w:bCs/>
                <w:lang w:val="es-ES"/>
              </w:rPr>
              <w:t>Origen:</w:t>
            </w:r>
            <w:r w:rsidRPr="0022410E">
              <w:rPr>
                <w:b/>
                <w:bCs/>
                <w:lang w:val="es-ES" w:eastAsia="zh-CN"/>
              </w:rPr>
              <w:t xml:space="preserve"> </w:t>
            </w:r>
            <w:r w:rsidRPr="0022410E">
              <w:rPr>
                <w:lang w:val="es-ES" w:eastAsia="zh-CN"/>
              </w:rPr>
              <w:t>China (República Popular de), Indonesia (República de), Papua Nueva Guinea, Singapur (República de), Tong</w:t>
            </w:r>
            <w:r w:rsidR="003F0BAA" w:rsidRPr="0022410E">
              <w:rPr>
                <w:lang w:val="es-ES" w:eastAsia="zh-CN"/>
              </w:rPr>
              <w:t>a</w:t>
            </w:r>
            <w:r w:rsidRPr="0022410E">
              <w:rPr>
                <w:lang w:val="es-ES" w:eastAsia="zh-CN"/>
              </w:rPr>
              <w:t xml:space="preserve"> (Reino de)</w:t>
            </w:r>
          </w:p>
        </w:tc>
      </w:tr>
      <w:tr w:rsidR="008F71D2" w:rsidRPr="0022410E" w14:paraId="3D23B075" w14:textId="77777777" w:rsidTr="003723EE">
        <w:trPr>
          <w:cantSplit/>
        </w:trPr>
        <w:tc>
          <w:tcPr>
            <w:tcW w:w="9723" w:type="dxa"/>
            <w:gridSpan w:val="2"/>
            <w:tcBorders>
              <w:top w:val="single" w:sz="4" w:space="0" w:color="auto"/>
              <w:left w:val="nil"/>
              <w:bottom w:val="single" w:sz="4" w:space="0" w:color="auto"/>
              <w:right w:val="nil"/>
            </w:tcBorders>
          </w:tcPr>
          <w:p w14:paraId="2148D55D" w14:textId="6A10FB60" w:rsidR="008F71D2" w:rsidRPr="0022410E" w:rsidRDefault="008F71D2" w:rsidP="003723EE">
            <w:pPr>
              <w:keepNext/>
              <w:rPr>
                <w:b/>
                <w:i/>
                <w:color w:val="000000"/>
                <w:lang w:val="es-ES"/>
              </w:rPr>
            </w:pPr>
            <w:r w:rsidRPr="0022410E">
              <w:rPr>
                <w:b/>
                <w:i/>
                <w:color w:val="000000"/>
                <w:lang w:val="es-ES"/>
              </w:rPr>
              <w:t>Propuesta:</w:t>
            </w:r>
          </w:p>
          <w:p w14:paraId="022E168C" w14:textId="111DF6BE" w:rsidR="008F71D2" w:rsidRPr="0022410E" w:rsidRDefault="003F0BAA" w:rsidP="003723EE">
            <w:pPr>
              <w:keepNext/>
              <w:rPr>
                <w:b/>
                <w:i/>
                <w:lang w:val="es-ES"/>
              </w:rPr>
            </w:pPr>
            <w:r w:rsidRPr="0022410E">
              <w:rPr>
                <w:szCs w:val="22"/>
                <w:lang w:val="es-ES" w:eastAsia="zh-CN"/>
              </w:rPr>
              <w:t>Examinar la posible revisión de las condiciones de compartición en la banda de frecuencias 13,75-14 GHz a fin de habilitar la utilización eficiente de la banda por las estaciones terrenas de enlace ascendente del SFS</w:t>
            </w:r>
            <w:r w:rsidR="00B30D89">
              <w:rPr>
                <w:szCs w:val="22"/>
                <w:lang w:val="es-ES" w:eastAsia="zh-CN"/>
              </w:rPr>
              <w:t>, incluidas las estaciones terrenas</w:t>
            </w:r>
            <w:r w:rsidRPr="0022410E">
              <w:rPr>
                <w:szCs w:val="22"/>
                <w:lang w:val="es-ES" w:eastAsia="zh-CN"/>
              </w:rPr>
              <w:t xml:space="preserve"> con menores tamaños de antena, de conformidad con el proyecto de nueva Resolución </w:t>
            </w:r>
            <w:r w:rsidRPr="0022410E">
              <w:rPr>
                <w:b/>
                <w:bCs/>
                <w:szCs w:val="22"/>
                <w:lang w:val="es-ES" w:eastAsia="zh-CN"/>
              </w:rPr>
              <w:t xml:space="preserve">[CHN/INS/PNG/SNG/TON-FSS IN 13.75-14 GHZ] </w:t>
            </w:r>
            <w:r w:rsidR="008F71D2" w:rsidRPr="0022410E">
              <w:rPr>
                <w:b/>
                <w:bCs/>
                <w:lang w:val="es-ES"/>
              </w:rPr>
              <w:t>(WRC-23)</w:t>
            </w:r>
            <w:r w:rsidR="008F71D2" w:rsidRPr="0022410E">
              <w:rPr>
                <w:lang w:val="es-ES"/>
              </w:rPr>
              <w:t>.</w:t>
            </w:r>
          </w:p>
        </w:tc>
      </w:tr>
      <w:tr w:rsidR="008F71D2" w:rsidRPr="0022410E" w14:paraId="21DCA909" w14:textId="77777777" w:rsidTr="003723EE">
        <w:trPr>
          <w:cantSplit/>
        </w:trPr>
        <w:tc>
          <w:tcPr>
            <w:tcW w:w="9723" w:type="dxa"/>
            <w:gridSpan w:val="2"/>
            <w:tcBorders>
              <w:top w:val="single" w:sz="4" w:space="0" w:color="auto"/>
              <w:left w:val="nil"/>
              <w:bottom w:val="single" w:sz="4" w:space="0" w:color="auto"/>
              <w:right w:val="nil"/>
            </w:tcBorders>
          </w:tcPr>
          <w:p w14:paraId="1D3549CE" w14:textId="364EED3B" w:rsidR="008F71D2" w:rsidRPr="0022410E" w:rsidRDefault="008F71D2" w:rsidP="003723EE">
            <w:pPr>
              <w:keepNext/>
              <w:rPr>
                <w:b/>
                <w:i/>
                <w:color w:val="000000"/>
                <w:lang w:val="es-ES"/>
              </w:rPr>
            </w:pPr>
            <w:r w:rsidRPr="0022410E">
              <w:rPr>
                <w:b/>
                <w:i/>
                <w:color w:val="000000"/>
                <w:lang w:val="es-ES"/>
              </w:rPr>
              <w:t>Antecedentes/motivos:</w:t>
            </w:r>
          </w:p>
          <w:p w14:paraId="06EA3A7D" w14:textId="438B4650" w:rsidR="00F66F79" w:rsidRPr="0022410E" w:rsidRDefault="003F0BAA" w:rsidP="00393A53">
            <w:pPr>
              <w:rPr>
                <w:b/>
                <w:iCs/>
                <w:color w:val="000000"/>
                <w:lang w:val="es-ES"/>
              </w:rPr>
            </w:pPr>
            <w:r w:rsidRPr="0022410E">
              <w:rPr>
                <w:lang w:val="es-ES"/>
              </w:rPr>
              <w:t xml:space="preserve">El servicio fijo por satélite (SFS) ha visto aumentar notablemente el número de redes de satélites geoestacionarios (OSG) y de sistemas de satélites no geoestacionarios (no OSG) en las últimas décadas. También ha aumentado la utilización de estaciones terrenas del SFS de las antenas de menor diámetro en las frecuencias entre 10 y 15 GHz con el despliegue de satélites que ofrecen un gran caudal y conexiones en banda ancha. También </w:t>
            </w:r>
            <w:r w:rsidR="00B30D89">
              <w:rPr>
                <w:lang w:val="es-ES"/>
              </w:rPr>
              <w:t>se debe</w:t>
            </w:r>
            <w:r w:rsidRPr="0022410E">
              <w:rPr>
                <w:lang w:val="es-ES"/>
              </w:rPr>
              <w:t>, principalmente,</w:t>
            </w:r>
            <w:r w:rsidR="00B30D89">
              <w:rPr>
                <w:lang w:val="es-ES"/>
              </w:rPr>
              <w:t xml:space="preserve"> a</w:t>
            </w:r>
            <w:r w:rsidRPr="0022410E">
              <w:rPr>
                <w:lang w:val="es-ES"/>
              </w:rPr>
              <w:t xml:space="preserve">l gran incremento durante la última década de las constelaciones no OSG con un gran número de satélites </w:t>
            </w:r>
            <w:r w:rsidR="00F66F79" w:rsidRPr="0022410E">
              <w:rPr>
                <w:lang w:val="es-ES"/>
              </w:rPr>
              <w:t>ofreciendo conexiones de banda ancha a las terminales de usuarios con antenas de diámetro pequeño.</w:t>
            </w:r>
          </w:p>
          <w:p w14:paraId="323C7CBB" w14:textId="289A112A" w:rsidR="008F71D2" w:rsidRPr="0022410E" w:rsidRDefault="00F66F79" w:rsidP="00393A53">
            <w:pPr>
              <w:rPr>
                <w:lang w:val="es-ES" w:eastAsia="zh-CN"/>
              </w:rPr>
            </w:pPr>
            <w:r w:rsidRPr="0022410E">
              <w:rPr>
                <w:lang w:val="es-ES" w:eastAsia="zh-CN"/>
              </w:rPr>
              <w:t xml:space="preserve">Tomando las partes de la banda Ku que no están sujetas a los planes espaciales de los Apéndices </w:t>
            </w:r>
            <w:r w:rsidRPr="0022410E">
              <w:rPr>
                <w:b/>
                <w:bCs/>
                <w:lang w:val="es-ES" w:eastAsia="zh-CN"/>
              </w:rPr>
              <w:t>30</w:t>
            </w:r>
            <w:r w:rsidRPr="0022410E">
              <w:rPr>
                <w:lang w:val="es-ES" w:eastAsia="zh-CN"/>
              </w:rPr>
              <w:t>,</w:t>
            </w:r>
            <w:r w:rsidRPr="0022410E">
              <w:rPr>
                <w:b/>
                <w:bCs/>
                <w:lang w:val="es-ES" w:eastAsia="zh-CN"/>
              </w:rPr>
              <w:t xml:space="preserve">30A </w:t>
            </w:r>
            <w:r w:rsidRPr="0022410E">
              <w:rPr>
                <w:lang w:val="es-ES" w:eastAsia="zh-CN"/>
              </w:rPr>
              <w:t xml:space="preserve">o </w:t>
            </w:r>
            <w:r w:rsidRPr="0022410E">
              <w:rPr>
                <w:b/>
                <w:bCs/>
                <w:lang w:val="es-ES" w:eastAsia="zh-CN"/>
              </w:rPr>
              <w:t>30B</w:t>
            </w:r>
            <w:r w:rsidRPr="0022410E">
              <w:rPr>
                <w:lang w:val="es-ES" w:eastAsia="zh-CN"/>
              </w:rPr>
              <w:t xml:space="preserve"> del Reglamento de Radiocomunicaciones (RR)</w:t>
            </w:r>
            <w:r w:rsidR="00B30D89">
              <w:rPr>
                <w:lang w:val="es-ES" w:eastAsia="zh-CN"/>
              </w:rPr>
              <w:t>.E</w:t>
            </w:r>
            <w:r w:rsidRPr="0022410E">
              <w:rPr>
                <w:lang w:val="es-ES" w:eastAsia="zh-CN"/>
              </w:rPr>
              <w:t>n la siguiente figura se muestran las bandas de frecuencias en que pueden y no utilizarse terminales de usuarios pequeños.</w:t>
            </w:r>
          </w:p>
          <w:p w14:paraId="065577BF" w14:textId="6A8D13D5" w:rsidR="00814AAE" w:rsidRDefault="00F66F79" w:rsidP="0013651F">
            <w:pPr>
              <w:pStyle w:val="Figuretitle"/>
              <w:keepNext/>
              <w:keepLines/>
              <w:spacing w:before="0" w:after="120"/>
              <w:jc w:val="center"/>
              <w:rPr>
                <w:b/>
                <w:bCs/>
                <w:sz w:val="20"/>
                <w:lang w:val="es-ES"/>
              </w:rPr>
            </w:pPr>
            <w:r w:rsidRPr="00393A53">
              <w:rPr>
                <w:b/>
                <w:bCs/>
                <w:sz w:val="20"/>
                <w:lang w:val="es-ES"/>
              </w:rPr>
              <w:t>Banda Ku no sujeta a los Apéndices 30, 30A o 30B del RR para el SFS.</w:t>
            </w:r>
          </w:p>
          <w:p w14:paraId="413EC4F2" w14:textId="07C5A364" w:rsidR="001E66F1" w:rsidRDefault="001E66F1" w:rsidP="001E66F1">
            <w:pPr>
              <w:rPr>
                <w:lang w:val="es-ES"/>
              </w:rPr>
            </w:pPr>
            <w:r w:rsidRPr="0022410E">
              <w:rPr>
                <w:noProof/>
                <w:lang w:val="es-ES" w:eastAsia="zh-CN"/>
              </w:rPr>
              <w:drawing>
                <wp:inline distT="0" distB="0" distL="0" distR="0" wp14:anchorId="5F2E3920" wp14:editId="1281BA61">
                  <wp:extent cx="5335882" cy="3134995"/>
                  <wp:effectExtent l="19050" t="19050" r="17780" b="27305"/>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346800" cy="3141410"/>
                          </a:xfrm>
                          <a:prstGeom prst="rect">
                            <a:avLst/>
                          </a:prstGeom>
                          <a:noFill/>
                          <a:ln w="3175">
                            <a:solidFill>
                              <a:schemeClr val="accent1"/>
                            </a:solidFill>
                          </a:ln>
                        </pic:spPr>
                      </pic:pic>
                    </a:graphicData>
                  </a:graphic>
                </wp:inline>
              </w:drawing>
            </w:r>
            <w:bookmarkStart w:id="9" w:name="_GoBack"/>
            <w:bookmarkEnd w:id="9"/>
          </w:p>
          <w:p w14:paraId="23ADFB54" w14:textId="1037347F" w:rsidR="00F66F79" w:rsidRPr="0022410E" w:rsidRDefault="00F66F79" w:rsidP="002425AC">
            <w:pPr>
              <w:keepNext/>
              <w:keepLines/>
              <w:snapToGrid w:val="0"/>
              <w:spacing w:after="240"/>
              <w:outlineLvl w:val="0"/>
              <w:rPr>
                <w:b/>
                <w:bCs/>
                <w:lang w:val="es-ES"/>
              </w:rPr>
            </w:pPr>
            <w:r w:rsidRPr="0022410E">
              <w:rPr>
                <w:lang w:val="es-ES"/>
              </w:rPr>
              <w:lastRenderedPageBreak/>
              <w:t xml:space="preserve">LEYENDA </w:t>
            </w:r>
            <w:r w:rsidRPr="0022410E">
              <w:rPr>
                <w:lang w:val="es-ES"/>
              </w:rPr>
              <w:br/>
            </w:r>
            <w:r w:rsidRPr="0022410E">
              <w:rPr>
                <w:b/>
                <w:bCs/>
                <w:lang w:val="es-ES"/>
              </w:rPr>
              <w:t>Región 1, Región 2, Región 3</w:t>
            </w:r>
          </w:p>
          <w:tbl>
            <w:tblPr>
              <w:tblStyle w:val="TableGrid"/>
              <w:tblW w:w="0" w:type="auto"/>
              <w:tblInd w:w="279" w:type="dxa"/>
              <w:tblLook w:val="04A0" w:firstRow="1" w:lastRow="0" w:firstColumn="1" w:lastColumn="0" w:noHBand="0" w:noVBand="1"/>
            </w:tblPr>
            <w:tblGrid>
              <w:gridCol w:w="840"/>
              <w:gridCol w:w="8383"/>
            </w:tblGrid>
            <w:tr w:rsidR="00F66F79" w:rsidRPr="0022410E" w14:paraId="1024349E" w14:textId="77777777" w:rsidTr="003723EE">
              <w:tc>
                <w:tcPr>
                  <w:tcW w:w="850" w:type="dxa"/>
                  <w:tcBorders>
                    <w:right w:val="single" w:sz="4" w:space="0" w:color="auto"/>
                  </w:tcBorders>
                  <w:shd w:val="clear" w:color="auto" w:fill="4F81BD" w:themeFill="accent1"/>
                </w:tcPr>
                <w:p w14:paraId="4E4FB2E3" w14:textId="77777777" w:rsidR="00F66F79" w:rsidRPr="0022410E" w:rsidRDefault="00F66F79" w:rsidP="002425AC">
                  <w:pPr>
                    <w:pStyle w:val="Figurelegend"/>
                    <w:framePr w:hSpace="180" w:wrap="around" w:vAnchor="text" w:hAnchor="text" w:x="-84" w:y="1"/>
                    <w:suppressOverlap/>
                    <w:rPr>
                      <w:lang w:val="es-ES"/>
                    </w:rPr>
                  </w:pPr>
                </w:p>
              </w:tc>
              <w:tc>
                <w:tcPr>
                  <w:tcW w:w="8500" w:type="dxa"/>
                  <w:tcBorders>
                    <w:top w:val="nil"/>
                    <w:left w:val="single" w:sz="4" w:space="0" w:color="auto"/>
                    <w:bottom w:val="nil"/>
                    <w:right w:val="nil"/>
                  </w:tcBorders>
                </w:tcPr>
                <w:p w14:paraId="628E8228" w14:textId="77777777" w:rsidR="00F66F79" w:rsidRPr="0022410E" w:rsidRDefault="00F66F79" w:rsidP="002425AC">
                  <w:pPr>
                    <w:pStyle w:val="Figurelegend"/>
                    <w:framePr w:hSpace="180" w:wrap="around" w:vAnchor="text" w:hAnchor="text" w:x="-84" w:y="1"/>
                    <w:suppressOverlap/>
                    <w:rPr>
                      <w:lang w:val="es-ES"/>
                    </w:rPr>
                  </w:pPr>
                  <w:r w:rsidRPr="0022410E">
                    <w:rPr>
                      <w:lang w:val="es-ES"/>
                    </w:rPr>
                    <w:t>Banda de enlace descendente que puede utilizarse con antenas pequeñas</w:t>
                  </w:r>
                </w:p>
              </w:tc>
            </w:tr>
            <w:tr w:rsidR="00F66F79" w:rsidRPr="0022410E" w14:paraId="50C3FC1F" w14:textId="77777777" w:rsidTr="003723EE">
              <w:tc>
                <w:tcPr>
                  <w:tcW w:w="850" w:type="dxa"/>
                  <w:shd w:val="clear" w:color="auto" w:fill="FF0000"/>
                </w:tcPr>
                <w:p w14:paraId="58033D15" w14:textId="77777777" w:rsidR="00F66F79" w:rsidRPr="0022410E" w:rsidRDefault="00F66F79" w:rsidP="002425AC">
                  <w:pPr>
                    <w:pStyle w:val="Figurelegend"/>
                    <w:framePr w:hSpace="180" w:wrap="around" w:vAnchor="text" w:hAnchor="text" w:x="-84" w:y="1"/>
                    <w:suppressOverlap/>
                    <w:rPr>
                      <w:lang w:val="es-ES"/>
                    </w:rPr>
                  </w:pPr>
                </w:p>
              </w:tc>
              <w:tc>
                <w:tcPr>
                  <w:tcW w:w="8500" w:type="dxa"/>
                  <w:tcBorders>
                    <w:top w:val="nil"/>
                    <w:bottom w:val="nil"/>
                    <w:right w:val="nil"/>
                  </w:tcBorders>
                </w:tcPr>
                <w:p w14:paraId="0F4B2480" w14:textId="77777777" w:rsidR="00F66F79" w:rsidRPr="0022410E" w:rsidRDefault="00F66F79" w:rsidP="002425AC">
                  <w:pPr>
                    <w:pStyle w:val="Figurelegend"/>
                    <w:framePr w:hSpace="180" w:wrap="around" w:vAnchor="text" w:hAnchor="text" w:x="-84" w:y="1"/>
                    <w:suppressOverlap/>
                    <w:rPr>
                      <w:lang w:val="es-ES"/>
                    </w:rPr>
                  </w:pPr>
                  <w:r w:rsidRPr="0022410E">
                    <w:rPr>
                      <w:lang w:val="es-ES"/>
                    </w:rPr>
                    <w:t>Banda de enlace ascendente que puede utilizarse con antenas pequeñas</w:t>
                  </w:r>
                </w:p>
              </w:tc>
            </w:tr>
            <w:tr w:rsidR="00F66F79" w:rsidRPr="0022410E" w14:paraId="05AC0A1D" w14:textId="77777777" w:rsidTr="003723EE">
              <w:tc>
                <w:tcPr>
                  <w:tcW w:w="850" w:type="dxa"/>
                  <w:shd w:val="clear" w:color="auto" w:fill="FFA7A7"/>
                </w:tcPr>
                <w:p w14:paraId="09ABFEE4" w14:textId="77777777" w:rsidR="00F66F79" w:rsidRPr="0022410E" w:rsidRDefault="00F66F79" w:rsidP="002425AC">
                  <w:pPr>
                    <w:pStyle w:val="Figurelegend"/>
                    <w:framePr w:hSpace="180" w:wrap="around" w:vAnchor="text" w:hAnchor="text" w:x="-84" w:y="1"/>
                    <w:suppressOverlap/>
                    <w:rPr>
                      <w:lang w:val="es-ES"/>
                    </w:rPr>
                  </w:pPr>
                </w:p>
              </w:tc>
              <w:tc>
                <w:tcPr>
                  <w:tcW w:w="8500" w:type="dxa"/>
                  <w:tcBorders>
                    <w:top w:val="nil"/>
                    <w:bottom w:val="nil"/>
                    <w:right w:val="nil"/>
                  </w:tcBorders>
                </w:tcPr>
                <w:p w14:paraId="265E2B33" w14:textId="77777777" w:rsidR="00F66F79" w:rsidRPr="0022410E" w:rsidRDefault="00F66F79" w:rsidP="002425AC">
                  <w:pPr>
                    <w:pStyle w:val="Figurelegend"/>
                    <w:framePr w:hSpace="180" w:wrap="around" w:vAnchor="text" w:hAnchor="text" w:x="-84" w:y="1"/>
                    <w:suppressOverlap/>
                    <w:rPr>
                      <w:lang w:val="es-ES"/>
                    </w:rPr>
                  </w:pPr>
                  <w:r w:rsidRPr="0022410E">
                    <w:rPr>
                      <w:lang w:val="es-ES"/>
                    </w:rPr>
                    <w:t>Banda de enlace ascendente que no puede utilizarse con antenas pequeñas</w:t>
                  </w:r>
                </w:p>
              </w:tc>
            </w:tr>
          </w:tbl>
          <w:p w14:paraId="155A4B6C" w14:textId="61838498" w:rsidR="008F71D2" w:rsidRPr="0022410E" w:rsidRDefault="00A36EB2" w:rsidP="002425AC">
            <w:pPr>
              <w:keepNext/>
              <w:keepLines/>
              <w:snapToGrid w:val="0"/>
              <w:spacing w:after="240"/>
              <w:outlineLvl w:val="0"/>
              <w:rPr>
                <w:lang w:val="es-ES"/>
              </w:rPr>
            </w:pPr>
            <w:r w:rsidRPr="0022410E">
              <w:rPr>
                <w:lang w:val="es-ES"/>
              </w:rPr>
              <w:t>El ancho de banda disponible para</w:t>
            </w:r>
            <w:r w:rsidR="00EC04BA" w:rsidRPr="0022410E">
              <w:rPr>
                <w:lang w:val="es-ES"/>
              </w:rPr>
              <w:t xml:space="preserve"> uso</w:t>
            </w:r>
            <w:r w:rsidRPr="0022410E">
              <w:rPr>
                <w:lang w:val="es-ES"/>
              </w:rPr>
              <w:t xml:space="preserve"> por las antenas </w:t>
            </w:r>
            <w:r w:rsidR="00EC04BA" w:rsidRPr="0022410E">
              <w:rPr>
                <w:lang w:val="es-ES"/>
              </w:rPr>
              <w:t xml:space="preserve">de </w:t>
            </w:r>
            <w:r w:rsidRPr="0022410E">
              <w:rPr>
                <w:lang w:val="es-ES"/>
              </w:rPr>
              <w:t>estaciones terrenas del SFS</w:t>
            </w:r>
            <w:r w:rsidR="00EC04BA" w:rsidRPr="0022410E">
              <w:rPr>
                <w:lang w:val="es-ES"/>
              </w:rPr>
              <w:t xml:space="preserve"> de diámetro pequeño</w:t>
            </w:r>
            <w:r w:rsidRPr="0022410E">
              <w:rPr>
                <w:lang w:val="es-ES"/>
              </w:rPr>
              <w:t xml:space="preserve"> en las tres Regiones del UIT-R y la diferencia entre </w:t>
            </w:r>
            <w:r w:rsidR="00EC04BA" w:rsidRPr="0022410E">
              <w:rPr>
                <w:lang w:val="es-ES"/>
              </w:rPr>
              <w:t>el ancho de banda</w:t>
            </w:r>
            <w:r w:rsidR="006046C1" w:rsidRPr="0022410E">
              <w:rPr>
                <w:lang w:val="es-ES"/>
              </w:rPr>
              <w:t xml:space="preserve"> de los enlaces ascendente y descendente se muestran en el siguiente cuadro.</w:t>
            </w: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603"/>
              <w:gridCol w:w="1334"/>
              <w:gridCol w:w="3942"/>
            </w:tblGrid>
            <w:tr w:rsidR="008F71D2" w:rsidRPr="0022410E" w14:paraId="3D13D835" w14:textId="77777777" w:rsidTr="003723EE">
              <w:trPr>
                <w:jc w:val="center"/>
              </w:trPr>
              <w:tc>
                <w:tcPr>
                  <w:tcW w:w="1749" w:type="dxa"/>
                  <w:vMerge w:val="restart"/>
                </w:tcPr>
                <w:p w14:paraId="440C3D82" w14:textId="77777777" w:rsidR="008F71D2" w:rsidRPr="0022410E" w:rsidRDefault="008F71D2" w:rsidP="0039643D">
                  <w:pPr>
                    <w:pStyle w:val="Tablehead"/>
                    <w:framePr w:hSpace="180" w:wrap="around" w:vAnchor="text" w:hAnchor="text" w:x="-84" w:y="1"/>
                    <w:suppressOverlap/>
                    <w:outlineLvl w:val="0"/>
                    <w:rPr>
                      <w:lang w:val="es-ES"/>
                    </w:rPr>
                  </w:pPr>
                </w:p>
              </w:tc>
              <w:tc>
                <w:tcPr>
                  <w:tcW w:w="6879" w:type="dxa"/>
                  <w:gridSpan w:val="3"/>
                </w:tcPr>
                <w:p w14:paraId="24A084D0" w14:textId="77F8991A" w:rsidR="008F71D2" w:rsidRPr="0022410E" w:rsidRDefault="006046C1" w:rsidP="0039643D">
                  <w:pPr>
                    <w:pStyle w:val="Tablehead"/>
                    <w:framePr w:hSpace="180" w:wrap="around" w:vAnchor="text" w:hAnchor="text" w:x="-84" w:y="1"/>
                    <w:suppressOverlap/>
                    <w:outlineLvl w:val="0"/>
                    <w:rPr>
                      <w:lang w:val="es-ES"/>
                    </w:rPr>
                  </w:pPr>
                  <w:r w:rsidRPr="0022410E">
                    <w:rPr>
                      <w:lang w:val="es-ES"/>
                    </w:rPr>
                    <w:t>Ancho de banda (MHz) en la gama de frecuencias 10-15 GHz no sujeto a los Apéndices 30, 30A o 30B que pueden utilizar las antenas más pequeñas</w:t>
                  </w:r>
                </w:p>
              </w:tc>
            </w:tr>
            <w:tr w:rsidR="008F71D2" w:rsidRPr="0022410E" w14:paraId="760DB5CE" w14:textId="77777777" w:rsidTr="003723EE">
              <w:trPr>
                <w:trHeight w:val="568"/>
                <w:jc w:val="center"/>
              </w:trPr>
              <w:tc>
                <w:tcPr>
                  <w:tcW w:w="1749" w:type="dxa"/>
                  <w:vMerge/>
                </w:tcPr>
                <w:p w14:paraId="3D5A4F62" w14:textId="77777777" w:rsidR="008F71D2" w:rsidRPr="0022410E" w:rsidRDefault="008F71D2" w:rsidP="0039643D">
                  <w:pPr>
                    <w:pStyle w:val="Tablehead"/>
                    <w:framePr w:hSpace="180" w:wrap="around" w:vAnchor="text" w:hAnchor="text" w:x="-84" w:y="1"/>
                    <w:suppressOverlap/>
                    <w:outlineLvl w:val="0"/>
                    <w:rPr>
                      <w:lang w:val="es-ES"/>
                    </w:rPr>
                  </w:pPr>
                </w:p>
              </w:tc>
              <w:tc>
                <w:tcPr>
                  <w:tcW w:w="1603" w:type="dxa"/>
                </w:tcPr>
                <w:p w14:paraId="4CA42C2E" w14:textId="35092541" w:rsidR="008F71D2" w:rsidRPr="0022410E" w:rsidRDefault="006046C1" w:rsidP="0039643D">
                  <w:pPr>
                    <w:pStyle w:val="Tablehead"/>
                    <w:framePr w:hSpace="180" w:wrap="around" w:vAnchor="text" w:hAnchor="text" w:x="-84" w:y="1"/>
                    <w:suppressOverlap/>
                    <w:outlineLvl w:val="0"/>
                    <w:rPr>
                      <w:lang w:val="es-ES"/>
                    </w:rPr>
                  </w:pPr>
                  <w:r w:rsidRPr="0022410E">
                    <w:rPr>
                      <w:lang w:val="es-ES"/>
                    </w:rPr>
                    <w:t>Enlace descendente</w:t>
                  </w:r>
                </w:p>
              </w:tc>
              <w:tc>
                <w:tcPr>
                  <w:tcW w:w="1334" w:type="dxa"/>
                </w:tcPr>
                <w:p w14:paraId="513FC8C9" w14:textId="381714EE" w:rsidR="008F71D2" w:rsidRPr="0022410E" w:rsidRDefault="006046C1" w:rsidP="0039643D">
                  <w:pPr>
                    <w:pStyle w:val="Tablehead"/>
                    <w:framePr w:hSpace="180" w:wrap="around" w:vAnchor="text" w:hAnchor="text" w:x="-84" w:y="1"/>
                    <w:suppressOverlap/>
                    <w:outlineLvl w:val="0"/>
                    <w:rPr>
                      <w:lang w:val="es-ES"/>
                    </w:rPr>
                  </w:pPr>
                  <w:r w:rsidRPr="0022410E">
                    <w:rPr>
                      <w:lang w:val="es-ES"/>
                    </w:rPr>
                    <w:t>Enlace</w:t>
                  </w:r>
                  <w:r w:rsidRPr="0022410E">
                    <w:rPr>
                      <w:lang w:val="es-ES"/>
                    </w:rPr>
                    <w:br/>
                    <w:t>ascendente</w:t>
                  </w:r>
                </w:p>
              </w:tc>
              <w:tc>
                <w:tcPr>
                  <w:tcW w:w="3942" w:type="dxa"/>
                </w:tcPr>
                <w:p w14:paraId="1706AC53" w14:textId="0457C6F2" w:rsidR="008F71D2" w:rsidRPr="0022410E" w:rsidRDefault="006046C1" w:rsidP="0039643D">
                  <w:pPr>
                    <w:pStyle w:val="Tablehead"/>
                    <w:framePr w:hSpace="180" w:wrap="around" w:vAnchor="text" w:hAnchor="text" w:x="-84" w:y="1"/>
                    <w:suppressOverlap/>
                    <w:outlineLvl w:val="0"/>
                    <w:rPr>
                      <w:lang w:val="es-ES"/>
                    </w:rPr>
                  </w:pPr>
                  <w:r w:rsidRPr="0022410E">
                    <w:rPr>
                      <w:lang w:val="es-ES"/>
                    </w:rPr>
                    <w:t>Ausencia de ancho de banda de enlace ascendente para alimentar el ancho de banda de enlace descendente</w:t>
                  </w:r>
                </w:p>
              </w:tc>
            </w:tr>
            <w:tr w:rsidR="008F71D2" w:rsidRPr="0022410E" w14:paraId="4676F5C4" w14:textId="77777777" w:rsidTr="003723EE">
              <w:trPr>
                <w:jc w:val="center"/>
              </w:trPr>
              <w:tc>
                <w:tcPr>
                  <w:tcW w:w="1749" w:type="dxa"/>
                </w:tcPr>
                <w:p w14:paraId="07048EE2" w14:textId="7E3FEC3C" w:rsidR="008F71D2" w:rsidRPr="0022410E" w:rsidRDefault="008F71D2" w:rsidP="0039643D">
                  <w:pPr>
                    <w:pStyle w:val="Tabletext"/>
                    <w:framePr w:hSpace="180" w:wrap="around" w:vAnchor="text" w:hAnchor="text" w:x="-84" w:y="1"/>
                    <w:suppressOverlap/>
                    <w:outlineLvl w:val="0"/>
                    <w:rPr>
                      <w:lang w:val="es-ES"/>
                    </w:rPr>
                  </w:pPr>
                  <w:r w:rsidRPr="0022410E">
                    <w:rPr>
                      <w:lang w:val="es-ES"/>
                    </w:rPr>
                    <w:t>Regi</w:t>
                  </w:r>
                  <w:r w:rsidR="006046C1" w:rsidRPr="0022410E">
                    <w:rPr>
                      <w:lang w:val="es-ES"/>
                    </w:rPr>
                    <w:t>ón</w:t>
                  </w:r>
                  <w:r w:rsidRPr="0022410E">
                    <w:rPr>
                      <w:lang w:val="es-ES"/>
                    </w:rPr>
                    <w:t xml:space="preserve"> 1</w:t>
                  </w:r>
                </w:p>
              </w:tc>
              <w:tc>
                <w:tcPr>
                  <w:tcW w:w="1603" w:type="dxa"/>
                </w:tcPr>
                <w:p w14:paraId="54EA2F12" w14:textId="77777777" w:rsidR="008F71D2" w:rsidRPr="0022410E" w:rsidRDefault="008F71D2" w:rsidP="0039643D">
                  <w:pPr>
                    <w:pStyle w:val="Tabletext"/>
                    <w:framePr w:hSpace="180" w:wrap="around" w:vAnchor="text" w:hAnchor="text" w:x="-84" w:y="1"/>
                    <w:suppressOverlap/>
                    <w:jc w:val="center"/>
                    <w:outlineLvl w:val="0"/>
                    <w:rPr>
                      <w:lang w:val="es-ES"/>
                    </w:rPr>
                  </w:pPr>
                  <w:r w:rsidRPr="0022410E">
                    <w:rPr>
                      <w:lang w:val="es-ES"/>
                    </w:rPr>
                    <w:t>750 (1000)</w:t>
                  </w:r>
                </w:p>
              </w:tc>
              <w:tc>
                <w:tcPr>
                  <w:tcW w:w="1334" w:type="dxa"/>
                </w:tcPr>
                <w:p w14:paraId="371C9D81" w14:textId="77777777" w:rsidR="008F71D2" w:rsidRPr="0022410E" w:rsidRDefault="008F71D2" w:rsidP="0039643D">
                  <w:pPr>
                    <w:pStyle w:val="Tabletext"/>
                    <w:framePr w:hSpace="180" w:wrap="around" w:vAnchor="text" w:hAnchor="text" w:x="-84" w:y="1"/>
                    <w:suppressOverlap/>
                    <w:jc w:val="center"/>
                    <w:outlineLvl w:val="0"/>
                    <w:rPr>
                      <w:lang w:val="es-ES"/>
                    </w:rPr>
                  </w:pPr>
                  <w:r w:rsidRPr="0022410E">
                    <w:rPr>
                      <w:lang w:val="es-ES"/>
                    </w:rPr>
                    <w:t>500</w:t>
                  </w:r>
                </w:p>
              </w:tc>
              <w:tc>
                <w:tcPr>
                  <w:tcW w:w="3942" w:type="dxa"/>
                </w:tcPr>
                <w:p w14:paraId="5FD34124" w14:textId="77777777" w:rsidR="008F71D2" w:rsidRPr="0022410E" w:rsidRDefault="008F71D2" w:rsidP="0039643D">
                  <w:pPr>
                    <w:pStyle w:val="Tabletext"/>
                    <w:framePr w:hSpace="180" w:wrap="around" w:vAnchor="text" w:hAnchor="text" w:x="-84" w:y="1"/>
                    <w:suppressOverlap/>
                    <w:jc w:val="center"/>
                    <w:outlineLvl w:val="0"/>
                    <w:rPr>
                      <w:lang w:val="es-ES"/>
                    </w:rPr>
                  </w:pPr>
                  <w:r w:rsidRPr="0022410E">
                    <w:rPr>
                      <w:lang w:val="es-ES"/>
                    </w:rPr>
                    <w:t>250 (500)</w:t>
                  </w:r>
                </w:p>
              </w:tc>
            </w:tr>
            <w:tr w:rsidR="008F71D2" w:rsidRPr="0022410E" w14:paraId="19704C4A" w14:textId="77777777" w:rsidTr="003723EE">
              <w:trPr>
                <w:trHeight w:val="62"/>
                <w:jc w:val="center"/>
              </w:trPr>
              <w:tc>
                <w:tcPr>
                  <w:tcW w:w="1749" w:type="dxa"/>
                </w:tcPr>
                <w:p w14:paraId="5CBF4B6D" w14:textId="17BDAB45" w:rsidR="008F71D2" w:rsidRPr="0022410E" w:rsidRDefault="008F71D2" w:rsidP="0039643D">
                  <w:pPr>
                    <w:pStyle w:val="Tabletext"/>
                    <w:framePr w:hSpace="180" w:wrap="around" w:vAnchor="text" w:hAnchor="text" w:x="-84" w:y="1"/>
                    <w:suppressOverlap/>
                    <w:outlineLvl w:val="0"/>
                    <w:rPr>
                      <w:lang w:val="es-ES"/>
                    </w:rPr>
                  </w:pPr>
                  <w:r w:rsidRPr="0022410E">
                    <w:rPr>
                      <w:lang w:val="es-ES"/>
                    </w:rPr>
                    <w:t>Regi</w:t>
                  </w:r>
                  <w:r w:rsidR="006046C1" w:rsidRPr="0022410E">
                    <w:rPr>
                      <w:lang w:val="es-ES"/>
                    </w:rPr>
                    <w:t>ó</w:t>
                  </w:r>
                  <w:r w:rsidRPr="0022410E">
                    <w:rPr>
                      <w:lang w:val="es-ES"/>
                    </w:rPr>
                    <w:t>n 2</w:t>
                  </w:r>
                </w:p>
              </w:tc>
              <w:tc>
                <w:tcPr>
                  <w:tcW w:w="1603" w:type="dxa"/>
                </w:tcPr>
                <w:p w14:paraId="31BD6BAA" w14:textId="77777777" w:rsidR="008F71D2" w:rsidRPr="0022410E" w:rsidRDefault="008F71D2" w:rsidP="0039643D">
                  <w:pPr>
                    <w:pStyle w:val="Tabletext"/>
                    <w:framePr w:hSpace="180" w:wrap="around" w:vAnchor="text" w:hAnchor="text" w:x="-84" w:y="1"/>
                    <w:suppressOverlap/>
                    <w:jc w:val="center"/>
                    <w:outlineLvl w:val="0"/>
                    <w:rPr>
                      <w:lang w:val="es-ES"/>
                    </w:rPr>
                  </w:pPr>
                  <w:r w:rsidRPr="0022410E">
                    <w:rPr>
                      <w:lang w:val="es-ES"/>
                    </w:rPr>
                    <w:t>1000</w:t>
                  </w:r>
                </w:p>
              </w:tc>
              <w:tc>
                <w:tcPr>
                  <w:tcW w:w="1334" w:type="dxa"/>
                </w:tcPr>
                <w:p w14:paraId="4AD83525" w14:textId="77777777" w:rsidR="008F71D2" w:rsidRPr="0022410E" w:rsidRDefault="008F71D2" w:rsidP="0039643D">
                  <w:pPr>
                    <w:pStyle w:val="Tabletext"/>
                    <w:framePr w:hSpace="180" w:wrap="around" w:vAnchor="text" w:hAnchor="text" w:x="-84" w:y="1"/>
                    <w:suppressOverlap/>
                    <w:jc w:val="center"/>
                    <w:outlineLvl w:val="0"/>
                    <w:rPr>
                      <w:lang w:val="es-ES"/>
                    </w:rPr>
                  </w:pPr>
                  <w:r w:rsidRPr="0022410E">
                    <w:rPr>
                      <w:lang w:val="es-ES"/>
                    </w:rPr>
                    <w:t>500</w:t>
                  </w:r>
                </w:p>
              </w:tc>
              <w:tc>
                <w:tcPr>
                  <w:tcW w:w="3942" w:type="dxa"/>
                </w:tcPr>
                <w:p w14:paraId="637BA4DB" w14:textId="77777777" w:rsidR="008F71D2" w:rsidRPr="0022410E" w:rsidRDefault="008F71D2" w:rsidP="0039643D">
                  <w:pPr>
                    <w:pStyle w:val="Tabletext"/>
                    <w:framePr w:hSpace="180" w:wrap="around" w:vAnchor="text" w:hAnchor="text" w:x="-84" w:y="1"/>
                    <w:suppressOverlap/>
                    <w:jc w:val="center"/>
                    <w:outlineLvl w:val="0"/>
                    <w:rPr>
                      <w:lang w:val="es-ES"/>
                    </w:rPr>
                  </w:pPr>
                  <w:r w:rsidRPr="0022410E">
                    <w:rPr>
                      <w:lang w:val="es-ES"/>
                    </w:rPr>
                    <w:t>500</w:t>
                  </w:r>
                </w:p>
              </w:tc>
            </w:tr>
            <w:tr w:rsidR="008F71D2" w:rsidRPr="0022410E" w14:paraId="7ADE8257" w14:textId="77777777" w:rsidTr="003723EE">
              <w:trPr>
                <w:jc w:val="center"/>
              </w:trPr>
              <w:tc>
                <w:tcPr>
                  <w:tcW w:w="1749" w:type="dxa"/>
                </w:tcPr>
                <w:p w14:paraId="042B677D" w14:textId="1ED30369" w:rsidR="008F71D2" w:rsidRPr="0022410E" w:rsidRDefault="008F71D2" w:rsidP="0039643D">
                  <w:pPr>
                    <w:pStyle w:val="Tabletext"/>
                    <w:framePr w:hSpace="180" w:wrap="around" w:vAnchor="text" w:hAnchor="text" w:x="-84" w:y="1"/>
                    <w:suppressOverlap/>
                    <w:outlineLvl w:val="0"/>
                    <w:rPr>
                      <w:lang w:val="es-ES"/>
                    </w:rPr>
                  </w:pPr>
                  <w:r w:rsidRPr="0022410E">
                    <w:rPr>
                      <w:lang w:val="es-ES"/>
                    </w:rPr>
                    <w:t>Regi</w:t>
                  </w:r>
                  <w:r w:rsidR="006046C1" w:rsidRPr="0022410E">
                    <w:rPr>
                      <w:lang w:val="es-ES"/>
                    </w:rPr>
                    <w:t>ó</w:t>
                  </w:r>
                  <w:r w:rsidRPr="0022410E">
                    <w:rPr>
                      <w:lang w:val="es-ES"/>
                    </w:rPr>
                    <w:t>n 3</w:t>
                  </w:r>
                </w:p>
              </w:tc>
              <w:tc>
                <w:tcPr>
                  <w:tcW w:w="1603" w:type="dxa"/>
                </w:tcPr>
                <w:p w14:paraId="102DC728" w14:textId="77777777" w:rsidR="008F71D2" w:rsidRPr="0022410E" w:rsidRDefault="008F71D2" w:rsidP="0039643D">
                  <w:pPr>
                    <w:pStyle w:val="Tabletext"/>
                    <w:framePr w:hSpace="180" w:wrap="around" w:vAnchor="text" w:hAnchor="text" w:x="-84" w:y="1"/>
                    <w:suppressOverlap/>
                    <w:jc w:val="center"/>
                    <w:outlineLvl w:val="0"/>
                    <w:rPr>
                      <w:lang w:val="es-ES"/>
                    </w:rPr>
                  </w:pPr>
                  <w:r w:rsidRPr="0022410E">
                    <w:rPr>
                      <w:lang w:val="es-ES"/>
                    </w:rPr>
                    <w:t>1050</w:t>
                  </w:r>
                </w:p>
              </w:tc>
              <w:tc>
                <w:tcPr>
                  <w:tcW w:w="1334" w:type="dxa"/>
                </w:tcPr>
                <w:p w14:paraId="473E0B78" w14:textId="77777777" w:rsidR="008F71D2" w:rsidRPr="0022410E" w:rsidRDefault="008F71D2" w:rsidP="0039643D">
                  <w:pPr>
                    <w:pStyle w:val="Tabletext"/>
                    <w:framePr w:hSpace="180" w:wrap="around" w:vAnchor="text" w:hAnchor="text" w:x="-84" w:y="1"/>
                    <w:suppressOverlap/>
                    <w:jc w:val="center"/>
                    <w:outlineLvl w:val="0"/>
                    <w:rPr>
                      <w:lang w:val="es-ES"/>
                    </w:rPr>
                  </w:pPr>
                  <w:r w:rsidRPr="0022410E">
                    <w:rPr>
                      <w:lang w:val="es-ES"/>
                    </w:rPr>
                    <w:t>500</w:t>
                  </w:r>
                </w:p>
              </w:tc>
              <w:tc>
                <w:tcPr>
                  <w:tcW w:w="3942" w:type="dxa"/>
                </w:tcPr>
                <w:p w14:paraId="324ACE71" w14:textId="77777777" w:rsidR="008F71D2" w:rsidRPr="0022410E" w:rsidRDefault="008F71D2" w:rsidP="0039643D">
                  <w:pPr>
                    <w:pStyle w:val="Tabletext"/>
                    <w:framePr w:hSpace="180" w:wrap="around" w:vAnchor="text" w:hAnchor="text" w:x="-84" w:y="1"/>
                    <w:suppressOverlap/>
                    <w:jc w:val="center"/>
                    <w:outlineLvl w:val="0"/>
                    <w:rPr>
                      <w:lang w:val="es-ES"/>
                    </w:rPr>
                  </w:pPr>
                  <w:r w:rsidRPr="0022410E">
                    <w:rPr>
                      <w:lang w:val="es-ES"/>
                    </w:rPr>
                    <w:t>550</w:t>
                  </w:r>
                </w:p>
              </w:tc>
            </w:tr>
          </w:tbl>
          <w:p w14:paraId="4167A524" w14:textId="2B243856" w:rsidR="008F71D2" w:rsidRPr="0022410E" w:rsidRDefault="006046C1" w:rsidP="00393A53">
            <w:pPr>
              <w:keepNext/>
              <w:outlineLvl w:val="0"/>
              <w:rPr>
                <w:szCs w:val="22"/>
                <w:lang w:val="es-ES" w:eastAsia="zh-CN"/>
              </w:rPr>
            </w:pPr>
            <w:r w:rsidRPr="0022410E">
              <w:rPr>
                <w:bCs/>
                <w:lang w:val="es-ES"/>
              </w:rPr>
              <w:t>Se puede observa</w:t>
            </w:r>
            <w:r w:rsidR="00136B15" w:rsidRPr="0022410E">
              <w:rPr>
                <w:bCs/>
                <w:lang w:val="es-ES"/>
              </w:rPr>
              <w:t>r</w:t>
            </w:r>
            <w:r w:rsidRPr="0022410E">
              <w:rPr>
                <w:bCs/>
                <w:lang w:val="es-ES"/>
              </w:rPr>
              <w:t xml:space="preserve"> que para las tres Regiones de</w:t>
            </w:r>
            <w:r w:rsidR="00EC04BA" w:rsidRPr="0022410E">
              <w:rPr>
                <w:bCs/>
                <w:lang w:val="es-ES"/>
              </w:rPr>
              <w:t>l</w:t>
            </w:r>
            <w:r w:rsidRPr="0022410E">
              <w:rPr>
                <w:bCs/>
                <w:lang w:val="es-ES"/>
              </w:rPr>
              <w:t xml:space="preserve"> UIT-R, hay una diferencia importante entre el ancho de banda de enlace ascendente y el enlace descendente en la gama de frecuencias 10-15 GHz, no sujeta</w:t>
            </w:r>
            <w:r w:rsidR="005B429A" w:rsidRPr="0022410E">
              <w:rPr>
                <w:bCs/>
                <w:lang w:val="es-ES"/>
              </w:rPr>
              <w:t>s</w:t>
            </w:r>
            <w:r w:rsidRPr="0022410E">
              <w:rPr>
                <w:bCs/>
                <w:lang w:val="es-ES"/>
              </w:rPr>
              <w:t xml:space="preserve"> a los Apéndices </w:t>
            </w:r>
            <w:r w:rsidRPr="0022410E">
              <w:rPr>
                <w:b/>
                <w:lang w:val="es-ES"/>
              </w:rPr>
              <w:t>30</w:t>
            </w:r>
            <w:r w:rsidRPr="0022410E">
              <w:rPr>
                <w:bCs/>
                <w:lang w:val="es-ES"/>
              </w:rPr>
              <w:t xml:space="preserve">, </w:t>
            </w:r>
            <w:r w:rsidRPr="0022410E">
              <w:rPr>
                <w:b/>
                <w:lang w:val="es-ES"/>
              </w:rPr>
              <w:t xml:space="preserve">30A </w:t>
            </w:r>
            <w:r w:rsidRPr="0022410E">
              <w:rPr>
                <w:bCs/>
                <w:lang w:val="es-ES"/>
              </w:rPr>
              <w:t xml:space="preserve">o </w:t>
            </w:r>
            <w:r w:rsidRPr="0022410E">
              <w:rPr>
                <w:b/>
                <w:lang w:val="es-ES"/>
              </w:rPr>
              <w:t>30B</w:t>
            </w:r>
            <w:r w:rsidRPr="0022410E">
              <w:rPr>
                <w:bCs/>
                <w:lang w:val="es-ES"/>
              </w:rPr>
              <w:t xml:space="preserve">, </w:t>
            </w:r>
            <w:r w:rsidR="005B429A" w:rsidRPr="0022410E">
              <w:rPr>
                <w:bCs/>
                <w:lang w:val="es-ES"/>
              </w:rPr>
              <w:t xml:space="preserve">pero </w:t>
            </w:r>
            <w:r w:rsidRPr="0022410E">
              <w:rPr>
                <w:bCs/>
                <w:lang w:val="es-ES"/>
              </w:rPr>
              <w:t>pueden ser utilizadas eficientemente para ofrecer servicios por las estaciones terrenas OSG y no OSG del SFS con menores tamaños de antena, por ejemplo los HTS</w:t>
            </w:r>
            <w:r w:rsidR="00136B15" w:rsidRPr="0022410E">
              <w:rPr>
                <w:bCs/>
                <w:lang w:val="es-ES"/>
              </w:rPr>
              <w:t xml:space="preserve">, terminales de usuario de banda ancha y el periodismo por satélite, etc. La banda de frecuencias 13,75-14 GHz ha sido atribuida a nivel mundial por la CAMR-92 por el SFS, </w:t>
            </w:r>
            <w:r w:rsidR="00B30D89">
              <w:rPr>
                <w:bCs/>
                <w:lang w:val="es-ES"/>
              </w:rPr>
              <w:t>sin embargo,</w:t>
            </w:r>
            <w:r w:rsidR="00136B15" w:rsidRPr="0022410E">
              <w:rPr>
                <w:bCs/>
                <w:lang w:val="es-ES"/>
              </w:rPr>
              <w:t xml:space="preserve"> las restricciones fueron presentadas mediante los números </w:t>
            </w:r>
            <w:r w:rsidR="00136B15" w:rsidRPr="0022410E">
              <w:rPr>
                <w:b/>
                <w:lang w:val="es-ES"/>
              </w:rPr>
              <w:t>5.502</w:t>
            </w:r>
            <w:r w:rsidR="00136B15" w:rsidRPr="0022410E">
              <w:rPr>
                <w:bCs/>
                <w:lang w:val="es-ES"/>
              </w:rPr>
              <w:t xml:space="preserve"> y </w:t>
            </w:r>
            <w:r w:rsidR="00136B15" w:rsidRPr="0022410E">
              <w:rPr>
                <w:b/>
                <w:lang w:val="es-ES"/>
              </w:rPr>
              <w:t xml:space="preserve">5.503 </w:t>
            </w:r>
            <w:r w:rsidR="00136B15" w:rsidRPr="0022410E">
              <w:rPr>
                <w:bCs/>
                <w:lang w:val="es-ES"/>
              </w:rPr>
              <w:t xml:space="preserve">del RR para mejorar las compatibilidades con otros servicios. Estas restricciones limitan de manera importante la capacidad del uso eficiente de la banda de frecuencias de las estaciones terrenas del SFS y </w:t>
            </w:r>
            <w:r w:rsidR="00B30D89">
              <w:rPr>
                <w:bCs/>
                <w:lang w:val="es-ES"/>
              </w:rPr>
              <w:t xml:space="preserve">de las </w:t>
            </w:r>
            <w:r w:rsidR="00136B15" w:rsidRPr="0022410E">
              <w:rPr>
                <w:bCs/>
                <w:lang w:val="es-ES"/>
              </w:rPr>
              <w:t xml:space="preserve">próximas mejoras </w:t>
            </w:r>
            <w:r w:rsidR="00B30D89">
              <w:rPr>
                <w:bCs/>
                <w:lang w:val="es-ES"/>
              </w:rPr>
              <w:t>en la</w:t>
            </w:r>
            <w:r w:rsidR="00136B15" w:rsidRPr="0022410E">
              <w:rPr>
                <w:bCs/>
                <w:lang w:val="es-ES"/>
              </w:rPr>
              <w:t xml:space="preserve"> diferencia entre el ancho de banda de los enlaces ascendentes y los enlaces descendentes. La última revisión a estas notas sucedió 20 años atrás en la CMR-03, pero el uso eficiente de la banda 13,75-14 GHz, incluidos el uso de </w:t>
            </w:r>
            <w:r w:rsidR="00136B15" w:rsidRPr="0022410E">
              <w:rPr>
                <w:szCs w:val="22"/>
                <w:lang w:val="es-ES" w:eastAsia="zh-CN"/>
              </w:rPr>
              <w:t>las estaciones terrenas OSG y no OSG de enlace ascendente del SFS</w:t>
            </w:r>
            <w:r w:rsidR="00450A4F" w:rsidRPr="0022410E">
              <w:rPr>
                <w:szCs w:val="22"/>
                <w:lang w:val="es-ES" w:eastAsia="zh-CN"/>
              </w:rPr>
              <w:t xml:space="preserve"> todavía no se permite.</w:t>
            </w:r>
          </w:p>
          <w:p w14:paraId="47B5E443" w14:textId="637DA732" w:rsidR="00450A4F" w:rsidRPr="0022410E" w:rsidRDefault="00450A4F" w:rsidP="00393A53">
            <w:pPr>
              <w:keepNext/>
              <w:outlineLvl w:val="0"/>
              <w:rPr>
                <w:bCs/>
                <w:lang w:val="es-ES"/>
              </w:rPr>
            </w:pPr>
            <w:r w:rsidRPr="0022410E">
              <w:rPr>
                <w:bCs/>
                <w:lang w:val="es-ES"/>
              </w:rPr>
              <w:t xml:space="preserve">Para el número </w:t>
            </w:r>
            <w:r w:rsidRPr="0022410E">
              <w:rPr>
                <w:b/>
                <w:lang w:val="es-ES"/>
              </w:rPr>
              <w:t>5.502</w:t>
            </w:r>
            <w:r w:rsidRPr="0022410E">
              <w:rPr>
                <w:bCs/>
                <w:lang w:val="es-ES"/>
              </w:rPr>
              <w:t xml:space="preserve"> del RR, un examen </w:t>
            </w:r>
            <w:r w:rsidR="00B30D89">
              <w:rPr>
                <w:bCs/>
                <w:lang w:val="es-ES"/>
              </w:rPr>
              <w:t xml:space="preserve">realizado </w:t>
            </w:r>
            <w:r w:rsidRPr="0022410E">
              <w:rPr>
                <w:bCs/>
                <w:lang w:val="es-ES"/>
              </w:rPr>
              <w:t>de las restricciones de las estaciones terrenas del SFS pudieron reducir la diferencia entre la banda Ku de enlace ascendente y enlace descendente, y aliviar la presión</w:t>
            </w:r>
            <w:r w:rsidR="00B30D89">
              <w:rPr>
                <w:bCs/>
                <w:lang w:val="es-ES"/>
              </w:rPr>
              <w:t>, al igual que</w:t>
            </w:r>
            <w:r w:rsidRPr="0022410E">
              <w:rPr>
                <w:bCs/>
                <w:lang w:val="es-ES"/>
              </w:rPr>
              <w:t xml:space="preserve"> la creciente necesidad de la utilización de la antena de pequeño diámetro de la estación terrena del SFS en la banda K</w:t>
            </w:r>
            <w:r w:rsidR="005B429A" w:rsidRPr="0022410E">
              <w:rPr>
                <w:bCs/>
                <w:lang w:val="es-ES"/>
              </w:rPr>
              <w:t>u</w:t>
            </w:r>
            <w:r w:rsidRPr="0022410E">
              <w:rPr>
                <w:bCs/>
                <w:lang w:val="es-ES"/>
              </w:rPr>
              <w:t>.</w:t>
            </w:r>
            <w:r w:rsidR="005B429A" w:rsidRPr="0022410E">
              <w:rPr>
                <w:bCs/>
                <w:lang w:val="es-ES"/>
              </w:rPr>
              <w:t xml:space="preserve"> </w:t>
            </w:r>
            <w:r w:rsidRPr="0022410E">
              <w:rPr>
                <w:bCs/>
                <w:lang w:val="es-ES"/>
              </w:rPr>
              <w:t xml:space="preserve">Los estudios preliminares han indicado que el uso de antenas de estación terrena del SFS de pequeño diámetro podría mantener sin cambios las posibles interferencias en los servicios de radiolocalización y radionavegación. </w:t>
            </w:r>
            <w:r w:rsidRPr="0022410E">
              <w:rPr>
                <w:bCs/>
                <w:lang w:val="es-ES"/>
              </w:rPr>
              <w:br/>
              <w:t xml:space="preserve">Para el número </w:t>
            </w:r>
            <w:r w:rsidRPr="0022410E">
              <w:rPr>
                <w:b/>
                <w:lang w:val="es-ES"/>
              </w:rPr>
              <w:t xml:space="preserve">5.503 </w:t>
            </w:r>
            <w:r w:rsidRPr="0022410E">
              <w:rPr>
                <w:bCs/>
                <w:lang w:val="es-ES"/>
              </w:rPr>
              <w:t>del RR, las estaciones terrenas del SFS deben proteger 5 estaciones terrenas receptoras SRS específicas dentro de 8 redes SRS a escala mundial. Los estudios preliminares también han indicado que, entre los 5 enlaces TDRS espacio-espacio OSG a no OSG, s</w:t>
            </w:r>
            <w:r w:rsidR="00181B75">
              <w:rPr>
                <w:bCs/>
                <w:lang w:val="es-ES"/>
              </w:rPr>
              <w:t>ó</w:t>
            </w:r>
            <w:r w:rsidRPr="0022410E">
              <w:rPr>
                <w:bCs/>
                <w:lang w:val="es-ES"/>
              </w:rPr>
              <w:t>lo es válido un enlace SES que debe protegerse hasta el año 2030.</w:t>
            </w:r>
            <w:r w:rsidRPr="0022410E">
              <w:rPr>
                <w:lang w:val="es-ES"/>
              </w:rPr>
              <w:t xml:space="preserve"> </w:t>
            </w:r>
            <w:r w:rsidRPr="0022410E">
              <w:rPr>
                <w:bCs/>
                <w:lang w:val="es-ES"/>
              </w:rPr>
              <w:t>Por lo tanto, sería mejor considerar las condiciones de uso compartido específicas de cada lugar en lugar de las limitaciones globales.</w:t>
            </w:r>
          </w:p>
          <w:p w14:paraId="40373AEF" w14:textId="1CA66F32" w:rsidR="008F71D2" w:rsidRPr="0022410E" w:rsidRDefault="00450A4F" w:rsidP="003723EE">
            <w:pPr>
              <w:keepNext/>
              <w:rPr>
                <w:b/>
                <w:i/>
                <w:lang w:val="es-ES"/>
              </w:rPr>
            </w:pPr>
            <w:r w:rsidRPr="0022410E">
              <w:rPr>
                <w:lang w:val="es-ES"/>
              </w:rPr>
              <w:t>Para satisfacer la evolución de la demanda de aplicaciones por satélite del SFS en la gama de 10-15 GHz, es necesario estudiar la posible revisión de las condiciones de compartición de la banda de frecuencias de 13,75-14 GHz para permitir un uso eficiente de la banda por parte de las estaciones terrenas del SFS de enlace ascendente, incluidas las estaciones terrenas que utilizan antenas de menor tamaño.</w:t>
            </w:r>
          </w:p>
        </w:tc>
      </w:tr>
      <w:tr w:rsidR="008F71D2" w:rsidRPr="0022410E" w14:paraId="0AE5A5CD" w14:textId="77777777" w:rsidTr="003723EE">
        <w:trPr>
          <w:cantSplit/>
        </w:trPr>
        <w:tc>
          <w:tcPr>
            <w:tcW w:w="9723" w:type="dxa"/>
            <w:gridSpan w:val="2"/>
            <w:tcBorders>
              <w:top w:val="single" w:sz="4" w:space="0" w:color="auto"/>
              <w:left w:val="nil"/>
              <w:bottom w:val="single" w:sz="4" w:space="0" w:color="auto"/>
              <w:right w:val="nil"/>
            </w:tcBorders>
          </w:tcPr>
          <w:p w14:paraId="294D7951" w14:textId="3AD42D35" w:rsidR="008F71D2" w:rsidRPr="0022410E" w:rsidRDefault="008F71D2" w:rsidP="003723EE">
            <w:pPr>
              <w:keepNext/>
              <w:rPr>
                <w:b/>
                <w:i/>
                <w:lang w:val="es-ES"/>
              </w:rPr>
            </w:pPr>
            <w:r w:rsidRPr="0022410E">
              <w:rPr>
                <w:b/>
                <w:i/>
                <w:lang w:val="es-ES"/>
              </w:rPr>
              <w:lastRenderedPageBreak/>
              <w:t>Servicios de radiocomunicación en cuestión:</w:t>
            </w:r>
          </w:p>
          <w:p w14:paraId="1C33D100" w14:textId="2AC10649" w:rsidR="008F71D2" w:rsidRPr="0022410E" w:rsidRDefault="00450A4F" w:rsidP="003723EE">
            <w:pPr>
              <w:keepNext/>
              <w:rPr>
                <w:b/>
                <w:i/>
                <w:lang w:val="es-ES"/>
              </w:rPr>
            </w:pPr>
            <w:r w:rsidRPr="0022410E">
              <w:rPr>
                <w:bCs/>
                <w:lang w:val="es-ES"/>
              </w:rPr>
              <w:t>Los servicios de radiocomunicaciones atribuidos en la banda 13,75-14 GHZ, en particular la radiolocalización y los servicios de investigación espacial</w:t>
            </w:r>
          </w:p>
        </w:tc>
      </w:tr>
      <w:tr w:rsidR="008F71D2" w:rsidRPr="0022410E" w14:paraId="58C0EC61" w14:textId="77777777" w:rsidTr="003723EE">
        <w:trPr>
          <w:cantSplit/>
        </w:trPr>
        <w:tc>
          <w:tcPr>
            <w:tcW w:w="9723" w:type="dxa"/>
            <w:gridSpan w:val="2"/>
            <w:tcBorders>
              <w:top w:val="single" w:sz="4" w:space="0" w:color="auto"/>
              <w:left w:val="nil"/>
              <w:bottom w:val="single" w:sz="4" w:space="0" w:color="auto"/>
              <w:right w:val="nil"/>
            </w:tcBorders>
          </w:tcPr>
          <w:p w14:paraId="271650D0" w14:textId="6E337DF4" w:rsidR="008F71D2" w:rsidRPr="0022410E" w:rsidRDefault="008F71D2" w:rsidP="003723EE">
            <w:pPr>
              <w:keepNext/>
              <w:rPr>
                <w:b/>
                <w:i/>
                <w:lang w:val="es-ES"/>
              </w:rPr>
            </w:pPr>
            <w:r w:rsidRPr="0022410E">
              <w:rPr>
                <w:b/>
                <w:i/>
                <w:lang w:val="es-ES"/>
              </w:rPr>
              <w:t>Indicación de posibles dificultades:</w:t>
            </w:r>
          </w:p>
          <w:p w14:paraId="1E26FCE7" w14:textId="23C495C8" w:rsidR="008F71D2" w:rsidRPr="0022410E" w:rsidRDefault="00C214BA" w:rsidP="003723EE">
            <w:pPr>
              <w:keepNext/>
              <w:rPr>
                <w:bCs/>
                <w:iCs/>
                <w:lang w:val="es-ES"/>
              </w:rPr>
            </w:pPr>
            <w:r w:rsidRPr="0022410E">
              <w:rPr>
                <w:bCs/>
                <w:iCs/>
                <w:lang w:val="es-ES"/>
              </w:rPr>
              <w:t>S</w:t>
            </w:r>
            <w:r w:rsidR="00450A4F" w:rsidRPr="0022410E">
              <w:rPr>
                <w:bCs/>
                <w:iCs/>
                <w:lang w:val="es-ES"/>
              </w:rPr>
              <w:t>e identificarán en el transcurso de los estudios</w:t>
            </w:r>
          </w:p>
        </w:tc>
      </w:tr>
      <w:tr w:rsidR="008F71D2" w:rsidRPr="0022410E" w14:paraId="08C61F34" w14:textId="77777777" w:rsidTr="003723EE">
        <w:trPr>
          <w:cantSplit/>
        </w:trPr>
        <w:tc>
          <w:tcPr>
            <w:tcW w:w="9723" w:type="dxa"/>
            <w:gridSpan w:val="2"/>
            <w:tcBorders>
              <w:top w:val="single" w:sz="4" w:space="0" w:color="auto"/>
              <w:left w:val="nil"/>
              <w:bottom w:val="single" w:sz="4" w:space="0" w:color="auto"/>
              <w:right w:val="nil"/>
            </w:tcBorders>
          </w:tcPr>
          <w:p w14:paraId="7C39237F" w14:textId="61B5246C" w:rsidR="008F71D2" w:rsidRPr="0022410E" w:rsidRDefault="008F71D2" w:rsidP="003723EE">
            <w:pPr>
              <w:keepNext/>
              <w:rPr>
                <w:b/>
                <w:i/>
                <w:lang w:val="es-ES"/>
              </w:rPr>
            </w:pPr>
            <w:r w:rsidRPr="0022410E">
              <w:rPr>
                <w:b/>
                <w:i/>
                <w:lang w:val="es-ES"/>
              </w:rPr>
              <w:t>Estudios previos o en curso del tema:</w:t>
            </w:r>
          </w:p>
          <w:p w14:paraId="3713AC4F" w14:textId="319C110A" w:rsidR="008F71D2" w:rsidRPr="0022410E" w:rsidRDefault="00EC04BA" w:rsidP="003723EE">
            <w:pPr>
              <w:keepNext/>
              <w:rPr>
                <w:b/>
                <w:i/>
                <w:lang w:val="es-ES"/>
              </w:rPr>
            </w:pPr>
            <w:r w:rsidRPr="0022410E">
              <w:rPr>
                <w:bCs/>
                <w:lang w:val="es-ES"/>
              </w:rPr>
              <w:t>Estudios realizados durante el periodo de estudios de la CMR-03</w:t>
            </w:r>
          </w:p>
        </w:tc>
      </w:tr>
      <w:tr w:rsidR="008F71D2" w:rsidRPr="0022410E" w14:paraId="37862634" w14:textId="77777777" w:rsidTr="003723EE">
        <w:trPr>
          <w:cantSplit/>
        </w:trPr>
        <w:tc>
          <w:tcPr>
            <w:tcW w:w="4897" w:type="dxa"/>
            <w:tcBorders>
              <w:top w:val="single" w:sz="4" w:space="0" w:color="auto"/>
              <w:left w:val="nil"/>
              <w:bottom w:val="single" w:sz="4" w:space="0" w:color="auto"/>
              <w:right w:val="single" w:sz="4" w:space="0" w:color="auto"/>
            </w:tcBorders>
          </w:tcPr>
          <w:p w14:paraId="33A7D2D3" w14:textId="6684100A" w:rsidR="008F71D2" w:rsidRPr="0022410E" w:rsidRDefault="008F71D2" w:rsidP="003723EE">
            <w:pPr>
              <w:keepNext/>
              <w:rPr>
                <w:b/>
                <w:i/>
                <w:color w:val="000000"/>
                <w:lang w:val="es-ES"/>
              </w:rPr>
            </w:pPr>
            <w:r w:rsidRPr="0022410E">
              <w:rPr>
                <w:b/>
                <w:i/>
                <w:color w:val="000000"/>
                <w:lang w:val="es-ES"/>
              </w:rPr>
              <w:t>Estudios que han de efectuarse a cargo de</w:t>
            </w:r>
            <w:r w:rsidRPr="0022410E">
              <w:rPr>
                <w:b/>
                <w:iCs/>
                <w:color w:val="000000"/>
                <w:lang w:val="es-ES"/>
              </w:rPr>
              <w:t>:</w:t>
            </w:r>
            <w:r w:rsidRPr="0022410E">
              <w:rPr>
                <w:bCs/>
                <w:color w:val="000000"/>
                <w:lang w:val="es-ES"/>
              </w:rPr>
              <w:t xml:space="preserve"> </w:t>
            </w:r>
            <w:r w:rsidR="00EC04BA" w:rsidRPr="0022410E">
              <w:rPr>
                <w:bCs/>
                <w:color w:val="000000"/>
                <w:lang w:val="es-ES"/>
              </w:rPr>
              <w:t xml:space="preserve">GT 4A del UIT-R como Grupo </w:t>
            </w:r>
            <w:r w:rsidR="0022410E" w:rsidRPr="0022410E">
              <w:rPr>
                <w:bCs/>
                <w:color w:val="000000"/>
                <w:lang w:val="es-ES"/>
              </w:rPr>
              <w:t>responsable</w:t>
            </w:r>
          </w:p>
        </w:tc>
        <w:tc>
          <w:tcPr>
            <w:tcW w:w="4826" w:type="dxa"/>
            <w:tcBorders>
              <w:top w:val="single" w:sz="4" w:space="0" w:color="auto"/>
              <w:left w:val="single" w:sz="4" w:space="0" w:color="auto"/>
              <w:bottom w:val="single" w:sz="4" w:space="0" w:color="auto"/>
              <w:right w:val="nil"/>
            </w:tcBorders>
            <w:hideMark/>
          </w:tcPr>
          <w:p w14:paraId="484FC6B0" w14:textId="51ACF085" w:rsidR="008F71D2" w:rsidRPr="0022410E" w:rsidRDefault="008F71D2" w:rsidP="003723EE">
            <w:pPr>
              <w:keepNext/>
              <w:rPr>
                <w:b/>
                <w:i/>
                <w:color w:val="000000"/>
                <w:lang w:val="es-ES"/>
              </w:rPr>
            </w:pPr>
            <w:r w:rsidRPr="0022410E">
              <w:rPr>
                <w:b/>
                <w:i/>
                <w:color w:val="000000"/>
                <w:lang w:val="es-ES"/>
              </w:rPr>
              <w:t>con la participación de</w:t>
            </w:r>
            <w:r w:rsidRPr="0022410E">
              <w:rPr>
                <w:b/>
                <w:iCs/>
                <w:color w:val="000000"/>
                <w:lang w:val="es-ES"/>
              </w:rPr>
              <w:t>:</w:t>
            </w:r>
            <w:r w:rsidRPr="0022410E">
              <w:rPr>
                <w:iCs/>
                <w:color w:val="000000"/>
                <w:lang w:val="es-ES" w:eastAsia="zh-CN"/>
              </w:rPr>
              <w:t xml:space="preserve"> </w:t>
            </w:r>
            <w:r w:rsidR="00EC04BA" w:rsidRPr="0022410E">
              <w:rPr>
                <w:iCs/>
                <w:color w:val="000000"/>
                <w:lang w:val="es-ES" w:eastAsia="zh-CN"/>
              </w:rPr>
              <w:t>GT 5B, 7B del UIT-R</w:t>
            </w:r>
          </w:p>
        </w:tc>
      </w:tr>
      <w:tr w:rsidR="008F71D2" w:rsidRPr="0022410E" w14:paraId="12A1E63B" w14:textId="77777777" w:rsidTr="003723EE">
        <w:trPr>
          <w:cantSplit/>
        </w:trPr>
        <w:tc>
          <w:tcPr>
            <w:tcW w:w="9723" w:type="dxa"/>
            <w:gridSpan w:val="2"/>
            <w:tcBorders>
              <w:top w:val="single" w:sz="4" w:space="0" w:color="auto"/>
              <w:left w:val="nil"/>
              <w:bottom w:val="single" w:sz="4" w:space="0" w:color="auto"/>
              <w:right w:val="nil"/>
            </w:tcBorders>
          </w:tcPr>
          <w:p w14:paraId="307471AF" w14:textId="094842AB" w:rsidR="008F71D2" w:rsidRPr="0022410E" w:rsidRDefault="008F71D2" w:rsidP="003723EE">
            <w:pPr>
              <w:keepNext/>
              <w:rPr>
                <w:b/>
                <w:i/>
                <w:color w:val="000000"/>
                <w:lang w:val="es-ES"/>
              </w:rPr>
            </w:pPr>
            <w:r w:rsidRPr="0022410E">
              <w:rPr>
                <w:b/>
                <w:i/>
                <w:color w:val="000000"/>
                <w:lang w:val="es-ES"/>
              </w:rPr>
              <w:t>Comisiones de Estudio del UIT-R interesadas</w:t>
            </w:r>
            <w:r w:rsidRPr="0022410E">
              <w:rPr>
                <w:b/>
                <w:iCs/>
                <w:color w:val="000000"/>
                <w:lang w:val="es-ES"/>
              </w:rPr>
              <w:t>:</w:t>
            </w:r>
            <w:r w:rsidRPr="0022410E">
              <w:rPr>
                <w:iCs/>
                <w:color w:val="000000"/>
                <w:lang w:val="es-ES" w:eastAsia="zh-CN"/>
              </w:rPr>
              <w:t xml:space="preserve"> </w:t>
            </w:r>
          </w:p>
          <w:p w14:paraId="7E3A036A" w14:textId="7FA21D3A" w:rsidR="008F71D2" w:rsidRPr="0022410E" w:rsidRDefault="00EC04BA" w:rsidP="003723EE">
            <w:pPr>
              <w:keepNext/>
              <w:rPr>
                <w:bCs/>
                <w:iCs/>
                <w:lang w:val="es-ES"/>
              </w:rPr>
            </w:pPr>
            <w:r w:rsidRPr="0022410E">
              <w:rPr>
                <w:bCs/>
                <w:iCs/>
                <w:lang w:val="es-ES"/>
              </w:rPr>
              <w:t>CE 4, CE 5 y CE 7 del UIT-R</w:t>
            </w:r>
          </w:p>
        </w:tc>
      </w:tr>
      <w:tr w:rsidR="008F71D2" w:rsidRPr="0022410E" w14:paraId="69A64F11" w14:textId="77777777" w:rsidTr="003723EE">
        <w:trPr>
          <w:cantSplit/>
        </w:trPr>
        <w:tc>
          <w:tcPr>
            <w:tcW w:w="9723" w:type="dxa"/>
            <w:gridSpan w:val="2"/>
            <w:tcBorders>
              <w:top w:val="single" w:sz="4" w:space="0" w:color="auto"/>
              <w:left w:val="nil"/>
              <w:bottom w:val="single" w:sz="4" w:space="0" w:color="auto"/>
              <w:right w:val="nil"/>
            </w:tcBorders>
          </w:tcPr>
          <w:p w14:paraId="680A2E7D" w14:textId="6DA38290" w:rsidR="008F71D2" w:rsidRPr="0022410E" w:rsidRDefault="008F71D2" w:rsidP="003723EE">
            <w:pPr>
              <w:keepNext/>
              <w:rPr>
                <w:b/>
                <w:i/>
                <w:lang w:val="es-ES"/>
              </w:rPr>
            </w:pPr>
            <w:r w:rsidRPr="0022410E">
              <w:rPr>
                <w:b/>
                <w:i/>
                <w:lang w:val="es-ES"/>
              </w:rPr>
              <w:t xml:space="preserve">Consecuencias en los recursos de la UIT, incluidas las implicaciones financieras (véase el CV126): </w:t>
            </w:r>
            <w:r w:rsidR="00EC04BA" w:rsidRPr="0022410E">
              <w:rPr>
                <w:bCs/>
                <w:lang w:val="es-ES"/>
              </w:rPr>
              <w:t>Trabajo que se llevará a cabo como parte de la labor habitual de los grupos de trabajo del UIT-R implicados. No se han identificado hasta la fecha implicaciones financieras directas.</w:t>
            </w:r>
          </w:p>
        </w:tc>
      </w:tr>
      <w:tr w:rsidR="008F71D2" w:rsidRPr="0022410E" w14:paraId="1D74D36E" w14:textId="77777777" w:rsidTr="003723EE">
        <w:trPr>
          <w:cantSplit/>
        </w:trPr>
        <w:tc>
          <w:tcPr>
            <w:tcW w:w="4897" w:type="dxa"/>
            <w:tcBorders>
              <w:top w:val="single" w:sz="4" w:space="0" w:color="auto"/>
              <w:left w:val="nil"/>
              <w:bottom w:val="single" w:sz="4" w:space="0" w:color="auto"/>
              <w:right w:val="nil"/>
            </w:tcBorders>
            <w:hideMark/>
          </w:tcPr>
          <w:p w14:paraId="2C344154" w14:textId="130E9354" w:rsidR="008F71D2" w:rsidRPr="0022410E" w:rsidRDefault="008F71D2" w:rsidP="003723EE">
            <w:pPr>
              <w:keepNext/>
              <w:rPr>
                <w:b/>
                <w:iCs/>
                <w:lang w:val="es-ES"/>
              </w:rPr>
            </w:pPr>
            <w:r w:rsidRPr="0022410E">
              <w:rPr>
                <w:b/>
                <w:i/>
                <w:lang w:val="es-ES"/>
              </w:rPr>
              <w:t>Propuesta regional común:</w:t>
            </w:r>
            <w:r w:rsidRPr="0022410E">
              <w:rPr>
                <w:b/>
                <w:iCs/>
                <w:lang w:val="es-ES"/>
              </w:rPr>
              <w:t xml:space="preserve"> </w:t>
            </w:r>
            <w:r w:rsidRPr="0022410E">
              <w:rPr>
                <w:bCs/>
                <w:iCs/>
                <w:lang w:val="es-ES"/>
              </w:rPr>
              <w:t>No</w:t>
            </w:r>
          </w:p>
        </w:tc>
        <w:tc>
          <w:tcPr>
            <w:tcW w:w="4826" w:type="dxa"/>
            <w:tcBorders>
              <w:top w:val="single" w:sz="4" w:space="0" w:color="auto"/>
              <w:left w:val="nil"/>
              <w:bottom w:val="single" w:sz="4" w:space="0" w:color="auto"/>
              <w:right w:val="nil"/>
            </w:tcBorders>
          </w:tcPr>
          <w:p w14:paraId="6BBAFA8C" w14:textId="03C95C13" w:rsidR="008F71D2" w:rsidRPr="0022410E" w:rsidRDefault="008F71D2" w:rsidP="003723EE">
            <w:pPr>
              <w:keepNext/>
              <w:rPr>
                <w:b/>
                <w:iCs/>
                <w:lang w:val="es-ES"/>
              </w:rPr>
            </w:pPr>
            <w:r w:rsidRPr="0022410E">
              <w:rPr>
                <w:b/>
                <w:i/>
                <w:lang w:val="es-ES"/>
              </w:rPr>
              <w:t>Propuesta presentada por más de un país:</w:t>
            </w:r>
            <w:r w:rsidRPr="0022410E">
              <w:rPr>
                <w:b/>
                <w:iCs/>
                <w:lang w:val="es-ES"/>
              </w:rPr>
              <w:t xml:space="preserve"> </w:t>
            </w:r>
            <w:r w:rsidRPr="0022410E">
              <w:rPr>
                <w:bCs/>
                <w:iCs/>
                <w:lang w:val="es-ES"/>
              </w:rPr>
              <w:t>Yes</w:t>
            </w:r>
          </w:p>
          <w:p w14:paraId="7F2AAE30" w14:textId="50FF418F" w:rsidR="008F71D2" w:rsidRPr="0022410E" w:rsidRDefault="008F71D2" w:rsidP="003723EE">
            <w:pPr>
              <w:keepNext/>
              <w:rPr>
                <w:b/>
                <w:i/>
                <w:lang w:val="es-ES"/>
              </w:rPr>
            </w:pPr>
            <w:r w:rsidRPr="0022410E">
              <w:rPr>
                <w:b/>
                <w:i/>
                <w:lang w:val="es-ES"/>
              </w:rPr>
              <w:t>Número de países</w:t>
            </w:r>
            <w:r w:rsidRPr="0022410E">
              <w:rPr>
                <w:b/>
                <w:iCs/>
                <w:lang w:val="es-ES"/>
              </w:rPr>
              <w:t xml:space="preserve">: </w:t>
            </w:r>
            <w:r w:rsidRPr="0022410E">
              <w:rPr>
                <w:bCs/>
                <w:iCs/>
                <w:lang w:val="es-ES"/>
              </w:rPr>
              <w:t>5</w:t>
            </w:r>
          </w:p>
          <w:p w14:paraId="236965D8" w14:textId="77777777" w:rsidR="008F71D2" w:rsidRPr="0022410E" w:rsidRDefault="008F71D2" w:rsidP="003723EE">
            <w:pPr>
              <w:keepNext/>
              <w:rPr>
                <w:b/>
                <w:i/>
                <w:lang w:val="es-ES"/>
              </w:rPr>
            </w:pPr>
          </w:p>
        </w:tc>
      </w:tr>
      <w:tr w:rsidR="008F71D2" w:rsidRPr="0022410E" w14:paraId="7CCD06EF" w14:textId="77777777" w:rsidTr="003723EE">
        <w:trPr>
          <w:cantSplit/>
        </w:trPr>
        <w:tc>
          <w:tcPr>
            <w:tcW w:w="9723" w:type="dxa"/>
            <w:gridSpan w:val="2"/>
            <w:tcBorders>
              <w:top w:val="single" w:sz="4" w:space="0" w:color="auto"/>
              <w:left w:val="nil"/>
              <w:bottom w:val="nil"/>
              <w:right w:val="nil"/>
            </w:tcBorders>
          </w:tcPr>
          <w:p w14:paraId="25DFF323" w14:textId="0A66616C" w:rsidR="008F71D2" w:rsidRPr="0022410E" w:rsidRDefault="008F71D2" w:rsidP="003723EE">
            <w:pPr>
              <w:rPr>
                <w:b/>
                <w:i/>
                <w:lang w:val="es-ES"/>
              </w:rPr>
            </w:pPr>
            <w:r w:rsidRPr="0022410E">
              <w:rPr>
                <w:b/>
                <w:i/>
                <w:lang w:val="es-ES"/>
              </w:rPr>
              <w:t>Observaciones</w:t>
            </w:r>
          </w:p>
          <w:p w14:paraId="1B7F46D5" w14:textId="77777777" w:rsidR="008F71D2" w:rsidRPr="0022410E" w:rsidRDefault="008F71D2" w:rsidP="003723EE">
            <w:pPr>
              <w:rPr>
                <w:b/>
                <w:i/>
                <w:lang w:val="es-ES"/>
              </w:rPr>
            </w:pPr>
          </w:p>
        </w:tc>
      </w:tr>
    </w:tbl>
    <w:bookmarkEnd w:id="8"/>
    <w:p w14:paraId="608FE972" w14:textId="77777777" w:rsidR="008F71D2" w:rsidRPr="0022410E" w:rsidRDefault="008F71D2" w:rsidP="008F71D2">
      <w:pPr>
        <w:jc w:val="center"/>
        <w:rPr>
          <w:lang w:val="es-ES"/>
        </w:rPr>
      </w:pPr>
      <w:r w:rsidRPr="0022410E">
        <w:rPr>
          <w:lang w:val="es-ES"/>
        </w:rPr>
        <w:t>________________</w:t>
      </w:r>
    </w:p>
    <w:sectPr w:rsidR="008F71D2" w:rsidRPr="0022410E">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7B4F4" w14:textId="77777777" w:rsidR="00666B37" w:rsidRDefault="00666B37">
      <w:r>
        <w:separator/>
      </w:r>
    </w:p>
  </w:endnote>
  <w:endnote w:type="continuationSeparator" w:id="0">
    <w:p w14:paraId="2F867B25"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02F0B"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F97E61" w14:textId="7216F0E8"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39643D">
      <w:rPr>
        <w:noProof/>
      </w:rPr>
      <w:t>10.11.23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3E8BF" w14:textId="552F415F" w:rsidR="0077084A" w:rsidRDefault="0054460B" w:rsidP="00B86034">
    <w:pPr>
      <w:pStyle w:val="Footer"/>
      <w:ind w:right="360"/>
      <w:rPr>
        <w:lang w:val="en-US"/>
      </w:rPr>
    </w:pPr>
    <w:r>
      <w:fldChar w:fldCharType="begin"/>
    </w:r>
    <w:r>
      <w:rPr>
        <w:lang w:val="en-US"/>
      </w:rPr>
      <w:instrText xml:space="preserve"> FILENAME \p  \* MERGEFORMAT </w:instrText>
    </w:r>
    <w:r>
      <w:fldChar w:fldCharType="separate"/>
    </w:r>
    <w:r w:rsidR="00AF7F80">
      <w:rPr>
        <w:lang w:val="en-US"/>
      </w:rPr>
      <w:t>P:\ESP\ITU-R\CONF-R\CMR23\100\183S.docx</w:t>
    </w:r>
    <w:r>
      <w:fldChar w:fldCharType="end"/>
    </w:r>
    <w:r w:rsidRPr="0054460B">
      <w:rPr>
        <w:lang w:val="en-US"/>
      </w:rPr>
      <w:t xml:space="preserve"> </w:t>
    </w:r>
    <w:r>
      <w:rPr>
        <w:lang w:val="en-US"/>
      </w:rPr>
      <w:t>(530487)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39DAC" w14:textId="041FDB48" w:rsidR="0077084A" w:rsidRPr="0054460B" w:rsidRDefault="0077084A" w:rsidP="00B47331">
    <w:pPr>
      <w:pStyle w:val="Footer"/>
      <w:rPr>
        <w:lang w:val="en-US"/>
      </w:rPr>
    </w:pPr>
    <w:r>
      <w:fldChar w:fldCharType="begin"/>
    </w:r>
    <w:r>
      <w:rPr>
        <w:lang w:val="en-US"/>
      </w:rPr>
      <w:instrText xml:space="preserve"> FILENAME \p  \* MERGEFORMAT </w:instrText>
    </w:r>
    <w:r>
      <w:fldChar w:fldCharType="separate"/>
    </w:r>
    <w:r w:rsidR="00AF7F80">
      <w:rPr>
        <w:lang w:val="en-US"/>
      </w:rPr>
      <w:t>P:\ESP\ITU-R\CONF-R\CMR23\100\183S.docx</w:t>
    </w:r>
    <w:r>
      <w:fldChar w:fldCharType="end"/>
    </w:r>
    <w:r w:rsidR="0054460B" w:rsidRPr="0054460B">
      <w:rPr>
        <w:lang w:val="en-US"/>
      </w:rPr>
      <w:t xml:space="preserve"> </w:t>
    </w:r>
    <w:r w:rsidR="0054460B">
      <w:rPr>
        <w:lang w:val="en-US"/>
      </w:rPr>
      <w:t>(530487)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A4F90" w14:textId="77777777" w:rsidR="00666B37" w:rsidRDefault="00666B37">
      <w:r>
        <w:rPr>
          <w:b/>
        </w:rPr>
        <w:t>_______________</w:t>
      </w:r>
    </w:p>
  </w:footnote>
  <w:footnote w:type="continuationSeparator" w:id="0">
    <w:p w14:paraId="6C8DAB08"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BFCDB"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BD024E3"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183-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3651F"/>
    <w:rsid w:val="00136B15"/>
    <w:rsid w:val="0015142D"/>
    <w:rsid w:val="001616DC"/>
    <w:rsid w:val="00163962"/>
    <w:rsid w:val="00181B75"/>
    <w:rsid w:val="00191A97"/>
    <w:rsid w:val="0019729C"/>
    <w:rsid w:val="001A083F"/>
    <w:rsid w:val="001C41FA"/>
    <w:rsid w:val="001E2B52"/>
    <w:rsid w:val="001E3F27"/>
    <w:rsid w:val="001E66F1"/>
    <w:rsid w:val="001E7D42"/>
    <w:rsid w:val="002153F4"/>
    <w:rsid w:val="0022410E"/>
    <w:rsid w:val="0023659C"/>
    <w:rsid w:val="00236D2A"/>
    <w:rsid w:val="002425AC"/>
    <w:rsid w:val="0024569E"/>
    <w:rsid w:val="00255F12"/>
    <w:rsid w:val="00262C09"/>
    <w:rsid w:val="002A09CC"/>
    <w:rsid w:val="002A791F"/>
    <w:rsid w:val="002C1A52"/>
    <w:rsid w:val="002C1B26"/>
    <w:rsid w:val="002C5D6C"/>
    <w:rsid w:val="002E701F"/>
    <w:rsid w:val="00300870"/>
    <w:rsid w:val="003248A9"/>
    <w:rsid w:val="00324FFA"/>
    <w:rsid w:val="0032680B"/>
    <w:rsid w:val="00363A65"/>
    <w:rsid w:val="00393A53"/>
    <w:rsid w:val="0039643D"/>
    <w:rsid w:val="003B1E8C"/>
    <w:rsid w:val="003C0613"/>
    <w:rsid w:val="003C2508"/>
    <w:rsid w:val="003D0AA3"/>
    <w:rsid w:val="003E2086"/>
    <w:rsid w:val="003F0BAA"/>
    <w:rsid w:val="003F7F66"/>
    <w:rsid w:val="00434700"/>
    <w:rsid w:val="00440B3A"/>
    <w:rsid w:val="0044375A"/>
    <w:rsid w:val="00450A4F"/>
    <w:rsid w:val="0045384C"/>
    <w:rsid w:val="00454553"/>
    <w:rsid w:val="00472A86"/>
    <w:rsid w:val="004A4837"/>
    <w:rsid w:val="004B124A"/>
    <w:rsid w:val="004B3095"/>
    <w:rsid w:val="004D2749"/>
    <w:rsid w:val="004D2C7C"/>
    <w:rsid w:val="005133B5"/>
    <w:rsid w:val="00524392"/>
    <w:rsid w:val="00532097"/>
    <w:rsid w:val="0054460B"/>
    <w:rsid w:val="0058350F"/>
    <w:rsid w:val="00583C7E"/>
    <w:rsid w:val="0059098E"/>
    <w:rsid w:val="005B429A"/>
    <w:rsid w:val="005D46FB"/>
    <w:rsid w:val="005F2605"/>
    <w:rsid w:val="005F3B0E"/>
    <w:rsid w:val="005F3DB8"/>
    <w:rsid w:val="005F4C7F"/>
    <w:rsid w:val="005F559C"/>
    <w:rsid w:val="00602857"/>
    <w:rsid w:val="006046C1"/>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73CB6"/>
    <w:rsid w:val="007952C7"/>
    <w:rsid w:val="007B7B6E"/>
    <w:rsid w:val="007C0B95"/>
    <w:rsid w:val="007C2317"/>
    <w:rsid w:val="007D330A"/>
    <w:rsid w:val="0080079E"/>
    <w:rsid w:val="00814AAE"/>
    <w:rsid w:val="008504C2"/>
    <w:rsid w:val="00866AE6"/>
    <w:rsid w:val="008750A8"/>
    <w:rsid w:val="008D3316"/>
    <w:rsid w:val="008E5AF2"/>
    <w:rsid w:val="008F71D2"/>
    <w:rsid w:val="0090121B"/>
    <w:rsid w:val="009144C9"/>
    <w:rsid w:val="0094091F"/>
    <w:rsid w:val="00962171"/>
    <w:rsid w:val="00973754"/>
    <w:rsid w:val="0098456D"/>
    <w:rsid w:val="009C0BED"/>
    <w:rsid w:val="009D76D6"/>
    <w:rsid w:val="009E11EC"/>
    <w:rsid w:val="00A021CC"/>
    <w:rsid w:val="00A118DB"/>
    <w:rsid w:val="00A36EB2"/>
    <w:rsid w:val="00A4450C"/>
    <w:rsid w:val="00AA5E6C"/>
    <w:rsid w:val="00AA6586"/>
    <w:rsid w:val="00AC49B1"/>
    <w:rsid w:val="00AE5677"/>
    <w:rsid w:val="00AE658F"/>
    <w:rsid w:val="00AF2F78"/>
    <w:rsid w:val="00AF61D7"/>
    <w:rsid w:val="00AF7F80"/>
    <w:rsid w:val="00B239FA"/>
    <w:rsid w:val="00B30D89"/>
    <w:rsid w:val="00B372AB"/>
    <w:rsid w:val="00B47331"/>
    <w:rsid w:val="00B52D55"/>
    <w:rsid w:val="00B8288C"/>
    <w:rsid w:val="00B86034"/>
    <w:rsid w:val="00BE2E80"/>
    <w:rsid w:val="00BE5EDD"/>
    <w:rsid w:val="00BE6A1F"/>
    <w:rsid w:val="00C126C4"/>
    <w:rsid w:val="00C214BA"/>
    <w:rsid w:val="00C44E9E"/>
    <w:rsid w:val="00C52F76"/>
    <w:rsid w:val="00C549B0"/>
    <w:rsid w:val="00C63EB5"/>
    <w:rsid w:val="00C87DA7"/>
    <w:rsid w:val="00CA4945"/>
    <w:rsid w:val="00CC01E0"/>
    <w:rsid w:val="00CC4594"/>
    <w:rsid w:val="00CD4FD6"/>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EC04BA"/>
    <w:rsid w:val="00F32316"/>
    <w:rsid w:val="00F66597"/>
    <w:rsid w:val="00F66F79"/>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839A9A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qFormat/>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qFormat/>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qForma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semiHidden/>
    <w:unhideWhenUsed/>
    <w:rPr>
      <w:color w:val="0000FF" w:themeColor="hyperlink"/>
      <w:u w:val="single"/>
    </w:rPr>
  </w:style>
  <w:style w:type="character" w:customStyle="1" w:styleId="CallChar">
    <w:name w:val="Call Char"/>
    <w:basedOn w:val="DefaultParagraphFont"/>
    <w:link w:val="Call"/>
    <w:qFormat/>
    <w:locked/>
    <w:rsid w:val="00773CB6"/>
    <w:rPr>
      <w:rFonts w:ascii="Times New Roman" w:hAnsi="Times New Roman"/>
      <w:i/>
      <w:sz w:val="24"/>
      <w:lang w:val="es-ES_tradnl" w:eastAsia="en-US"/>
    </w:rPr>
  </w:style>
  <w:style w:type="table" w:styleId="TableGrid">
    <w:name w:val="Table Grid"/>
    <w:basedOn w:val="TableNormal"/>
    <w:rsid w:val="00F6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R23-WRC23-C-0183!!MSW-S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9837D-68B4-476F-B183-9A0342D3DF6A}">
  <ds:schemaRefs>
    <ds:schemaRef ds:uri="http://schemas.microsoft.com/sharepoint/v3/contenttype/forms"/>
  </ds:schemaRefs>
</ds:datastoreItem>
</file>

<file path=customXml/itemProps2.xml><?xml version="1.0" encoding="utf-8"?>
<ds:datastoreItem xmlns:ds="http://schemas.openxmlformats.org/officeDocument/2006/customXml" ds:itemID="{AE18110F-6D1C-4C46-B3C6-E0F79EA03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4DAAB-FE9F-452B-A135-1E02BD2B4A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4E8ECAC-EAC5-4CBA-853C-FBB5EAD718AB}">
  <ds:schemaRefs>
    <ds:schemaRef ds:uri="http://schemas.microsoft.com/sharepoint/events"/>
  </ds:schemaRefs>
</ds:datastoreItem>
</file>

<file path=customXml/itemProps5.xml><?xml version="1.0" encoding="utf-8"?>
<ds:datastoreItem xmlns:ds="http://schemas.openxmlformats.org/officeDocument/2006/customXml" ds:itemID="{9A8EA9FA-5B89-4DED-B24F-4E713947B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2224</Words>
  <Characters>11855</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R23-WRC23-C-0183!!MSW-S</vt:lpstr>
    </vt:vector>
  </TitlesOfParts>
  <Manager>Secretaría General - Pool</Manager>
  <Company>Unión Internacional de Telecomunicaciones (UIT)</Company>
  <LinksUpToDate>false</LinksUpToDate>
  <CharactersWithSpaces>14051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R23-WRC23-C-0183!!MSW-S</dc:title>
  <dc:subject>Conferencia Mundial de Radiocomunicaciones - 2019</dc:subject>
  <dc:creator>Documents Proposals Manager (DPM)</dc:creator>
  <cp:keywords>DPM_v2023.11.6.1_prod</cp:keywords>
  <dc:description/>
  <cp:lastModifiedBy>Spanish</cp:lastModifiedBy>
  <cp:revision>12</cp:revision>
  <cp:lastPrinted>2003-02-19T20:20:00Z</cp:lastPrinted>
  <dcterms:created xsi:type="dcterms:W3CDTF">2023-11-10T13:18:00Z</dcterms:created>
  <dcterms:modified xsi:type="dcterms:W3CDTF">2023-11-10T14:08:00Z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