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E5333" w14:paraId="0D2FA26C" w14:textId="77777777" w:rsidTr="00F320AA">
        <w:trPr>
          <w:cantSplit/>
        </w:trPr>
        <w:tc>
          <w:tcPr>
            <w:tcW w:w="1418" w:type="dxa"/>
            <w:vAlign w:val="center"/>
          </w:tcPr>
          <w:p w14:paraId="0B3C240D" w14:textId="77777777" w:rsidR="00F320AA" w:rsidRPr="000E5333" w:rsidRDefault="00F320AA" w:rsidP="00F320AA">
            <w:pPr>
              <w:spacing w:before="0"/>
              <w:rPr>
                <w:rFonts w:ascii="Verdana" w:hAnsi="Verdana"/>
                <w:position w:val="6"/>
              </w:rPr>
            </w:pPr>
            <w:r w:rsidRPr="000E5333">
              <w:drawing>
                <wp:inline distT="0" distB="0" distL="0" distR="0" wp14:anchorId="52DD98A2" wp14:editId="1A356E4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D3FBC99" w14:textId="77777777" w:rsidR="00F320AA" w:rsidRPr="000E5333" w:rsidRDefault="00F320AA" w:rsidP="00F320AA">
            <w:pPr>
              <w:spacing w:before="400" w:after="48" w:line="240" w:lineRule="atLeast"/>
              <w:rPr>
                <w:rFonts w:ascii="Verdana" w:hAnsi="Verdana"/>
                <w:position w:val="6"/>
              </w:rPr>
            </w:pPr>
            <w:r w:rsidRPr="000E5333">
              <w:rPr>
                <w:rFonts w:ascii="Verdana" w:hAnsi="Verdana" w:cs="Times"/>
                <w:b/>
                <w:position w:val="6"/>
                <w:sz w:val="22"/>
                <w:szCs w:val="22"/>
              </w:rPr>
              <w:t>World Radiocommunication Conference (WRC-23)</w:t>
            </w:r>
            <w:r w:rsidRPr="000E5333">
              <w:rPr>
                <w:rFonts w:ascii="Verdana" w:hAnsi="Verdana" w:cs="Times"/>
                <w:b/>
                <w:position w:val="6"/>
                <w:sz w:val="26"/>
                <w:szCs w:val="26"/>
              </w:rPr>
              <w:br/>
            </w:r>
            <w:r w:rsidRPr="000E5333">
              <w:rPr>
                <w:rFonts w:ascii="Verdana" w:hAnsi="Verdana"/>
                <w:b/>
                <w:bCs/>
                <w:position w:val="6"/>
                <w:sz w:val="18"/>
                <w:szCs w:val="18"/>
              </w:rPr>
              <w:t>Dubai, 20 November - 15 December 2023</w:t>
            </w:r>
          </w:p>
        </w:tc>
        <w:tc>
          <w:tcPr>
            <w:tcW w:w="1951" w:type="dxa"/>
            <w:vAlign w:val="center"/>
          </w:tcPr>
          <w:p w14:paraId="31330410" w14:textId="77777777" w:rsidR="00F320AA" w:rsidRPr="000E5333" w:rsidRDefault="00EB0812" w:rsidP="00F320AA">
            <w:pPr>
              <w:spacing w:before="0" w:line="240" w:lineRule="atLeast"/>
            </w:pPr>
            <w:r w:rsidRPr="000E5333">
              <w:drawing>
                <wp:inline distT="0" distB="0" distL="0" distR="0" wp14:anchorId="0ED42ABB" wp14:editId="7C77FD5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E5333" w14:paraId="4C8B274D" w14:textId="77777777">
        <w:trPr>
          <w:cantSplit/>
        </w:trPr>
        <w:tc>
          <w:tcPr>
            <w:tcW w:w="6911" w:type="dxa"/>
            <w:gridSpan w:val="2"/>
            <w:tcBorders>
              <w:bottom w:val="single" w:sz="12" w:space="0" w:color="auto"/>
            </w:tcBorders>
          </w:tcPr>
          <w:p w14:paraId="7776BD15" w14:textId="77777777" w:rsidR="00A066F1" w:rsidRPr="000E533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140C325" w14:textId="77777777" w:rsidR="00A066F1" w:rsidRPr="000E5333" w:rsidRDefault="00A066F1" w:rsidP="00A066F1">
            <w:pPr>
              <w:spacing w:before="0" w:line="240" w:lineRule="atLeast"/>
              <w:rPr>
                <w:rFonts w:ascii="Verdana" w:hAnsi="Verdana"/>
                <w:szCs w:val="24"/>
              </w:rPr>
            </w:pPr>
          </w:p>
        </w:tc>
      </w:tr>
      <w:tr w:rsidR="00A066F1" w:rsidRPr="000E5333" w14:paraId="0FDDF03C" w14:textId="77777777">
        <w:trPr>
          <w:cantSplit/>
        </w:trPr>
        <w:tc>
          <w:tcPr>
            <w:tcW w:w="6911" w:type="dxa"/>
            <w:gridSpan w:val="2"/>
            <w:tcBorders>
              <w:top w:val="single" w:sz="12" w:space="0" w:color="auto"/>
            </w:tcBorders>
          </w:tcPr>
          <w:p w14:paraId="116F8C0B" w14:textId="77777777" w:rsidR="00A066F1" w:rsidRPr="000E533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F5C3804" w14:textId="77777777" w:rsidR="00A066F1" w:rsidRPr="000E5333" w:rsidRDefault="00A066F1" w:rsidP="00A066F1">
            <w:pPr>
              <w:spacing w:before="0" w:line="240" w:lineRule="atLeast"/>
              <w:rPr>
                <w:rFonts w:ascii="Verdana" w:hAnsi="Verdana"/>
                <w:sz w:val="20"/>
              </w:rPr>
            </w:pPr>
          </w:p>
        </w:tc>
      </w:tr>
      <w:tr w:rsidR="00A066F1" w:rsidRPr="000E5333" w14:paraId="591C4007" w14:textId="77777777">
        <w:trPr>
          <w:cantSplit/>
          <w:trHeight w:val="23"/>
        </w:trPr>
        <w:tc>
          <w:tcPr>
            <w:tcW w:w="6911" w:type="dxa"/>
            <w:gridSpan w:val="2"/>
            <w:shd w:val="clear" w:color="auto" w:fill="auto"/>
          </w:tcPr>
          <w:p w14:paraId="5055EE29" w14:textId="77777777" w:rsidR="00A066F1" w:rsidRPr="000E533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E5333">
              <w:rPr>
                <w:rFonts w:ascii="Verdana" w:hAnsi="Verdana"/>
                <w:sz w:val="20"/>
                <w:szCs w:val="20"/>
              </w:rPr>
              <w:t>PLENARY MEETING</w:t>
            </w:r>
          </w:p>
        </w:tc>
        <w:tc>
          <w:tcPr>
            <w:tcW w:w="3120" w:type="dxa"/>
            <w:gridSpan w:val="2"/>
          </w:tcPr>
          <w:p w14:paraId="0B9E75DC" w14:textId="77777777" w:rsidR="00A066F1" w:rsidRPr="000E5333" w:rsidRDefault="00E55816" w:rsidP="00AA666F">
            <w:pPr>
              <w:tabs>
                <w:tab w:val="left" w:pos="851"/>
              </w:tabs>
              <w:spacing w:before="0" w:line="240" w:lineRule="atLeast"/>
              <w:rPr>
                <w:rFonts w:ascii="Verdana" w:hAnsi="Verdana"/>
                <w:sz w:val="20"/>
              </w:rPr>
            </w:pPr>
            <w:r w:rsidRPr="000E5333">
              <w:rPr>
                <w:rFonts w:ascii="Verdana" w:hAnsi="Verdana"/>
                <w:b/>
                <w:sz w:val="20"/>
              </w:rPr>
              <w:t>Document 183</w:t>
            </w:r>
            <w:r w:rsidR="00A066F1" w:rsidRPr="000E5333">
              <w:rPr>
                <w:rFonts w:ascii="Verdana" w:hAnsi="Verdana"/>
                <w:b/>
                <w:sz w:val="20"/>
              </w:rPr>
              <w:t>-</w:t>
            </w:r>
            <w:r w:rsidR="005E10C9" w:rsidRPr="000E5333">
              <w:rPr>
                <w:rFonts w:ascii="Verdana" w:hAnsi="Verdana"/>
                <w:b/>
                <w:sz w:val="20"/>
              </w:rPr>
              <w:t>E</w:t>
            </w:r>
          </w:p>
        </w:tc>
      </w:tr>
      <w:tr w:rsidR="00A066F1" w:rsidRPr="000E5333" w14:paraId="5695DEB7" w14:textId="77777777">
        <w:trPr>
          <w:cantSplit/>
          <w:trHeight w:val="23"/>
        </w:trPr>
        <w:tc>
          <w:tcPr>
            <w:tcW w:w="6911" w:type="dxa"/>
            <w:gridSpan w:val="2"/>
            <w:shd w:val="clear" w:color="auto" w:fill="auto"/>
          </w:tcPr>
          <w:p w14:paraId="2BD134D8" w14:textId="77777777" w:rsidR="00A066F1" w:rsidRPr="000E533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3E51651" w14:textId="77777777" w:rsidR="00A066F1" w:rsidRPr="000E5333" w:rsidRDefault="00420873" w:rsidP="00A066F1">
            <w:pPr>
              <w:tabs>
                <w:tab w:val="left" w:pos="993"/>
              </w:tabs>
              <w:spacing w:before="0"/>
              <w:rPr>
                <w:rFonts w:ascii="Verdana" w:hAnsi="Verdana"/>
                <w:sz w:val="20"/>
              </w:rPr>
            </w:pPr>
            <w:r w:rsidRPr="000E5333">
              <w:rPr>
                <w:rFonts w:ascii="Verdana" w:hAnsi="Verdana"/>
                <w:b/>
                <w:sz w:val="20"/>
              </w:rPr>
              <w:t>30 October 2023</w:t>
            </w:r>
          </w:p>
        </w:tc>
      </w:tr>
      <w:tr w:rsidR="00A066F1" w:rsidRPr="000E5333" w14:paraId="13E0E6AD" w14:textId="77777777">
        <w:trPr>
          <w:cantSplit/>
          <w:trHeight w:val="23"/>
        </w:trPr>
        <w:tc>
          <w:tcPr>
            <w:tcW w:w="6911" w:type="dxa"/>
            <w:gridSpan w:val="2"/>
            <w:shd w:val="clear" w:color="auto" w:fill="auto"/>
          </w:tcPr>
          <w:p w14:paraId="4E8E02A6" w14:textId="77777777" w:rsidR="00A066F1" w:rsidRPr="000E533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90870EC" w14:textId="77777777" w:rsidR="00A066F1" w:rsidRPr="000E5333" w:rsidRDefault="00E55816" w:rsidP="00A066F1">
            <w:pPr>
              <w:tabs>
                <w:tab w:val="left" w:pos="993"/>
              </w:tabs>
              <w:spacing w:before="0"/>
              <w:rPr>
                <w:rFonts w:ascii="Verdana" w:hAnsi="Verdana"/>
                <w:b/>
                <w:sz w:val="20"/>
              </w:rPr>
            </w:pPr>
            <w:r w:rsidRPr="000E5333">
              <w:rPr>
                <w:rFonts w:ascii="Verdana" w:hAnsi="Verdana"/>
                <w:b/>
                <w:sz w:val="20"/>
              </w:rPr>
              <w:t>Original: English</w:t>
            </w:r>
          </w:p>
        </w:tc>
      </w:tr>
      <w:tr w:rsidR="00A066F1" w:rsidRPr="000E5333" w14:paraId="76C1EF9A" w14:textId="77777777" w:rsidTr="00025864">
        <w:trPr>
          <w:cantSplit/>
          <w:trHeight w:val="23"/>
        </w:trPr>
        <w:tc>
          <w:tcPr>
            <w:tcW w:w="10031" w:type="dxa"/>
            <w:gridSpan w:val="4"/>
            <w:shd w:val="clear" w:color="auto" w:fill="auto"/>
          </w:tcPr>
          <w:p w14:paraId="35FE45A1" w14:textId="77777777" w:rsidR="00A066F1" w:rsidRPr="000E5333" w:rsidRDefault="00A066F1" w:rsidP="00A066F1">
            <w:pPr>
              <w:tabs>
                <w:tab w:val="left" w:pos="993"/>
              </w:tabs>
              <w:spacing w:before="0"/>
              <w:rPr>
                <w:rFonts w:ascii="Verdana" w:hAnsi="Verdana"/>
                <w:b/>
                <w:sz w:val="20"/>
              </w:rPr>
            </w:pPr>
          </w:p>
        </w:tc>
      </w:tr>
      <w:tr w:rsidR="00E55816" w:rsidRPr="000E5333" w14:paraId="0C736A49" w14:textId="77777777" w:rsidTr="00025864">
        <w:trPr>
          <w:cantSplit/>
          <w:trHeight w:val="23"/>
        </w:trPr>
        <w:tc>
          <w:tcPr>
            <w:tcW w:w="10031" w:type="dxa"/>
            <w:gridSpan w:val="4"/>
            <w:shd w:val="clear" w:color="auto" w:fill="auto"/>
          </w:tcPr>
          <w:p w14:paraId="0911D70B" w14:textId="77777777" w:rsidR="00E55816" w:rsidRPr="000E5333" w:rsidRDefault="00884D60" w:rsidP="00E55816">
            <w:pPr>
              <w:pStyle w:val="Source"/>
            </w:pPr>
            <w:r w:rsidRPr="000E5333">
              <w:t>China (People's Republic of)/Indonesia (Republic of)/Papua New Guinea/Singapore (Republic of)/Tonga (Kingdom of)</w:t>
            </w:r>
          </w:p>
        </w:tc>
      </w:tr>
      <w:tr w:rsidR="00E55816" w:rsidRPr="000E5333" w14:paraId="075713C0" w14:textId="77777777" w:rsidTr="00025864">
        <w:trPr>
          <w:cantSplit/>
          <w:trHeight w:val="23"/>
        </w:trPr>
        <w:tc>
          <w:tcPr>
            <w:tcW w:w="10031" w:type="dxa"/>
            <w:gridSpan w:val="4"/>
            <w:shd w:val="clear" w:color="auto" w:fill="auto"/>
          </w:tcPr>
          <w:p w14:paraId="42C12938" w14:textId="77777777" w:rsidR="00E55816" w:rsidRPr="000E5333" w:rsidRDefault="007D5320" w:rsidP="00E55816">
            <w:pPr>
              <w:pStyle w:val="Title1"/>
            </w:pPr>
            <w:r w:rsidRPr="000E5333">
              <w:t>PROPOSALS FOR THE WORK OF THE CONFERENCE</w:t>
            </w:r>
          </w:p>
        </w:tc>
      </w:tr>
      <w:tr w:rsidR="00E55816" w:rsidRPr="000E5333" w14:paraId="5CA0AA4C" w14:textId="77777777" w:rsidTr="00025864">
        <w:trPr>
          <w:cantSplit/>
          <w:trHeight w:val="23"/>
        </w:trPr>
        <w:tc>
          <w:tcPr>
            <w:tcW w:w="10031" w:type="dxa"/>
            <w:gridSpan w:val="4"/>
            <w:shd w:val="clear" w:color="auto" w:fill="auto"/>
          </w:tcPr>
          <w:p w14:paraId="329D6E63" w14:textId="77777777" w:rsidR="00E55816" w:rsidRPr="000E5333" w:rsidRDefault="00E55816" w:rsidP="00E55816">
            <w:pPr>
              <w:pStyle w:val="Title2"/>
            </w:pPr>
          </w:p>
        </w:tc>
      </w:tr>
      <w:tr w:rsidR="00A538A6" w:rsidRPr="000E5333" w14:paraId="3D92A30E" w14:textId="77777777" w:rsidTr="00025864">
        <w:trPr>
          <w:cantSplit/>
          <w:trHeight w:val="23"/>
        </w:trPr>
        <w:tc>
          <w:tcPr>
            <w:tcW w:w="10031" w:type="dxa"/>
            <w:gridSpan w:val="4"/>
            <w:shd w:val="clear" w:color="auto" w:fill="auto"/>
          </w:tcPr>
          <w:p w14:paraId="1AB219C0" w14:textId="77777777" w:rsidR="00A538A6" w:rsidRPr="000E5333" w:rsidRDefault="004B13CB" w:rsidP="004B13CB">
            <w:pPr>
              <w:pStyle w:val="Agendaitem"/>
              <w:rPr>
                <w:lang w:val="en-GB"/>
              </w:rPr>
            </w:pPr>
            <w:r w:rsidRPr="000E5333">
              <w:rPr>
                <w:lang w:val="en-GB"/>
              </w:rPr>
              <w:t>Agenda item 10</w:t>
            </w:r>
          </w:p>
        </w:tc>
      </w:tr>
    </w:tbl>
    <w:bookmarkEnd w:id="5"/>
    <w:bookmarkEnd w:id="6"/>
    <w:p w14:paraId="3D8634CA" w14:textId="4091665A" w:rsidR="00187BD9" w:rsidRPr="000E5333" w:rsidRDefault="00C4752B" w:rsidP="00025A01">
      <w:r w:rsidRPr="000E5333">
        <w:t>10</w:t>
      </w:r>
      <w:r w:rsidRPr="000E5333">
        <w:rPr>
          <w:b/>
          <w:bCs/>
        </w:rPr>
        <w:tab/>
      </w:r>
      <w:r w:rsidRPr="000E5333">
        <w:t xml:space="preserve">to recommend to the ITU Council items for inclusion in the agenda for the next world radiocommunication conference, </w:t>
      </w:r>
      <w:r w:rsidRPr="000E5333">
        <w:rPr>
          <w:iCs/>
        </w:rPr>
        <w:t xml:space="preserve">and items for the preliminary agenda of future conferences, </w:t>
      </w:r>
      <w:r w:rsidRPr="000E5333">
        <w:t xml:space="preserve">in accordance with Article 7 of the ITU Convention </w:t>
      </w:r>
      <w:r w:rsidRPr="000E5333">
        <w:rPr>
          <w:iCs/>
        </w:rPr>
        <w:t>and Resolution</w:t>
      </w:r>
      <w:r w:rsidR="000364AD" w:rsidRPr="000E5333">
        <w:rPr>
          <w:iCs/>
        </w:rPr>
        <w:t> </w:t>
      </w:r>
      <w:r w:rsidRPr="000E5333">
        <w:rPr>
          <w:b/>
          <w:bCs/>
          <w:iCs/>
        </w:rPr>
        <w:t>804 (Rev.WRC</w:t>
      </w:r>
      <w:r w:rsidRPr="000E5333">
        <w:rPr>
          <w:b/>
          <w:bCs/>
          <w:iCs/>
        </w:rPr>
        <w:noBreakHyphen/>
        <w:t>19)</w:t>
      </w:r>
      <w:r w:rsidRPr="000E5333">
        <w:rPr>
          <w:iCs/>
        </w:rPr>
        <w:t>,</w:t>
      </w:r>
    </w:p>
    <w:p w14:paraId="60A40804" w14:textId="77777777" w:rsidR="00E93288" w:rsidRPr="000E5333" w:rsidRDefault="00E93288" w:rsidP="00E93288">
      <w:pPr>
        <w:pStyle w:val="Headingb"/>
        <w:rPr>
          <w:lang w:val="en-GB" w:eastAsia="zh-CN"/>
        </w:rPr>
      </w:pPr>
      <w:r w:rsidRPr="000E5333">
        <w:rPr>
          <w:lang w:val="en-GB" w:eastAsia="zh-CN"/>
        </w:rPr>
        <w:t>Introduction</w:t>
      </w:r>
    </w:p>
    <w:p w14:paraId="0FD46B1B" w14:textId="7EFC7AD0" w:rsidR="00E93288" w:rsidRPr="000E5333" w:rsidRDefault="00E93288" w:rsidP="000364AD">
      <w:r w:rsidRPr="000E5333">
        <w:rPr>
          <w:lang w:eastAsia="zh-CN"/>
        </w:rPr>
        <w:t>China (People's Republic of), Indonesia (Republic of), Papua New Guinea, Singapore (Republic of)</w:t>
      </w:r>
      <w:r w:rsidRPr="000E5333">
        <w:t xml:space="preserve"> </w:t>
      </w:r>
      <w:r w:rsidRPr="000E5333">
        <w:rPr>
          <w:rFonts w:eastAsia="SimSun"/>
          <w:lang w:eastAsia="zh-CN"/>
        </w:rPr>
        <w:t xml:space="preserve">and Tonga (Kingdom of) </w:t>
      </w:r>
      <w:r w:rsidRPr="000E5333">
        <w:t>support the inclusion of the following item in the agenda of WRC</w:t>
      </w:r>
      <w:r w:rsidR="000364AD" w:rsidRPr="000E5333">
        <w:noBreakHyphen/>
      </w:r>
      <w:r w:rsidRPr="000E5333">
        <w:t>27:</w:t>
      </w:r>
    </w:p>
    <w:p w14:paraId="631DA2A1" w14:textId="2AD403B5" w:rsidR="00E93288" w:rsidRPr="000E5333" w:rsidRDefault="00E93288" w:rsidP="000364AD">
      <w:pPr>
        <w:rPr>
          <w:rFonts w:eastAsia="SimSun"/>
          <w:lang w:eastAsia="zh-CN"/>
        </w:rPr>
      </w:pPr>
      <w:bookmarkStart w:id="7" w:name="_Hlk142957965"/>
      <w:r w:rsidRPr="000E5333">
        <w:t>Studies on possible revision of sharing conditions for the frequency band 13.75-14</w:t>
      </w:r>
      <w:r w:rsidR="000364AD" w:rsidRPr="000E5333">
        <w:t> </w:t>
      </w:r>
      <w:r w:rsidRPr="000E5333">
        <w:t xml:space="preserve">GHz to enable efficient use of the band by uplink </w:t>
      </w:r>
      <w:r w:rsidR="00F66FB4" w:rsidRPr="000E5333">
        <w:rPr>
          <w:color w:val="000000"/>
        </w:rPr>
        <w:t>fixed-satellite service (</w:t>
      </w:r>
      <w:r w:rsidRPr="000E5333">
        <w:t>FSS</w:t>
      </w:r>
      <w:r w:rsidR="00F66FB4" w:rsidRPr="000E5333">
        <w:t>)</w:t>
      </w:r>
      <w:r w:rsidRPr="000E5333">
        <w:t xml:space="preserve"> earth stations, including earth stations using smaller antenna sizes</w:t>
      </w:r>
      <w:r w:rsidR="00630757" w:rsidRPr="000E5333">
        <w:rPr>
          <w:lang w:eastAsia="zh-CN"/>
        </w:rPr>
        <w:t>.</w:t>
      </w:r>
    </w:p>
    <w:bookmarkEnd w:id="7"/>
    <w:p w14:paraId="02F4E0B2" w14:textId="77777777" w:rsidR="00E93288" w:rsidRPr="000E5333" w:rsidRDefault="00E93288" w:rsidP="00E93288">
      <w:pPr>
        <w:pStyle w:val="Headingb"/>
        <w:rPr>
          <w:lang w:val="en-GB"/>
        </w:rPr>
      </w:pPr>
      <w:r w:rsidRPr="000E5333">
        <w:rPr>
          <w:lang w:val="en-GB"/>
        </w:rPr>
        <w:t>Proposals</w:t>
      </w:r>
    </w:p>
    <w:p w14:paraId="075CB6DA" w14:textId="32161A68" w:rsidR="00241FA2" w:rsidRPr="000E5333" w:rsidRDefault="00E93288" w:rsidP="00E93288">
      <w:r w:rsidRPr="000E5333">
        <w:rPr>
          <w:lang w:eastAsia="zh-CN"/>
        </w:rPr>
        <w:t xml:space="preserve">These </w:t>
      </w:r>
      <w:r w:rsidRPr="000E5333">
        <w:t>administrations propose</w:t>
      </w:r>
      <w:r w:rsidRPr="000E5333">
        <w:rPr>
          <w:lang w:eastAsia="zh-CN"/>
        </w:rPr>
        <w:t xml:space="preserve"> to include this item in the agenda of WRC</w:t>
      </w:r>
      <w:r w:rsidR="000364AD" w:rsidRPr="000E5333">
        <w:rPr>
          <w:lang w:eastAsia="zh-CN"/>
        </w:rPr>
        <w:noBreakHyphen/>
      </w:r>
      <w:r w:rsidRPr="000E5333">
        <w:rPr>
          <w:lang w:eastAsia="zh-CN"/>
        </w:rPr>
        <w:t>27 as follows.</w:t>
      </w:r>
    </w:p>
    <w:p w14:paraId="0ADF86CB" w14:textId="77777777" w:rsidR="00187BD9" w:rsidRPr="000E5333" w:rsidRDefault="00187BD9" w:rsidP="00187BD9">
      <w:pPr>
        <w:tabs>
          <w:tab w:val="clear" w:pos="1134"/>
          <w:tab w:val="clear" w:pos="1871"/>
          <w:tab w:val="clear" w:pos="2268"/>
        </w:tabs>
        <w:overflowPunct/>
        <w:autoSpaceDE/>
        <w:autoSpaceDN/>
        <w:adjustRightInd/>
        <w:spacing w:before="0"/>
        <w:textAlignment w:val="auto"/>
      </w:pPr>
      <w:r w:rsidRPr="000E5333">
        <w:br w:type="page"/>
      </w:r>
    </w:p>
    <w:p w14:paraId="3C42C9B1" w14:textId="77777777" w:rsidR="00980957" w:rsidRPr="000E5333" w:rsidRDefault="00C4752B">
      <w:pPr>
        <w:pStyle w:val="Proposal"/>
      </w:pPr>
      <w:r w:rsidRPr="000E5333">
        <w:lastRenderedPageBreak/>
        <w:t>ADD</w:t>
      </w:r>
      <w:r w:rsidRPr="000E5333">
        <w:tab/>
        <w:t>CHN/INS/PNG/SNG/TON/183/1</w:t>
      </w:r>
    </w:p>
    <w:p w14:paraId="69405F79" w14:textId="68A9A974" w:rsidR="00980957" w:rsidRPr="000E5333" w:rsidRDefault="00E93288">
      <w:pPr>
        <w:pStyle w:val="ResNo"/>
      </w:pPr>
      <w:r w:rsidRPr="000E5333">
        <w:t>Draft New Resolution [CHN/INS/PNG/SNG/TON-AI10_WRC</w:t>
      </w:r>
      <w:r w:rsidR="000364AD" w:rsidRPr="000E5333">
        <w:noBreakHyphen/>
      </w:r>
      <w:r w:rsidRPr="000E5333">
        <w:t>27_AGENDA]</w:t>
      </w:r>
      <w:r w:rsidR="005C7DB7" w:rsidRPr="000E5333">
        <w:t xml:space="preserve"> (WRC</w:t>
      </w:r>
      <w:r w:rsidR="000364AD" w:rsidRPr="000E5333">
        <w:noBreakHyphen/>
      </w:r>
      <w:r w:rsidR="005C7DB7" w:rsidRPr="000E5333">
        <w:t>23)</w:t>
      </w:r>
    </w:p>
    <w:p w14:paraId="659B858A" w14:textId="77777777" w:rsidR="00980957" w:rsidRPr="000E5333" w:rsidRDefault="00E93288">
      <w:pPr>
        <w:pStyle w:val="Restitle"/>
      </w:pPr>
      <w:r w:rsidRPr="000E5333">
        <w:rPr>
          <w:rFonts w:ascii="Times New Roman"/>
        </w:rPr>
        <w:t>Agenda for the 2027 World Radiocommunication Conference</w:t>
      </w:r>
    </w:p>
    <w:p w14:paraId="1A5EDE25" w14:textId="77777777" w:rsidR="00E93288" w:rsidRPr="000E5333" w:rsidRDefault="00E93288" w:rsidP="00E93288">
      <w:pPr>
        <w:pStyle w:val="Normalaftertitle"/>
        <w:jc w:val="both"/>
      </w:pPr>
      <w:r w:rsidRPr="000E5333">
        <w:t>The World Radiocommunication Conference (Dubai, 2023),</w:t>
      </w:r>
    </w:p>
    <w:p w14:paraId="447CF135" w14:textId="77777777" w:rsidR="00E93288" w:rsidRPr="000E5333" w:rsidRDefault="00E93288" w:rsidP="000364AD">
      <w:r w:rsidRPr="000E5333">
        <w:t>…</w:t>
      </w:r>
    </w:p>
    <w:p w14:paraId="083E47D6" w14:textId="77777777" w:rsidR="00E93288" w:rsidRPr="000E5333" w:rsidRDefault="00E93288" w:rsidP="000364AD">
      <w:pPr>
        <w:pStyle w:val="Call"/>
      </w:pPr>
      <w:r w:rsidRPr="000E5333">
        <w:t>resolves</w:t>
      </w:r>
    </w:p>
    <w:p w14:paraId="58569E74" w14:textId="6087CF09" w:rsidR="00E93288" w:rsidRPr="000E5333" w:rsidRDefault="00E93288" w:rsidP="00AA53D8">
      <w:r w:rsidRPr="000E5333">
        <w:t>to recommend to the Council that a WRC be held in</w:t>
      </w:r>
      <w:r w:rsidR="000364AD" w:rsidRPr="000E5333">
        <w:t xml:space="preserve"> </w:t>
      </w:r>
      <w:r w:rsidRPr="000E5333">
        <w:t>2027 for a maximum period of four weeks, with the following agenda:</w:t>
      </w:r>
    </w:p>
    <w:p w14:paraId="0E09AD72" w14:textId="77777777" w:rsidR="00E93288" w:rsidRPr="000E5333" w:rsidRDefault="00E93288" w:rsidP="00AA53D8">
      <w:r w:rsidRPr="000E5333">
        <w:t>1</w:t>
      </w:r>
      <w:r w:rsidRPr="000E5333">
        <w:tab/>
        <w:t>on the basis of proposals from administrations, taking account of the results of WRC</w:t>
      </w:r>
      <w:r w:rsidRPr="000E5333">
        <w:noBreakHyphen/>
        <w:t>23 and the Report of the Conference Preparatory Meeting, and with due regard to the requirements of existing and future services in the frequency bands under consideration, to consider the following items and take appropriate action:</w:t>
      </w:r>
    </w:p>
    <w:p w14:paraId="244FB812" w14:textId="742768E3" w:rsidR="00E93288" w:rsidRPr="000E5333" w:rsidRDefault="00E93288" w:rsidP="000364AD">
      <w:r w:rsidRPr="000E5333">
        <w:t>…</w:t>
      </w:r>
    </w:p>
    <w:p w14:paraId="21555339" w14:textId="6374B45C" w:rsidR="00980957" w:rsidRPr="000E5333" w:rsidRDefault="00E93288" w:rsidP="00AA53D8">
      <w:pPr>
        <w:rPr>
          <w:szCs w:val="22"/>
          <w:lang w:eastAsia="zh-CN"/>
        </w:rPr>
      </w:pPr>
      <w:r w:rsidRPr="000E5333">
        <w:rPr>
          <w:szCs w:val="22"/>
          <w:lang w:eastAsia="ko-KR"/>
        </w:rPr>
        <w:t>1.xx</w:t>
      </w:r>
      <w:r w:rsidRPr="000E5333">
        <w:rPr>
          <w:szCs w:val="22"/>
          <w:lang w:eastAsia="ko-KR"/>
        </w:rPr>
        <w:tab/>
      </w:r>
      <w:r w:rsidRPr="000E5333">
        <w:t>to study on possible revision of sharing conditions for the frequency band 13.75-14</w:t>
      </w:r>
      <w:r w:rsidR="006F6257" w:rsidRPr="000E5333">
        <w:t> </w:t>
      </w:r>
      <w:r w:rsidRPr="000E5333">
        <w:t xml:space="preserve">GHz to enable efficient use of the band by uplink FSS earth stations, including earth stations using smaller antenna sizes in accordance with </w:t>
      </w:r>
      <w:r w:rsidR="006F6257" w:rsidRPr="000E5333">
        <w:t>draft ne</w:t>
      </w:r>
      <w:r w:rsidRPr="000E5333">
        <w:t>w Resolution</w:t>
      </w:r>
      <w:r w:rsidR="000364AD" w:rsidRPr="000E5333">
        <w:t> </w:t>
      </w:r>
      <w:r w:rsidRPr="000E5333">
        <w:rPr>
          <w:b/>
        </w:rPr>
        <w:t>[CHN/INS/PNG/SNG/TON-FSS IN 13.75-14</w:t>
      </w:r>
      <w:r w:rsidR="000364AD" w:rsidRPr="000E5333">
        <w:rPr>
          <w:b/>
        </w:rPr>
        <w:t> </w:t>
      </w:r>
      <w:r w:rsidRPr="000E5333">
        <w:rPr>
          <w:b/>
        </w:rPr>
        <w:t>GHZ] (WRC</w:t>
      </w:r>
      <w:r w:rsidR="000364AD" w:rsidRPr="000E5333">
        <w:rPr>
          <w:b/>
        </w:rPr>
        <w:noBreakHyphen/>
      </w:r>
      <w:r w:rsidRPr="000E5333">
        <w:rPr>
          <w:b/>
        </w:rPr>
        <w:t>23)</w:t>
      </w:r>
      <w:r w:rsidRPr="000E5333">
        <w:rPr>
          <w:szCs w:val="22"/>
          <w:lang w:eastAsia="zh-CN"/>
        </w:rPr>
        <w:t>;</w:t>
      </w:r>
    </w:p>
    <w:p w14:paraId="55C2ADF1" w14:textId="6FCEDFFE" w:rsidR="00AA53D8" w:rsidRPr="000E5333" w:rsidRDefault="00AA53D8" w:rsidP="00AA53D8">
      <w:r w:rsidRPr="000E5333">
        <w:rPr>
          <w:szCs w:val="22"/>
          <w:lang w:eastAsia="zh-CN"/>
        </w:rPr>
        <w:t>...</w:t>
      </w:r>
    </w:p>
    <w:p w14:paraId="61666C86" w14:textId="77777777" w:rsidR="00980957" w:rsidRPr="000E5333" w:rsidRDefault="00980957">
      <w:pPr>
        <w:pStyle w:val="Reasons"/>
      </w:pPr>
    </w:p>
    <w:p w14:paraId="315E4113" w14:textId="77777777" w:rsidR="00980957" w:rsidRPr="000E5333" w:rsidRDefault="00C4752B">
      <w:pPr>
        <w:pStyle w:val="Proposal"/>
      </w:pPr>
      <w:r w:rsidRPr="000E5333">
        <w:t>ADD</w:t>
      </w:r>
      <w:r w:rsidRPr="000E5333">
        <w:tab/>
        <w:t>CHN/INS/PNG/SNG/TON/183/2</w:t>
      </w:r>
    </w:p>
    <w:p w14:paraId="07F33B11" w14:textId="50C1CE8E" w:rsidR="00980957" w:rsidRPr="000E5333" w:rsidRDefault="00E93288">
      <w:pPr>
        <w:pStyle w:val="ResNo"/>
      </w:pPr>
      <w:r w:rsidRPr="000E5333">
        <w:t>Draft New Resolution</w:t>
      </w:r>
      <w:r w:rsidR="000364AD" w:rsidRPr="000E5333">
        <w:t> </w:t>
      </w:r>
      <w:r w:rsidRPr="000E5333">
        <w:t>[CHN/INS/PNG/SNG/TON-</w:t>
      </w:r>
      <w:r w:rsidRPr="000E5333">
        <w:br/>
        <w:t>FSS IN 13.75-14</w:t>
      </w:r>
      <w:r w:rsidR="000364AD" w:rsidRPr="000E5333">
        <w:t> </w:t>
      </w:r>
      <w:r w:rsidRPr="000E5333">
        <w:t>GHZ]</w:t>
      </w:r>
      <w:r w:rsidR="00496F9B" w:rsidRPr="000E5333">
        <w:t xml:space="preserve"> </w:t>
      </w:r>
      <w:r w:rsidRPr="000E5333">
        <w:t>(WRC</w:t>
      </w:r>
      <w:r w:rsidR="000364AD" w:rsidRPr="000E5333">
        <w:noBreakHyphen/>
      </w:r>
      <w:r w:rsidRPr="000E5333">
        <w:t>23)</w:t>
      </w:r>
    </w:p>
    <w:p w14:paraId="192DA164" w14:textId="35A16E2B" w:rsidR="00980957" w:rsidRPr="000E5333" w:rsidRDefault="00E93288" w:rsidP="000364AD">
      <w:pPr>
        <w:pStyle w:val="Restitle"/>
      </w:pPr>
      <w:r w:rsidRPr="000E5333">
        <w:t>Studies on possible revision of sharing conditions for the frequency band 13.75-14</w:t>
      </w:r>
      <w:r w:rsidR="000364AD" w:rsidRPr="000E5333">
        <w:t> </w:t>
      </w:r>
      <w:r w:rsidRPr="000E5333">
        <w:t>GHz to enable efficient use of the band by uplink FSS earth stations, including earth stations using smaller antenna sizes</w:t>
      </w:r>
    </w:p>
    <w:p w14:paraId="0695453C" w14:textId="77777777" w:rsidR="00E93288" w:rsidRPr="000E5333" w:rsidRDefault="00E93288" w:rsidP="006F6257">
      <w:pPr>
        <w:pStyle w:val="Normalaftertitle"/>
        <w:rPr>
          <w:rFonts w:eastAsia="Batang"/>
        </w:rPr>
      </w:pPr>
      <w:r w:rsidRPr="000E5333">
        <w:rPr>
          <w:rFonts w:eastAsia="Batang"/>
        </w:rPr>
        <w:t>The World Radiocommunication Conference (Dubai, 2023),</w:t>
      </w:r>
    </w:p>
    <w:p w14:paraId="278DC259" w14:textId="77777777" w:rsidR="00E93288" w:rsidRPr="000E5333" w:rsidRDefault="00E93288" w:rsidP="000364AD">
      <w:pPr>
        <w:pStyle w:val="Call"/>
      </w:pPr>
      <w:r w:rsidRPr="000E5333">
        <w:t>considering</w:t>
      </w:r>
    </w:p>
    <w:p w14:paraId="0465A8FA" w14:textId="6C87C195" w:rsidR="00E93288" w:rsidRPr="000E5333" w:rsidRDefault="006F6257" w:rsidP="00B723F4">
      <w:r w:rsidRPr="000E5333">
        <w:rPr>
          <w:i/>
          <w:iCs/>
        </w:rPr>
        <w:t>a)</w:t>
      </w:r>
      <w:r w:rsidRPr="000E5333">
        <w:tab/>
      </w:r>
      <w:r w:rsidR="00E93288" w:rsidRPr="000E5333">
        <w:t>that WARC</w:t>
      </w:r>
      <w:r w:rsidR="000364AD" w:rsidRPr="000E5333">
        <w:noBreakHyphen/>
      </w:r>
      <w:r w:rsidR="00E93288" w:rsidRPr="000E5333">
        <w:t xml:space="preserve">92 added an allocation to the fixed-satellite service (FSS) (Earth-to-space) in the </w:t>
      </w:r>
      <w:r w:rsidR="00E03289" w:rsidRPr="000E5333">
        <w:t xml:space="preserve">frequency </w:t>
      </w:r>
      <w:r w:rsidR="00E93288" w:rsidRPr="000E5333">
        <w:t>band 13.75-14</w:t>
      </w:r>
      <w:r w:rsidR="000364AD" w:rsidRPr="000E5333">
        <w:t> </w:t>
      </w:r>
      <w:r w:rsidR="00E93288" w:rsidRPr="000E5333">
        <w:t>GHz;</w:t>
      </w:r>
    </w:p>
    <w:p w14:paraId="4B102DBA" w14:textId="4C9DEAC2" w:rsidR="00E93288" w:rsidRPr="000E5333" w:rsidRDefault="006F6257" w:rsidP="00B723F4">
      <w:r w:rsidRPr="000E5333">
        <w:rPr>
          <w:i/>
          <w:iCs/>
        </w:rPr>
        <w:t>b)</w:t>
      </w:r>
      <w:r w:rsidRPr="000E5333">
        <w:tab/>
      </w:r>
      <w:r w:rsidR="00E93288" w:rsidRPr="000E5333">
        <w:t>that WRC</w:t>
      </w:r>
      <w:r w:rsidR="000364AD" w:rsidRPr="000E5333">
        <w:noBreakHyphen/>
      </w:r>
      <w:r w:rsidR="00E93288" w:rsidRPr="000E5333">
        <w:t>03 modified Nos.</w:t>
      </w:r>
      <w:r w:rsidR="000364AD" w:rsidRPr="000E5333">
        <w:t> </w:t>
      </w:r>
      <w:r w:rsidR="00E93288" w:rsidRPr="000E5333">
        <w:rPr>
          <w:b/>
        </w:rPr>
        <w:t>5.502</w:t>
      </w:r>
      <w:r w:rsidR="00E93288" w:rsidRPr="000E5333">
        <w:t xml:space="preserve"> and</w:t>
      </w:r>
      <w:r w:rsidR="000364AD" w:rsidRPr="000E5333">
        <w:t> </w:t>
      </w:r>
      <w:r w:rsidR="00E93288" w:rsidRPr="000E5333">
        <w:rPr>
          <w:b/>
        </w:rPr>
        <w:t>5.503</w:t>
      </w:r>
      <w:r w:rsidR="00E93288" w:rsidRPr="000E5333">
        <w:t xml:space="preserve"> which, among other things, enabled the use of earth station antennas having minimum diameter limitation of 1.2</w:t>
      </w:r>
      <w:r w:rsidR="000364AD" w:rsidRPr="000E5333">
        <w:t> </w:t>
      </w:r>
      <w:r w:rsidR="00E93288" w:rsidRPr="000E5333">
        <w:t>m for geostationary (GSO) FSS networks while retaining a minimum antenna diameter of 4.5</w:t>
      </w:r>
      <w:r w:rsidR="000364AD" w:rsidRPr="000E5333">
        <w:t> </w:t>
      </w:r>
      <w:r w:rsidR="00E93288" w:rsidRPr="000E5333">
        <w:t xml:space="preserve">m for non-geostationary (non-GSO) FSS systems; </w:t>
      </w:r>
    </w:p>
    <w:p w14:paraId="46B7072C" w14:textId="0B5FB34C" w:rsidR="00E93288" w:rsidRPr="000E5333" w:rsidRDefault="006F6257" w:rsidP="00B723F4">
      <w:r w:rsidRPr="000E5333">
        <w:rPr>
          <w:i/>
          <w:iCs/>
        </w:rPr>
        <w:lastRenderedPageBreak/>
        <w:t>c)</w:t>
      </w:r>
      <w:r w:rsidRPr="000E5333">
        <w:tab/>
      </w:r>
      <w:r w:rsidR="00E93288" w:rsidRPr="000E5333">
        <w:t>that Nos.</w:t>
      </w:r>
      <w:r w:rsidR="000364AD" w:rsidRPr="000E5333">
        <w:t> </w:t>
      </w:r>
      <w:r w:rsidR="00E93288" w:rsidRPr="000E5333">
        <w:rPr>
          <w:b/>
        </w:rPr>
        <w:t>5.502</w:t>
      </w:r>
      <w:r w:rsidR="00E93288" w:rsidRPr="000E5333">
        <w:t xml:space="preserve"> and</w:t>
      </w:r>
      <w:r w:rsidR="000364AD" w:rsidRPr="000E5333">
        <w:t> </w:t>
      </w:r>
      <w:r w:rsidR="00E93288" w:rsidRPr="000E5333">
        <w:rPr>
          <w:b/>
        </w:rPr>
        <w:t>5.503</w:t>
      </w:r>
      <w:r w:rsidR="00E93288" w:rsidRPr="000E5333">
        <w:t xml:space="preserve"> also contain power flux-density, e.i.r.p. </w:t>
      </w:r>
      <w:r w:rsidR="00E93288" w:rsidRPr="000E5333">
        <w:rPr>
          <w:shd w:val="clear" w:color="auto" w:fill="FFFFFF" w:themeFill="background1"/>
        </w:rPr>
        <w:t>and e.i.r.p.</w:t>
      </w:r>
      <w:r w:rsidR="00E93288" w:rsidRPr="000E5333">
        <w:t xml:space="preserve"> density limits to be observed by stations;</w:t>
      </w:r>
    </w:p>
    <w:p w14:paraId="769AEB36" w14:textId="4B914C42" w:rsidR="00E93288" w:rsidRPr="000E5333" w:rsidRDefault="006F6257" w:rsidP="00B723F4">
      <w:r w:rsidRPr="000E5333">
        <w:rPr>
          <w:i/>
          <w:iCs/>
        </w:rPr>
        <w:t>d)</w:t>
      </w:r>
      <w:r w:rsidRPr="000E5333">
        <w:tab/>
      </w:r>
      <w:r w:rsidR="00E93288" w:rsidRPr="000E5333">
        <w:t>that there is a great congestion in the GSO arc and there is a need to ensure that orbit and spectrum resources are used efficiently and rationally to facilitate introduction of new satellite networks, in particular those of new satellite operators;</w:t>
      </w:r>
    </w:p>
    <w:p w14:paraId="303E7AB8" w14:textId="39DF3143" w:rsidR="00E93288" w:rsidRPr="000E5333" w:rsidRDefault="006F6257" w:rsidP="00B723F4">
      <w:r w:rsidRPr="000E5333">
        <w:rPr>
          <w:i/>
          <w:iCs/>
        </w:rPr>
        <w:t>e)</w:t>
      </w:r>
      <w:r w:rsidRPr="000E5333">
        <w:tab/>
      </w:r>
      <w:r w:rsidR="00E93288" w:rsidRPr="000E5333">
        <w:t>that since WRC</w:t>
      </w:r>
      <w:r w:rsidR="000364AD" w:rsidRPr="000E5333">
        <w:noBreakHyphen/>
      </w:r>
      <w:r w:rsidR="00E93288" w:rsidRPr="000E5333">
        <w:t>03, there has been a significant development of GSO FSS networks where small earth station antennas are seen increasingly used;</w:t>
      </w:r>
    </w:p>
    <w:p w14:paraId="67F6A14F" w14:textId="6B791278" w:rsidR="00E93288" w:rsidRPr="000E5333" w:rsidRDefault="006F6257" w:rsidP="00B723F4">
      <w:pPr>
        <w:rPr>
          <w:color w:val="000000" w:themeColor="text1"/>
        </w:rPr>
      </w:pPr>
      <w:r w:rsidRPr="000E5333">
        <w:rPr>
          <w:i/>
          <w:iCs/>
        </w:rPr>
        <w:t>f)</w:t>
      </w:r>
      <w:r w:rsidRPr="000E5333">
        <w:tab/>
      </w:r>
      <w:r w:rsidR="00E93288" w:rsidRPr="000E5333">
        <w:rPr>
          <w:color w:val="000000" w:themeColor="text1"/>
        </w:rPr>
        <w:t xml:space="preserve">that there has been a significant increase of non-GSO systems operating in the </w:t>
      </w:r>
      <w:r w:rsidR="0048602B" w:rsidRPr="000E5333">
        <w:rPr>
          <w:color w:val="000000" w:themeColor="text1"/>
        </w:rPr>
        <w:t xml:space="preserve">frequency band </w:t>
      </w:r>
      <w:r w:rsidR="00E93288" w:rsidRPr="000E5333">
        <w:rPr>
          <w:color w:val="000000" w:themeColor="text1"/>
        </w:rPr>
        <w:t>10-15</w:t>
      </w:r>
      <w:r w:rsidR="0048602B" w:rsidRPr="000E5333">
        <w:rPr>
          <w:color w:val="000000" w:themeColor="text1"/>
        </w:rPr>
        <w:t> </w:t>
      </w:r>
      <w:r w:rsidR="00E93288" w:rsidRPr="000E5333">
        <w:rPr>
          <w:color w:val="000000" w:themeColor="text1"/>
        </w:rPr>
        <w:t>GHz range for FSS with small diameter earth station antennas and the limitations imposed by Nos.</w:t>
      </w:r>
      <w:r w:rsidR="00297E0D" w:rsidRPr="000E5333">
        <w:rPr>
          <w:color w:val="000000" w:themeColor="text1"/>
        </w:rPr>
        <w:t> </w:t>
      </w:r>
      <w:r w:rsidR="00E93288" w:rsidRPr="000E5333">
        <w:rPr>
          <w:b/>
          <w:bCs/>
          <w:color w:val="000000" w:themeColor="text1"/>
        </w:rPr>
        <w:t>5.502</w:t>
      </w:r>
      <w:r w:rsidR="00E93288" w:rsidRPr="000E5333">
        <w:rPr>
          <w:color w:val="000000" w:themeColor="text1"/>
        </w:rPr>
        <w:t xml:space="preserve"> and</w:t>
      </w:r>
      <w:r w:rsidR="00297E0D" w:rsidRPr="000E5333">
        <w:rPr>
          <w:color w:val="000000" w:themeColor="text1"/>
        </w:rPr>
        <w:t> </w:t>
      </w:r>
      <w:r w:rsidR="00E93288" w:rsidRPr="000E5333">
        <w:rPr>
          <w:b/>
          <w:bCs/>
          <w:color w:val="000000" w:themeColor="text1"/>
        </w:rPr>
        <w:t>5.503</w:t>
      </w:r>
      <w:r w:rsidR="00E93288" w:rsidRPr="000E5333">
        <w:rPr>
          <w:color w:val="000000" w:themeColor="text1"/>
        </w:rPr>
        <w:t xml:space="preserve"> may not match with the characteristics of modern non-GSO FSS systems;</w:t>
      </w:r>
    </w:p>
    <w:p w14:paraId="7B9743F0" w14:textId="21557F34" w:rsidR="00E93288" w:rsidRPr="000E5333" w:rsidRDefault="006F6257" w:rsidP="00B723F4">
      <w:r w:rsidRPr="000E5333">
        <w:rPr>
          <w:i/>
          <w:iCs/>
        </w:rPr>
        <w:t>g)</w:t>
      </w:r>
      <w:r w:rsidRPr="000E5333">
        <w:tab/>
      </w:r>
      <w:r w:rsidR="00E93288" w:rsidRPr="000E5333">
        <w:t xml:space="preserve">that there is a lack of uplink bandwidth in the </w:t>
      </w:r>
      <w:r w:rsidR="00F53906" w:rsidRPr="000E5333">
        <w:t xml:space="preserve">frequency range </w:t>
      </w:r>
      <w:r w:rsidR="00E93288" w:rsidRPr="000E5333">
        <w:t>13-15</w:t>
      </w:r>
      <w:r w:rsidR="00297E0D" w:rsidRPr="000E5333">
        <w:t> </w:t>
      </w:r>
      <w:r w:rsidR="00E93288" w:rsidRPr="000E5333">
        <w:t xml:space="preserve">GHz that can be used efficiently, including by small diameter earth station antennas, globally to feed the downlink capacity in the </w:t>
      </w:r>
      <w:r w:rsidR="00F53906" w:rsidRPr="000E5333">
        <w:t xml:space="preserve">frequency range </w:t>
      </w:r>
      <w:r w:rsidR="00E93288" w:rsidRPr="000E5333">
        <w:t>10-13</w:t>
      </w:r>
      <w:r w:rsidR="00297E0D" w:rsidRPr="000E5333">
        <w:t> </w:t>
      </w:r>
      <w:r w:rsidR="00E93288" w:rsidRPr="000E5333">
        <w:t>GHz;</w:t>
      </w:r>
    </w:p>
    <w:p w14:paraId="75165222" w14:textId="38C64841" w:rsidR="00E93288" w:rsidRPr="000E5333" w:rsidRDefault="006F6257" w:rsidP="00B723F4">
      <w:r w:rsidRPr="000E5333">
        <w:rPr>
          <w:i/>
          <w:iCs/>
        </w:rPr>
        <w:t>h)</w:t>
      </w:r>
      <w:r w:rsidRPr="000E5333">
        <w:tab/>
      </w:r>
      <w:r w:rsidR="00E93288" w:rsidRPr="000E5333">
        <w:t>that this band is shared with the radiolocation service under the conditions set out in No.</w:t>
      </w:r>
      <w:r w:rsidR="00F53906" w:rsidRPr="000E5333">
        <w:t> </w:t>
      </w:r>
      <w:r w:rsidR="00E93288" w:rsidRPr="000E5333">
        <w:rPr>
          <w:b/>
        </w:rPr>
        <w:t>5.502</w:t>
      </w:r>
      <w:r w:rsidR="00E93288" w:rsidRPr="000E5333">
        <w:t>;</w:t>
      </w:r>
    </w:p>
    <w:p w14:paraId="7459DD9B" w14:textId="0CAAD0B5" w:rsidR="00E93288" w:rsidRPr="000E5333" w:rsidRDefault="006F6257" w:rsidP="00B723F4">
      <w:r w:rsidRPr="000E5333">
        <w:rPr>
          <w:i/>
          <w:iCs/>
        </w:rPr>
        <w:t>i)</w:t>
      </w:r>
      <w:r w:rsidRPr="000E5333">
        <w:tab/>
      </w:r>
      <w:r w:rsidR="00E93288" w:rsidRPr="000E5333">
        <w:t>that the space research service has a secondary allocation in this band and the relevant sharing conditions are provided in No.</w:t>
      </w:r>
      <w:r w:rsidR="00297E0D" w:rsidRPr="000E5333">
        <w:t> </w:t>
      </w:r>
      <w:r w:rsidR="00E93288" w:rsidRPr="000E5333">
        <w:rPr>
          <w:b/>
        </w:rPr>
        <w:t>5.503</w:t>
      </w:r>
      <w:r w:rsidR="00E93288" w:rsidRPr="000E5333">
        <w:t>;</w:t>
      </w:r>
    </w:p>
    <w:p w14:paraId="36977BDE" w14:textId="6A8AB452" w:rsidR="00E93288" w:rsidRPr="000E5333" w:rsidRDefault="006F6257" w:rsidP="00B723F4">
      <w:r w:rsidRPr="000E5333">
        <w:rPr>
          <w:i/>
          <w:iCs/>
        </w:rPr>
        <w:t>j)</w:t>
      </w:r>
      <w:r w:rsidRPr="000E5333">
        <w:tab/>
      </w:r>
      <w:r w:rsidR="00E93288" w:rsidRPr="000E5333">
        <w:t>that for GSO space stations in the space research service for which information for advance publication has been received by the Bureau prior to 31</w:t>
      </w:r>
      <w:r w:rsidR="00297E0D" w:rsidRPr="000E5333">
        <w:t> </w:t>
      </w:r>
      <w:r w:rsidR="00E93288" w:rsidRPr="000E5333">
        <w:t>January</w:t>
      </w:r>
      <w:r w:rsidR="00297E0D" w:rsidRPr="000E5333">
        <w:t> </w:t>
      </w:r>
      <w:r w:rsidR="00E93288" w:rsidRPr="000E5333">
        <w:t>1992 shall operate on an equal basis with stations in the FSS; after that date, new GSO space stations in the space research service will operate on a secondary basis;</w:t>
      </w:r>
    </w:p>
    <w:p w14:paraId="6C77D787" w14:textId="599DBF92" w:rsidR="00E93288" w:rsidRPr="000E5333" w:rsidRDefault="006F6257" w:rsidP="00B723F4">
      <w:r w:rsidRPr="000E5333">
        <w:rPr>
          <w:i/>
          <w:iCs/>
        </w:rPr>
        <w:t>k)</w:t>
      </w:r>
      <w:r w:rsidRPr="000E5333">
        <w:tab/>
      </w:r>
      <w:r w:rsidR="00E93288" w:rsidRPr="000E5333">
        <w:t>that until those GSO space stations in the space research service for which information for advance publication has been received by the Bureau prior to 31</w:t>
      </w:r>
      <w:r w:rsidR="00297E0D" w:rsidRPr="000E5333">
        <w:t> </w:t>
      </w:r>
      <w:r w:rsidR="00E93288" w:rsidRPr="000E5333">
        <w:t>January</w:t>
      </w:r>
      <w:r w:rsidR="00297E0D" w:rsidRPr="000E5333">
        <w:t> </w:t>
      </w:r>
      <w:r w:rsidR="00E93288" w:rsidRPr="000E5333">
        <w:t xml:space="preserve">1992 cease to operate in this band, the </w:t>
      </w:r>
      <w:r w:rsidR="00930ACF" w:rsidRPr="000E5333">
        <w:t xml:space="preserve">frequency </w:t>
      </w:r>
      <w:r w:rsidR="00E93288" w:rsidRPr="000E5333">
        <w:t>band 13.77-13.78</w:t>
      </w:r>
      <w:r w:rsidR="00297E0D" w:rsidRPr="000E5333">
        <w:t> </w:t>
      </w:r>
      <w:r w:rsidR="00E93288" w:rsidRPr="000E5333">
        <w:t>GHz is shared with the space research service under the conditions set out in No.</w:t>
      </w:r>
      <w:r w:rsidR="00297E0D" w:rsidRPr="000E5333">
        <w:t> </w:t>
      </w:r>
      <w:r w:rsidR="00E93288" w:rsidRPr="000E5333">
        <w:rPr>
          <w:b/>
        </w:rPr>
        <w:t>5.503</w:t>
      </w:r>
      <w:r w:rsidR="00E93288" w:rsidRPr="000E5333">
        <w:t>;</w:t>
      </w:r>
    </w:p>
    <w:p w14:paraId="4C9434C0" w14:textId="18B0E885" w:rsidR="00E93288" w:rsidRPr="000E5333" w:rsidRDefault="006F6257" w:rsidP="00B723F4">
      <w:r w:rsidRPr="000E5333">
        <w:rPr>
          <w:i/>
          <w:iCs/>
        </w:rPr>
        <w:t>l)</w:t>
      </w:r>
      <w:r w:rsidRPr="000E5333">
        <w:tab/>
      </w:r>
      <w:r w:rsidR="00E93288" w:rsidRPr="000E5333">
        <w:t>that, in some countries, the band is also allocated to the fixed service and the mobile service (Nos.</w:t>
      </w:r>
      <w:r w:rsidR="00297E0D" w:rsidRPr="000E5333">
        <w:t> </w:t>
      </w:r>
      <w:r w:rsidR="00E93288" w:rsidRPr="000E5333">
        <w:rPr>
          <w:b/>
        </w:rPr>
        <w:t>5.499</w:t>
      </w:r>
      <w:r w:rsidR="00E93288" w:rsidRPr="000E5333">
        <w:t xml:space="preserve"> and</w:t>
      </w:r>
      <w:r w:rsidR="00297E0D" w:rsidRPr="000E5333">
        <w:t> </w:t>
      </w:r>
      <w:r w:rsidR="00E93288" w:rsidRPr="000E5333">
        <w:rPr>
          <w:b/>
        </w:rPr>
        <w:t>5.500</w:t>
      </w:r>
      <w:r w:rsidR="00E93288" w:rsidRPr="000E5333">
        <w:t>) and to the radionavigation service (No. </w:t>
      </w:r>
      <w:r w:rsidR="00E93288" w:rsidRPr="000E5333">
        <w:rPr>
          <w:b/>
        </w:rPr>
        <w:t>5.501</w:t>
      </w:r>
      <w:r w:rsidR="00E93288" w:rsidRPr="000E5333">
        <w:t>);</w:t>
      </w:r>
    </w:p>
    <w:p w14:paraId="6CB89A5D" w14:textId="4446F73D" w:rsidR="00E93288" w:rsidRPr="000E5333" w:rsidRDefault="006F6257" w:rsidP="00B723F4">
      <w:r w:rsidRPr="000E5333">
        <w:rPr>
          <w:i/>
          <w:iCs/>
        </w:rPr>
        <w:t>m)</w:t>
      </w:r>
      <w:r w:rsidRPr="000E5333">
        <w:tab/>
      </w:r>
      <w:r w:rsidR="00E93288" w:rsidRPr="000E5333">
        <w:t xml:space="preserve">that improving operating conditions for earth stations in the </w:t>
      </w:r>
      <w:r w:rsidR="00930ACF" w:rsidRPr="000E5333">
        <w:t xml:space="preserve">frequency band </w:t>
      </w:r>
      <w:r w:rsidR="00E93288" w:rsidRPr="000E5333">
        <w:t>13.75-14</w:t>
      </w:r>
      <w:r w:rsidR="00930ACF" w:rsidRPr="000E5333">
        <w:t> </w:t>
      </w:r>
      <w:r w:rsidR="00E93288" w:rsidRPr="000E5333">
        <w:t>GHz will help meet the evolving needs for satellite applications and enable efficient and rational use of the frequency bands in 13-15</w:t>
      </w:r>
      <w:r w:rsidR="00297E0D" w:rsidRPr="000E5333">
        <w:t> </w:t>
      </w:r>
      <w:r w:rsidR="00E93288" w:rsidRPr="000E5333">
        <w:t>GHz (Earth-to-space) and 10-13</w:t>
      </w:r>
      <w:r w:rsidR="00297E0D" w:rsidRPr="000E5333">
        <w:t> </w:t>
      </w:r>
      <w:r w:rsidR="00E93288" w:rsidRPr="000E5333">
        <w:t>GHz (space-to-Earth) ranges,</w:t>
      </w:r>
    </w:p>
    <w:p w14:paraId="0106E237" w14:textId="77777777" w:rsidR="00E93288" w:rsidRPr="000E5333" w:rsidRDefault="00E93288" w:rsidP="00B723F4">
      <w:pPr>
        <w:pStyle w:val="Call"/>
        <w:rPr>
          <w:iCs/>
        </w:rPr>
      </w:pPr>
      <w:r w:rsidRPr="000E5333">
        <w:t>considering further</w:t>
      </w:r>
    </w:p>
    <w:p w14:paraId="00211859" w14:textId="7E750ACF" w:rsidR="00E93288" w:rsidRPr="000E5333" w:rsidRDefault="00B723F4" w:rsidP="00B723F4">
      <w:r w:rsidRPr="000E5333">
        <w:rPr>
          <w:i/>
          <w:iCs/>
        </w:rPr>
        <w:t>a)</w:t>
      </w:r>
      <w:r w:rsidRPr="000E5333">
        <w:tab/>
      </w:r>
      <w:r w:rsidR="00E93288" w:rsidRPr="000E5333">
        <w:t>that studies are required to identify possible regulatory changes to meet the growing requirements for spectrum that can be used efficiently by GSO and non-GSO FSS uplink earth stations in the 13-15</w:t>
      </w:r>
      <w:r w:rsidR="00297E0D" w:rsidRPr="000E5333">
        <w:t> </w:t>
      </w:r>
      <w:r w:rsidR="00E93288" w:rsidRPr="000E5333">
        <w:t>GHz range, including by smaller diameter earth station antennas;</w:t>
      </w:r>
    </w:p>
    <w:p w14:paraId="10AFC2F0" w14:textId="44ED6A40" w:rsidR="00E93288" w:rsidRPr="000E5333" w:rsidRDefault="00B723F4" w:rsidP="00B723F4">
      <w:r w:rsidRPr="000E5333">
        <w:rPr>
          <w:i/>
          <w:iCs/>
        </w:rPr>
        <w:t>b)</w:t>
      </w:r>
      <w:r w:rsidRPr="000E5333">
        <w:tab/>
      </w:r>
      <w:r w:rsidR="00E93288" w:rsidRPr="000E5333">
        <w:t>that in consideration of revising sharing conditions for the 13.75-14</w:t>
      </w:r>
      <w:r w:rsidR="00297E0D" w:rsidRPr="000E5333">
        <w:t> </w:t>
      </w:r>
      <w:r w:rsidR="00E93288" w:rsidRPr="000E5333">
        <w:t>GHz band, there is a need to determine appropriate co-existence conditions between other services sharing the band with their current characteristics and applications and uplink FSS earth stations, in particular noting Nos.</w:t>
      </w:r>
      <w:r w:rsidR="00297E0D" w:rsidRPr="000E5333">
        <w:t> </w:t>
      </w:r>
      <w:r w:rsidR="00E93288" w:rsidRPr="000E5333">
        <w:rPr>
          <w:b/>
        </w:rPr>
        <w:t>5.502</w:t>
      </w:r>
      <w:r w:rsidR="00E93288" w:rsidRPr="000E5333">
        <w:t xml:space="preserve"> and</w:t>
      </w:r>
      <w:r w:rsidR="00297E0D" w:rsidRPr="000E5333">
        <w:t> </w:t>
      </w:r>
      <w:r w:rsidR="00E93288" w:rsidRPr="000E5333">
        <w:rPr>
          <w:b/>
        </w:rPr>
        <w:t>5.503</w:t>
      </w:r>
      <w:r w:rsidR="00E93288" w:rsidRPr="000E5333">
        <w:t>,</w:t>
      </w:r>
    </w:p>
    <w:p w14:paraId="41D61D6E" w14:textId="73742944" w:rsidR="00E93288" w:rsidRPr="000E5333" w:rsidRDefault="00E93288" w:rsidP="00B723F4">
      <w:pPr>
        <w:pStyle w:val="Call"/>
      </w:pPr>
      <w:r w:rsidRPr="000E5333">
        <w:t>resolves to invite ITU-R</w:t>
      </w:r>
    </w:p>
    <w:p w14:paraId="4E33E7CA" w14:textId="30B591DF" w:rsidR="00E93288" w:rsidRPr="000E5333" w:rsidRDefault="00E93288" w:rsidP="00B723F4">
      <w:pPr>
        <w:rPr>
          <w:sz w:val="28"/>
          <w:szCs w:val="28"/>
        </w:rPr>
      </w:pPr>
      <w:r w:rsidRPr="000E5333">
        <w:t>to conduct studies, in time for consideration by WRC</w:t>
      </w:r>
      <w:r w:rsidR="00297E0D" w:rsidRPr="000E5333">
        <w:noBreakHyphen/>
      </w:r>
      <w:r w:rsidRPr="000E5333">
        <w:t>27 on possible revisions to the sharing conditions in the frequency band 13.75-14</w:t>
      </w:r>
      <w:r w:rsidR="00297E0D" w:rsidRPr="000E5333">
        <w:t> </w:t>
      </w:r>
      <w:r w:rsidRPr="000E5333">
        <w:t>GHz to facilitate efficient use of the band by uplink GSO and non-GSO FSS earth stations, including use of earth stations with smaller antenna sizes,</w:t>
      </w:r>
    </w:p>
    <w:p w14:paraId="385020A0" w14:textId="3FE83D2C" w:rsidR="00E93288" w:rsidRPr="000E5333" w:rsidRDefault="00E93288" w:rsidP="00B723F4">
      <w:pPr>
        <w:pStyle w:val="Call"/>
      </w:pPr>
      <w:r w:rsidRPr="000E5333">
        <w:lastRenderedPageBreak/>
        <w:t>invites the 2027 World Radiocommunication Conference</w:t>
      </w:r>
    </w:p>
    <w:p w14:paraId="750077B5" w14:textId="483EC64A" w:rsidR="00980957" w:rsidRPr="000E5333" w:rsidRDefault="00E93288" w:rsidP="00B723F4">
      <w:r w:rsidRPr="000E5333">
        <w:t xml:space="preserve">to consider the results of the above studies in </w:t>
      </w:r>
      <w:r w:rsidR="00297E0D" w:rsidRPr="000E5333">
        <w:rPr>
          <w:i/>
          <w:iCs/>
        </w:rPr>
        <w:t>resolves to invite ITU</w:t>
      </w:r>
      <w:r w:rsidR="00297E0D" w:rsidRPr="000E5333">
        <w:rPr>
          <w:i/>
          <w:iCs/>
        </w:rPr>
        <w:noBreakHyphen/>
        <w:t>R</w:t>
      </w:r>
      <w:r w:rsidRPr="000E5333">
        <w:t xml:space="preserve"> and take necessary actions, as appropriate.</w:t>
      </w:r>
    </w:p>
    <w:p w14:paraId="2DFD55F0" w14:textId="304E42EC" w:rsidR="00980957" w:rsidRPr="000E5333" w:rsidRDefault="00C4752B">
      <w:pPr>
        <w:pStyle w:val="Reasons"/>
        <w:rPr>
          <w:lang w:eastAsia="zh-CN"/>
        </w:rPr>
      </w:pPr>
      <w:r w:rsidRPr="000E5333">
        <w:rPr>
          <w:b/>
        </w:rPr>
        <w:t>Reasons:</w:t>
      </w:r>
      <w:r w:rsidRPr="000E5333">
        <w:tab/>
      </w:r>
      <w:r w:rsidR="00E93288" w:rsidRPr="000E5333">
        <w:rPr>
          <w:lang w:eastAsia="zh-CN"/>
        </w:rPr>
        <w:t>See the following Table that has been prepared using the template given in Annex</w:t>
      </w:r>
      <w:r w:rsidR="00297E0D" w:rsidRPr="000E5333">
        <w:rPr>
          <w:lang w:eastAsia="zh-CN"/>
        </w:rPr>
        <w:t> </w:t>
      </w:r>
      <w:r w:rsidR="00E93288" w:rsidRPr="000E5333">
        <w:rPr>
          <w:lang w:eastAsia="zh-CN"/>
        </w:rPr>
        <w:t>2 to Resolution</w:t>
      </w:r>
      <w:r w:rsidR="00297E0D" w:rsidRPr="000E5333">
        <w:rPr>
          <w:lang w:eastAsia="zh-CN"/>
        </w:rPr>
        <w:t> </w:t>
      </w:r>
      <w:r w:rsidR="00E93288" w:rsidRPr="000E5333">
        <w:rPr>
          <w:b/>
          <w:bCs/>
          <w:lang w:eastAsia="zh-CN"/>
        </w:rPr>
        <w:t>804 (Rev.WRC</w:t>
      </w:r>
      <w:r w:rsidR="00297E0D" w:rsidRPr="000E5333">
        <w:rPr>
          <w:b/>
          <w:bCs/>
          <w:lang w:eastAsia="zh-CN"/>
        </w:rPr>
        <w:noBreakHyphen/>
      </w:r>
      <w:r w:rsidR="00E93288" w:rsidRPr="000E5333">
        <w:rPr>
          <w:b/>
          <w:bCs/>
          <w:lang w:eastAsia="zh-CN"/>
        </w:rPr>
        <w:t>19)</w:t>
      </w:r>
      <w:r w:rsidR="00E93288" w:rsidRPr="000E5333">
        <w:rPr>
          <w:lang w:eastAsia="zh-CN"/>
        </w:rPr>
        <w:t>.</w:t>
      </w:r>
    </w:p>
    <w:p w14:paraId="6AD6A357" w14:textId="77777777" w:rsidR="00E93288" w:rsidRPr="000E5333" w:rsidRDefault="00E93288">
      <w:pPr>
        <w:tabs>
          <w:tab w:val="clear" w:pos="1134"/>
          <w:tab w:val="clear" w:pos="1871"/>
          <w:tab w:val="clear" w:pos="2268"/>
        </w:tabs>
        <w:overflowPunct/>
        <w:autoSpaceDE/>
        <w:autoSpaceDN/>
        <w:adjustRightInd/>
        <w:spacing w:before="0"/>
        <w:textAlignment w:val="auto"/>
      </w:pPr>
      <w:r w:rsidRPr="000E5333">
        <w:br w:type="page"/>
      </w:r>
    </w:p>
    <w:p w14:paraId="47452190" w14:textId="22256444" w:rsidR="00E93288" w:rsidRPr="000E5333" w:rsidRDefault="00E93288" w:rsidP="00E93288">
      <w:pPr>
        <w:pStyle w:val="AnnexNo"/>
      </w:pPr>
      <w:r w:rsidRPr="000E5333">
        <w:lastRenderedPageBreak/>
        <w:t>attachment</w:t>
      </w:r>
    </w:p>
    <w:p w14:paraId="42256CF3" w14:textId="77777777" w:rsidR="00E93288" w:rsidRPr="000E5333" w:rsidRDefault="00E93288" w:rsidP="00E93288">
      <w:pPr>
        <w:pStyle w:val="Annextitle"/>
      </w:pPr>
      <w:r w:rsidRPr="000E5333">
        <w:t>Template for the submission of proposals for agenda items</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93288" w:rsidRPr="000E5333" w14:paraId="710466DE" w14:textId="77777777" w:rsidTr="006E66CB">
        <w:trPr>
          <w:cantSplit/>
        </w:trPr>
        <w:tc>
          <w:tcPr>
            <w:tcW w:w="9723" w:type="dxa"/>
            <w:gridSpan w:val="2"/>
            <w:hideMark/>
          </w:tcPr>
          <w:p w14:paraId="30D185BD" w14:textId="14CED3A8" w:rsidR="00E93288" w:rsidRPr="000E5333" w:rsidRDefault="00E93288" w:rsidP="006E66CB">
            <w:pPr>
              <w:keepNext/>
              <w:spacing w:before="240"/>
              <w:rPr>
                <w:b/>
                <w:bCs/>
              </w:rPr>
            </w:pPr>
            <w:bookmarkStart w:id="8" w:name="_Hlk150161608"/>
            <w:r w:rsidRPr="000E5333">
              <w:rPr>
                <w:b/>
                <w:bCs/>
              </w:rPr>
              <w:t>Subject:</w:t>
            </w:r>
            <w:r w:rsidR="00C4752B" w:rsidRPr="000E5333">
              <w:rPr>
                <w:b/>
                <w:bCs/>
              </w:rPr>
              <w:t xml:space="preserve"> </w:t>
            </w:r>
            <w:r w:rsidRPr="000E5333">
              <w:t>Studies on possible revision of sharing conditions for the frequency band 13.75-14</w:t>
            </w:r>
            <w:r w:rsidR="00297E0D" w:rsidRPr="000E5333">
              <w:t> </w:t>
            </w:r>
            <w:r w:rsidRPr="000E5333">
              <w:t>GHz to enable efficient use of the band by uplink FSS earth stations, including earth stations using smaller antenna sizes</w:t>
            </w:r>
          </w:p>
        </w:tc>
      </w:tr>
      <w:tr w:rsidR="00E93288" w:rsidRPr="000E5333" w14:paraId="6E71AB64" w14:textId="77777777" w:rsidTr="006E66CB">
        <w:trPr>
          <w:cantSplit/>
        </w:trPr>
        <w:tc>
          <w:tcPr>
            <w:tcW w:w="9723" w:type="dxa"/>
            <w:gridSpan w:val="2"/>
            <w:tcBorders>
              <w:top w:val="nil"/>
              <w:left w:val="nil"/>
              <w:bottom w:val="single" w:sz="4" w:space="0" w:color="auto"/>
              <w:right w:val="nil"/>
            </w:tcBorders>
            <w:hideMark/>
          </w:tcPr>
          <w:p w14:paraId="50EB503A" w14:textId="00BB523E" w:rsidR="00E93288" w:rsidRPr="000E5333" w:rsidRDefault="00E93288" w:rsidP="006E66CB">
            <w:pPr>
              <w:keepNext/>
              <w:spacing w:before="240" w:after="120"/>
              <w:rPr>
                <w:b/>
                <w:i/>
                <w:color w:val="000000"/>
              </w:rPr>
            </w:pPr>
            <w:r w:rsidRPr="000E5333">
              <w:rPr>
                <w:b/>
                <w:bCs/>
              </w:rPr>
              <w:t>Origin:</w:t>
            </w:r>
            <w:r w:rsidRPr="000E5333">
              <w:rPr>
                <w:b/>
                <w:bCs/>
                <w:lang w:eastAsia="zh-CN"/>
              </w:rPr>
              <w:t xml:space="preserve"> </w:t>
            </w:r>
            <w:r w:rsidRPr="000E5333">
              <w:rPr>
                <w:lang w:eastAsia="zh-CN"/>
              </w:rPr>
              <w:t>China (People's Republic of), Indonesia (Republic of), Papua New Guinea, Singapore (Republic of), Tonga (Kingdom of)</w:t>
            </w:r>
          </w:p>
        </w:tc>
      </w:tr>
      <w:tr w:rsidR="00E93288" w:rsidRPr="000E5333" w14:paraId="2F10F681" w14:textId="77777777" w:rsidTr="006E66CB">
        <w:trPr>
          <w:cantSplit/>
        </w:trPr>
        <w:tc>
          <w:tcPr>
            <w:tcW w:w="9723" w:type="dxa"/>
            <w:gridSpan w:val="2"/>
            <w:tcBorders>
              <w:top w:val="single" w:sz="4" w:space="0" w:color="auto"/>
              <w:left w:val="nil"/>
              <w:bottom w:val="single" w:sz="4" w:space="0" w:color="auto"/>
              <w:right w:val="nil"/>
            </w:tcBorders>
          </w:tcPr>
          <w:p w14:paraId="19C911DE" w14:textId="77777777" w:rsidR="00E93288" w:rsidRPr="000E5333" w:rsidRDefault="00E93288" w:rsidP="006E66CB">
            <w:pPr>
              <w:keepNext/>
              <w:rPr>
                <w:b/>
                <w:i/>
                <w:color w:val="000000"/>
              </w:rPr>
            </w:pPr>
            <w:r w:rsidRPr="000E5333">
              <w:rPr>
                <w:b/>
                <w:i/>
                <w:color w:val="000000"/>
              </w:rPr>
              <w:t>Proposal</w:t>
            </w:r>
            <w:r w:rsidRPr="000E5333">
              <w:rPr>
                <w:b/>
                <w:iCs/>
                <w:color w:val="000000"/>
              </w:rPr>
              <w:t>:</w:t>
            </w:r>
          </w:p>
          <w:p w14:paraId="51BF32E9" w14:textId="75D1F388" w:rsidR="00E93288" w:rsidRPr="000E5333" w:rsidRDefault="00E93288" w:rsidP="006E66CB">
            <w:pPr>
              <w:keepNext/>
              <w:rPr>
                <w:b/>
                <w:i/>
              </w:rPr>
            </w:pPr>
            <w:r w:rsidRPr="000E5333">
              <w:rPr>
                <w:bCs/>
              </w:rPr>
              <w:t>To study on possible revision of sharing conditions for the frequency band 13.75-14</w:t>
            </w:r>
            <w:r w:rsidR="00297E0D" w:rsidRPr="000E5333">
              <w:rPr>
                <w:bCs/>
              </w:rPr>
              <w:t> </w:t>
            </w:r>
            <w:r w:rsidRPr="000E5333">
              <w:rPr>
                <w:bCs/>
              </w:rPr>
              <w:t xml:space="preserve">GHz to enable efficient use of the band by uplink FSS earth stations, including earth stations using smaller antenna sizes in accordance with </w:t>
            </w:r>
            <w:r w:rsidR="00380047" w:rsidRPr="000E5333">
              <w:rPr>
                <w:bCs/>
              </w:rPr>
              <w:t xml:space="preserve">draft new </w:t>
            </w:r>
            <w:r w:rsidRPr="000E5333">
              <w:rPr>
                <w:bCs/>
              </w:rPr>
              <w:t>Resolution</w:t>
            </w:r>
            <w:r w:rsidR="00297E0D" w:rsidRPr="000E5333">
              <w:rPr>
                <w:bCs/>
              </w:rPr>
              <w:t> </w:t>
            </w:r>
            <w:r w:rsidRPr="000E5333">
              <w:rPr>
                <w:b/>
                <w:bCs/>
              </w:rPr>
              <w:t>[CHN/INS/PNG/SNG/TON-FSS IN 13.75-14</w:t>
            </w:r>
            <w:r w:rsidR="00297E0D" w:rsidRPr="000E5333">
              <w:rPr>
                <w:b/>
                <w:bCs/>
              </w:rPr>
              <w:t> </w:t>
            </w:r>
            <w:r w:rsidRPr="000E5333">
              <w:rPr>
                <w:b/>
                <w:bCs/>
              </w:rPr>
              <w:t>GHZ] (WRC</w:t>
            </w:r>
            <w:r w:rsidR="00297E0D" w:rsidRPr="000E5333">
              <w:rPr>
                <w:b/>
                <w:bCs/>
              </w:rPr>
              <w:noBreakHyphen/>
            </w:r>
            <w:r w:rsidRPr="000E5333">
              <w:rPr>
                <w:b/>
                <w:bCs/>
              </w:rPr>
              <w:t>23)</w:t>
            </w:r>
            <w:r w:rsidRPr="000E5333">
              <w:t>.</w:t>
            </w:r>
          </w:p>
        </w:tc>
      </w:tr>
      <w:tr w:rsidR="00E93288" w:rsidRPr="000E5333" w14:paraId="3CEC49B8" w14:textId="77777777" w:rsidTr="006E66CB">
        <w:trPr>
          <w:cantSplit/>
        </w:trPr>
        <w:tc>
          <w:tcPr>
            <w:tcW w:w="9723" w:type="dxa"/>
            <w:gridSpan w:val="2"/>
            <w:tcBorders>
              <w:top w:val="single" w:sz="4" w:space="0" w:color="auto"/>
              <w:left w:val="nil"/>
              <w:bottom w:val="single" w:sz="4" w:space="0" w:color="auto"/>
              <w:right w:val="nil"/>
            </w:tcBorders>
          </w:tcPr>
          <w:p w14:paraId="38CD6EE2" w14:textId="77777777" w:rsidR="00E93288" w:rsidRPr="000E5333" w:rsidRDefault="00E93288" w:rsidP="006E66CB">
            <w:pPr>
              <w:keepNext/>
              <w:rPr>
                <w:b/>
                <w:i/>
                <w:color w:val="000000"/>
              </w:rPr>
            </w:pPr>
            <w:r w:rsidRPr="000E5333">
              <w:rPr>
                <w:b/>
                <w:i/>
                <w:color w:val="000000"/>
              </w:rPr>
              <w:t>Background/reason</w:t>
            </w:r>
            <w:r w:rsidRPr="000E5333">
              <w:rPr>
                <w:b/>
                <w:iCs/>
                <w:color w:val="000000"/>
              </w:rPr>
              <w:t>:</w:t>
            </w:r>
          </w:p>
          <w:p w14:paraId="2EC89F0C" w14:textId="69FFCB5A" w:rsidR="00E93288" w:rsidRPr="000E5333" w:rsidRDefault="00E93288" w:rsidP="00E93288">
            <w:pPr>
              <w:keepNext/>
              <w:outlineLvl w:val="0"/>
              <w:rPr>
                <w:bCs/>
              </w:rPr>
            </w:pPr>
            <w:r w:rsidRPr="000E5333">
              <w:rPr>
                <w:bCs/>
              </w:rPr>
              <w:t>The fixed-satellite service (FSS) has seen a big increase in the number of geostationary (GSO) satellite networks and non-geostationary (non-GSO) satellite systems over the last decades. The use of small diameter FSS earth stations antennas at frequencies around 10-15</w:t>
            </w:r>
            <w:r w:rsidR="00297E0D" w:rsidRPr="000E5333">
              <w:rPr>
                <w:bCs/>
              </w:rPr>
              <w:t> </w:t>
            </w:r>
            <w:r w:rsidRPr="000E5333">
              <w:rPr>
                <w:bCs/>
              </w:rPr>
              <w:t>GHz has been increasing with the deployment of satellites providing large throughput and broadband connections. Notably is also the large increase over the last decade of non-GSO constellations with large number of satellites offering broadband connections to user terminals with small diameter antennas.</w:t>
            </w:r>
          </w:p>
          <w:p w14:paraId="618A6CA5" w14:textId="6F0ED67D" w:rsidR="00E93288" w:rsidRPr="000E5333" w:rsidRDefault="00E93288" w:rsidP="00E93288">
            <w:pPr>
              <w:widowControl w:val="0"/>
              <w:snapToGrid w:val="0"/>
              <w:spacing w:before="0"/>
              <w:outlineLvl w:val="0"/>
              <w:rPr>
                <w:lang w:eastAsia="zh-CN"/>
              </w:rPr>
            </w:pPr>
            <w:r w:rsidRPr="000E5333">
              <w:rPr>
                <w:lang w:eastAsia="zh-CN"/>
              </w:rPr>
              <w:t>Looking at the portions of Ku-band which is not subject to a space plan in Appendices</w:t>
            </w:r>
            <w:r w:rsidR="007931EC" w:rsidRPr="000E5333">
              <w:rPr>
                <w:lang w:eastAsia="zh-CN"/>
              </w:rPr>
              <w:t> </w:t>
            </w:r>
            <w:r w:rsidRPr="000E5333">
              <w:rPr>
                <w:b/>
                <w:bCs/>
                <w:lang w:eastAsia="zh-CN"/>
              </w:rPr>
              <w:t>30</w:t>
            </w:r>
            <w:r w:rsidRPr="000E5333">
              <w:rPr>
                <w:lang w:eastAsia="zh-CN"/>
              </w:rPr>
              <w:t xml:space="preserve">, </w:t>
            </w:r>
            <w:r w:rsidRPr="000E5333">
              <w:rPr>
                <w:b/>
                <w:bCs/>
                <w:lang w:eastAsia="zh-CN"/>
              </w:rPr>
              <w:t>30A</w:t>
            </w:r>
            <w:r w:rsidRPr="000E5333">
              <w:rPr>
                <w:lang w:eastAsia="zh-CN"/>
              </w:rPr>
              <w:t xml:space="preserve"> or</w:t>
            </w:r>
            <w:r w:rsidR="007931EC" w:rsidRPr="000E5333">
              <w:rPr>
                <w:lang w:eastAsia="zh-CN"/>
              </w:rPr>
              <w:t> </w:t>
            </w:r>
            <w:r w:rsidRPr="000E5333">
              <w:rPr>
                <w:b/>
                <w:bCs/>
                <w:lang w:eastAsia="zh-CN"/>
              </w:rPr>
              <w:t>30B</w:t>
            </w:r>
            <w:r w:rsidRPr="000E5333">
              <w:rPr>
                <w:lang w:eastAsia="zh-CN"/>
              </w:rPr>
              <w:t xml:space="preserve"> of the Radio Regulations (RR), the below figure shows the frequency bands where small user terminals can and cannot be used.</w:t>
            </w:r>
          </w:p>
          <w:p w14:paraId="1676D541" w14:textId="77777777" w:rsidR="00E93288" w:rsidRPr="000E5333" w:rsidRDefault="00E93288" w:rsidP="00E93288">
            <w:pPr>
              <w:pStyle w:val="Figuretitle"/>
              <w:outlineLvl w:val="0"/>
            </w:pPr>
            <w:r w:rsidRPr="000E5333">
              <w:t>Ku-band for FSS not subject to RR Appendix 30, 30A or 30B</w:t>
            </w:r>
          </w:p>
          <w:p w14:paraId="10D08AED" w14:textId="77777777" w:rsidR="00E93288" w:rsidRPr="000E5333" w:rsidRDefault="00E93288" w:rsidP="00E93288">
            <w:pPr>
              <w:pStyle w:val="Figure"/>
              <w:outlineLvl w:val="0"/>
            </w:pPr>
            <w:r w:rsidRPr="000E5333">
              <w:rPr>
                <w:lang w:eastAsia="zh-CN"/>
              </w:rPr>
              <w:drawing>
                <wp:inline distT="0" distB="0" distL="0" distR="0" wp14:anchorId="4E83BD0F" wp14:editId="2EF8C4E9">
                  <wp:extent cx="5059680" cy="3116580"/>
                  <wp:effectExtent l="19050" t="19050" r="26670" b="2667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130525" cy="3160256"/>
                          </a:xfrm>
                          <a:prstGeom prst="rect">
                            <a:avLst/>
                          </a:prstGeom>
                          <a:noFill/>
                          <a:ln w="3175">
                            <a:solidFill>
                              <a:schemeClr val="accent1"/>
                            </a:solidFill>
                          </a:ln>
                        </pic:spPr>
                      </pic:pic>
                    </a:graphicData>
                  </a:graphic>
                </wp:inline>
              </w:drawing>
            </w:r>
          </w:p>
          <w:p w14:paraId="2B6E694F" w14:textId="794B4DA6" w:rsidR="00E93288" w:rsidRPr="000E5333" w:rsidRDefault="00E93288" w:rsidP="00E93288">
            <w:pPr>
              <w:snapToGrid w:val="0"/>
              <w:spacing w:after="240"/>
              <w:outlineLvl w:val="0"/>
            </w:pPr>
            <w:r w:rsidRPr="000E5333">
              <w:lastRenderedPageBreak/>
              <w:t>The bandwidths available for use by small diameter FSS earth station antennas in the three ITU</w:t>
            </w:r>
            <w:r w:rsidR="007931EC" w:rsidRPr="000E5333">
              <w:noBreakHyphen/>
            </w:r>
            <w:r w:rsidRPr="000E5333">
              <w:t>R Regions and the mismatch between up and downlink bandwidth is shown in the below table.</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603"/>
              <w:gridCol w:w="1334"/>
              <w:gridCol w:w="3942"/>
            </w:tblGrid>
            <w:tr w:rsidR="00E93288" w:rsidRPr="000E5333" w14:paraId="52129E0D" w14:textId="77777777" w:rsidTr="006E66CB">
              <w:trPr>
                <w:jc w:val="center"/>
              </w:trPr>
              <w:tc>
                <w:tcPr>
                  <w:tcW w:w="1749" w:type="dxa"/>
                  <w:vMerge w:val="restart"/>
                </w:tcPr>
                <w:p w14:paraId="45CAD2EA" w14:textId="77777777" w:rsidR="00E93288" w:rsidRPr="000E5333" w:rsidRDefault="00E93288" w:rsidP="000E5333">
                  <w:pPr>
                    <w:pStyle w:val="Tablehead"/>
                    <w:framePr w:hSpace="180" w:wrap="around" w:vAnchor="text" w:hAnchor="text" w:x="-84" w:y="1"/>
                    <w:suppressOverlap/>
                    <w:outlineLvl w:val="0"/>
                  </w:pPr>
                </w:p>
              </w:tc>
              <w:tc>
                <w:tcPr>
                  <w:tcW w:w="6879" w:type="dxa"/>
                  <w:gridSpan w:val="3"/>
                </w:tcPr>
                <w:p w14:paraId="110A4556" w14:textId="3F6F1D3E" w:rsidR="00E93288" w:rsidRPr="000E5333" w:rsidRDefault="00E93288" w:rsidP="000E5333">
                  <w:pPr>
                    <w:pStyle w:val="Tablehead"/>
                    <w:framePr w:hSpace="180" w:wrap="around" w:vAnchor="text" w:hAnchor="text" w:x="-84" w:y="1"/>
                    <w:suppressOverlap/>
                    <w:outlineLvl w:val="0"/>
                  </w:pPr>
                  <w:r w:rsidRPr="000E5333">
                    <w:t>Bandwidth (MHz) in the 10-15 GHz range, not subject to RR Appendices</w:t>
                  </w:r>
                  <w:r w:rsidR="007931EC" w:rsidRPr="000E5333">
                    <w:t> </w:t>
                  </w:r>
                  <w:r w:rsidRPr="000E5333">
                    <w:t>30, 30A or</w:t>
                  </w:r>
                  <w:r w:rsidR="007931EC" w:rsidRPr="000E5333">
                    <w:t> </w:t>
                  </w:r>
                  <w:r w:rsidRPr="000E5333">
                    <w:t>30B, that can be used by small antennas</w:t>
                  </w:r>
                </w:p>
              </w:tc>
            </w:tr>
            <w:tr w:rsidR="00E93288" w:rsidRPr="000E5333" w14:paraId="4754A36B" w14:textId="77777777" w:rsidTr="006E66CB">
              <w:trPr>
                <w:trHeight w:val="568"/>
                <w:jc w:val="center"/>
              </w:trPr>
              <w:tc>
                <w:tcPr>
                  <w:tcW w:w="1749" w:type="dxa"/>
                  <w:vMerge/>
                </w:tcPr>
                <w:p w14:paraId="2F464033" w14:textId="77777777" w:rsidR="00E93288" w:rsidRPr="000E5333" w:rsidRDefault="00E93288" w:rsidP="000E5333">
                  <w:pPr>
                    <w:pStyle w:val="Tablehead"/>
                    <w:framePr w:hSpace="180" w:wrap="around" w:vAnchor="text" w:hAnchor="text" w:x="-84" w:y="1"/>
                    <w:suppressOverlap/>
                    <w:outlineLvl w:val="0"/>
                  </w:pPr>
                </w:p>
              </w:tc>
              <w:tc>
                <w:tcPr>
                  <w:tcW w:w="1603" w:type="dxa"/>
                </w:tcPr>
                <w:p w14:paraId="3519B873" w14:textId="77777777" w:rsidR="00E93288" w:rsidRPr="000E5333" w:rsidRDefault="00E93288" w:rsidP="000E5333">
                  <w:pPr>
                    <w:pStyle w:val="Tablehead"/>
                    <w:framePr w:hSpace="180" w:wrap="around" w:vAnchor="text" w:hAnchor="text" w:x="-84" w:y="1"/>
                    <w:suppressOverlap/>
                    <w:outlineLvl w:val="0"/>
                  </w:pPr>
                  <w:r w:rsidRPr="000E5333">
                    <w:t>Downlink</w:t>
                  </w:r>
                </w:p>
              </w:tc>
              <w:tc>
                <w:tcPr>
                  <w:tcW w:w="1334" w:type="dxa"/>
                </w:tcPr>
                <w:p w14:paraId="36C5D80A" w14:textId="77777777" w:rsidR="00E93288" w:rsidRPr="000E5333" w:rsidRDefault="00E93288" w:rsidP="000E5333">
                  <w:pPr>
                    <w:pStyle w:val="Tablehead"/>
                    <w:framePr w:hSpace="180" w:wrap="around" w:vAnchor="text" w:hAnchor="text" w:x="-84" w:y="1"/>
                    <w:suppressOverlap/>
                    <w:outlineLvl w:val="0"/>
                  </w:pPr>
                  <w:r w:rsidRPr="000E5333">
                    <w:t>Uplink</w:t>
                  </w:r>
                </w:p>
              </w:tc>
              <w:tc>
                <w:tcPr>
                  <w:tcW w:w="3942" w:type="dxa"/>
                </w:tcPr>
                <w:p w14:paraId="5EFDBD51" w14:textId="77777777" w:rsidR="00E93288" w:rsidRPr="000E5333" w:rsidRDefault="00E93288" w:rsidP="000E5333">
                  <w:pPr>
                    <w:pStyle w:val="Tablehead"/>
                    <w:framePr w:hSpace="180" w:wrap="around" w:vAnchor="text" w:hAnchor="text" w:x="-84" w:y="1"/>
                    <w:suppressOverlap/>
                    <w:outlineLvl w:val="0"/>
                  </w:pPr>
                  <w:r w:rsidRPr="000E5333">
                    <w:t>Lack of uplink bandwidth to feed downlink bandwidth</w:t>
                  </w:r>
                </w:p>
              </w:tc>
            </w:tr>
            <w:tr w:rsidR="00E93288" w:rsidRPr="000E5333" w14:paraId="17DDE384" w14:textId="77777777" w:rsidTr="006E66CB">
              <w:trPr>
                <w:jc w:val="center"/>
              </w:trPr>
              <w:tc>
                <w:tcPr>
                  <w:tcW w:w="1749" w:type="dxa"/>
                </w:tcPr>
                <w:p w14:paraId="150E154B" w14:textId="77777777" w:rsidR="00E93288" w:rsidRPr="000E5333" w:rsidRDefault="00E93288" w:rsidP="000E5333">
                  <w:pPr>
                    <w:pStyle w:val="Tabletext"/>
                    <w:framePr w:hSpace="180" w:wrap="around" w:vAnchor="text" w:hAnchor="text" w:x="-84" w:y="1"/>
                    <w:suppressOverlap/>
                    <w:outlineLvl w:val="0"/>
                  </w:pPr>
                  <w:r w:rsidRPr="000E5333">
                    <w:t>Region 1</w:t>
                  </w:r>
                </w:p>
              </w:tc>
              <w:tc>
                <w:tcPr>
                  <w:tcW w:w="1603" w:type="dxa"/>
                </w:tcPr>
                <w:p w14:paraId="5853946B" w14:textId="77777777" w:rsidR="00E93288" w:rsidRPr="000E5333" w:rsidRDefault="00E93288" w:rsidP="000E5333">
                  <w:pPr>
                    <w:pStyle w:val="Tabletext"/>
                    <w:framePr w:hSpace="180" w:wrap="around" w:vAnchor="text" w:hAnchor="text" w:x="-84" w:y="1"/>
                    <w:suppressOverlap/>
                    <w:jc w:val="center"/>
                    <w:outlineLvl w:val="0"/>
                  </w:pPr>
                  <w:r w:rsidRPr="000E5333">
                    <w:t>750 (1000)</w:t>
                  </w:r>
                </w:p>
              </w:tc>
              <w:tc>
                <w:tcPr>
                  <w:tcW w:w="1334" w:type="dxa"/>
                </w:tcPr>
                <w:p w14:paraId="1971B33A" w14:textId="77777777" w:rsidR="00E93288" w:rsidRPr="000E5333" w:rsidRDefault="00E93288" w:rsidP="000E5333">
                  <w:pPr>
                    <w:pStyle w:val="Tabletext"/>
                    <w:framePr w:hSpace="180" w:wrap="around" w:vAnchor="text" w:hAnchor="text" w:x="-84" w:y="1"/>
                    <w:suppressOverlap/>
                    <w:jc w:val="center"/>
                    <w:outlineLvl w:val="0"/>
                  </w:pPr>
                  <w:r w:rsidRPr="000E5333">
                    <w:t>500</w:t>
                  </w:r>
                </w:p>
              </w:tc>
              <w:tc>
                <w:tcPr>
                  <w:tcW w:w="3942" w:type="dxa"/>
                </w:tcPr>
                <w:p w14:paraId="39F57031" w14:textId="77777777" w:rsidR="00E93288" w:rsidRPr="000E5333" w:rsidRDefault="00E93288" w:rsidP="000E5333">
                  <w:pPr>
                    <w:pStyle w:val="Tabletext"/>
                    <w:framePr w:hSpace="180" w:wrap="around" w:vAnchor="text" w:hAnchor="text" w:x="-84" w:y="1"/>
                    <w:suppressOverlap/>
                    <w:jc w:val="center"/>
                    <w:outlineLvl w:val="0"/>
                  </w:pPr>
                  <w:r w:rsidRPr="000E5333">
                    <w:t>250 (500)</w:t>
                  </w:r>
                </w:p>
              </w:tc>
            </w:tr>
            <w:tr w:rsidR="00E93288" w:rsidRPr="000E5333" w14:paraId="7AEED27E" w14:textId="77777777" w:rsidTr="006E66CB">
              <w:trPr>
                <w:trHeight w:val="62"/>
                <w:jc w:val="center"/>
              </w:trPr>
              <w:tc>
                <w:tcPr>
                  <w:tcW w:w="1749" w:type="dxa"/>
                </w:tcPr>
                <w:p w14:paraId="366DFF05" w14:textId="77777777" w:rsidR="00E93288" w:rsidRPr="000E5333" w:rsidRDefault="00E93288" w:rsidP="000E5333">
                  <w:pPr>
                    <w:pStyle w:val="Tabletext"/>
                    <w:framePr w:hSpace="180" w:wrap="around" w:vAnchor="text" w:hAnchor="text" w:x="-84" w:y="1"/>
                    <w:suppressOverlap/>
                    <w:outlineLvl w:val="0"/>
                  </w:pPr>
                  <w:r w:rsidRPr="000E5333">
                    <w:t>Region 2</w:t>
                  </w:r>
                </w:p>
              </w:tc>
              <w:tc>
                <w:tcPr>
                  <w:tcW w:w="1603" w:type="dxa"/>
                </w:tcPr>
                <w:p w14:paraId="34DD21E8" w14:textId="77777777" w:rsidR="00E93288" w:rsidRPr="000E5333" w:rsidRDefault="00E93288" w:rsidP="000E5333">
                  <w:pPr>
                    <w:pStyle w:val="Tabletext"/>
                    <w:framePr w:hSpace="180" w:wrap="around" w:vAnchor="text" w:hAnchor="text" w:x="-84" w:y="1"/>
                    <w:suppressOverlap/>
                    <w:jc w:val="center"/>
                    <w:outlineLvl w:val="0"/>
                  </w:pPr>
                  <w:r w:rsidRPr="000E5333">
                    <w:t>1000</w:t>
                  </w:r>
                </w:p>
              </w:tc>
              <w:tc>
                <w:tcPr>
                  <w:tcW w:w="1334" w:type="dxa"/>
                </w:tcPr>
                <w:p w14:paraId="226A98E0" w14:textId="77777777" w:rsidR="00E93288" w:rsidRPr="000E5333" w:rsidRDefault="00E93288" w:rsidP="000E5333">
                  <w:pPr>
                    <w:pStyle w:val="Tabletext"/>
                    <w:framePr w:hSpace="180" w:wrap="around" w:vAnchor="text" w:hAnchor="text" w:x="-84" w:y="1"/>
                    <w:suppressOverlap/>
                    <w:jc w:val="center"/>
                    <w:outlineLvl w:val="0"/>
                  </w:pPr>
                  <w:r w:rsidRPr="000E5333">
                    <w:t>500</w:t>
                  </w:r>
                </w:p>
              </w:tc>
              <w:tc>
                <w:tcPr>
                  <w:tcW w:w="3942" w:type="dxa"/>
                </w:tcPr>
                <w:p w14:paraId="6E7789D0" w14:textId="77777777" w:rsidR="00E93288" w:rsidRPr="000E5333" w:rsidRDefault="00E93288" w:rsidP="000E5333">
                  <w:pPr>
                    <w:pStyle w:val="Tabletext"/>
                    <w:framePr w:hSpace="180" w:wrap="around" w:vAnchor="text" w:hAnchor="text" w:x="-84" w:y="1"/>
                    <w:suppressOverlap/>
                    <w:jc w:val="center"/>
                    <w:outlineLvl w:val="0"/>
                  </w:pPr>
                  <w:r w:rsidRPr="000E5333">
                    <w:t>500</w:t>
                  </w:r>
                </w:p>
              </w:tc>
            </w:tr>
            <w:tr w:rsidR="00E93288" w:rsidRPr="000E5333" w14:paraId="57245BD4" w14:textId="77777777" w:rsidTr="006E66CB">
              <w:trPr>
                <w:jc w:val="center"/>
              </w:trPr>
              <w:tc>
                <w:tcPr>
                  <w:tcW w:w="1749" w:type="dxa"/>
                </w:tcPr>
                <w:p w14:paraId="370E1533" w14:textId="77777777" w:rsidR="00E93288" w:rsidRPr="000E5333" w:rsidRDefault="00E93288" w:rsidP="000E5333">
                  <w:pPr>
                    <w:pStyle w:val="Tabletext"/>
                    <w:framePr w:hSpace="180" w:wrap="around" w:vAnchor="text" w:hAnchor="text" w:x="-84" w:y="1"/>
                    <w:suppressOverlap/>
                    <w:outlineLvl w:val="0"/>
                  </w:pPr>
                  <w:r w:rsidRPr="000E5333">
                    <w:t>Region 3</w:t>
                  </w:r>
                </w:p>
              </w:tc>
              <w:tc>
                <w:tcPr>
                  <w:tcW w:w="1603" w:type="dxa"/>
                </w:tcPr>
                <w:p w14:paraId="32500EE2" w14:textId="77777777" w:rsidR="00E93288" w:rsidRPr="000E5333" w:rsidRDefault="00E93288" w:rsidP="000E5333">
                  <w:pPr>
                    <w:pStyle w:val="Tabletext"/>
                    <w:framePr w:hSpace="180" w:wrap="around" w:vAnchor="text" w:hAnchor="text" w:x="-84" w:y="1"/>
                    <w:suppressOverlap/>
                    <w:jc w:val="center"/>
                    <w:outlineLvl w:val="0"/>
                  </w:pPr>
                  <w:r w:rsidRPr="000E5333">
                    <w:t>1050</w:t>
                  </w:r>
                </w:p>
              </w:tc>
              <w:tc>
                <w:tcPr>
                  <w:tcW w:w="1334" w:type="dxa"/>
                </w:tcPr>
                <w:p w14:paraId="4457C746" w14:textId="77777777" w:rsidR="00E93288" w:rsidRPr="000E5333" w:rsidRDefault="00E93288" w:rsidP="000E5333">
                  <w:pPr>
                    <w:pStyle w:val="Tabletext"/>
                    <w:framePr w:hSpace="180" w:wrap="around" w:vAnchor="text" w:hAnchor="text" w:x="-84" w:y="1"/>
                    <w:suppressOverlap/>
                    <w:jc w:val="center"/>
                    <w:outlineLvl w:val="0"/>
                  </w:pPr>
                  <w:r w:rsidRPr="000E5333">
                    <w:t>500</w:t>
                  </w:r>
                </w:p>
              </w:tc>
              <w:tc>
                <w:tcPr>
                  <w:tcW w:w="3942" w:type="dxa"/>
                </w:tcPr>
                <w:p w14:paraId="768493BB" w14:textId="77777777" w:rsidR="00E93288" w:rsidRPr="000E5333" w:rsidRDefault="00E93288" w:rsidP="000E5333">
                  <w:pPr>
                    <w:pStyle w:val="Tabletext"/>
                    <w:framePr w:hSpace="180" w:wrap="around" w:vAnchor="text" w:hAnchor="text" w:x="-84" w:y="1"/>
                    <w:suppressOverlap/>
                    <w:jc w:val="center"/>
                    <w:outlineLvl w:val="0"/>
                  </w:pPr>
                  <w:r w:rsidRPr="000E5333">
                    <w:t>550</w:t>
                  </w:r>
                </w:p>
              </w:tc>
            </w:tr>
          </w:tbl>
          <w:p w14:paraId="28E3A743" w14:textId="1D4B686C" w:rsidR="00E93288" w:rsidRPr="000E5333" w:rsidRDefault="00E93288" w:rsidP="00E93288">
            <w:pPr>
              <w:keepNext/>
              <w:spacing w:before="60"/>
              <w:outlineLvl w:val="0"/>
              <w:rPr>
                <w:bCs/>
              </w:rPr>
            </w:pPr>
            <w:r w:rsidRPr="000E5333">
              <w:rPr>
                <w:bCs/>
              </w:rPr>
              <w:t>It can be seen that for all three ITU-R Regions, there is a significant mismatch between the uplink and downlink bandwidth in the 10-15</w:t>
            </w:r>
            <w:r w:rsidR="007931EC" w:rsidRPr="000E5333">
              <w:rPr>
                <w:bCs/>
              </w:rPr>
              <w:t> </w:t>
            </w:r>
            <w:r w:rsidRPr="000E5333">
              <w:rPr>
                <w:bCs/>
              </w:rPr>
              <w:t>GHz range, not subject to RR Appendices</w:t>
            </w:r>
            <w:r w:rsidR="007931EC" w:rsidRPr="000E5333">
              <w:rPr>
                <w:bCs/>
              </w:rPr>
              <w:t> </w:t>
            </w:r>
            <w:r w:rsidRPr="000E5333">
              <w:rPr>
                <w:b/>
                <w:bCs/>
              </w:rPr>
              <w:t>30</w:t>
            </w:r>
            <w:r w:rsidRPr="000E5333">
              <w:rPr>
                <w:bCs/>
              </w:rPr>
              <w:t xml:space="preserve">, </w:t>
            </w:r>
            <w:r w:rsidRPr="000E5333">
              <w:rPr>
                <w:b/>
                <w:bCs/>
              </w:rPr>
              <w:t>30A</w:t>
            </w:r>
            <w:r w:rsidRPr="000E5333">
              <w:rPr>
                <w:bCs/>
              </w:rPr>
              <w:t xml:space="preserve"> or</w:t>
            </w:r>
            <w:r w:rsidR="007931EC" w:rsidRPr="000E5333">
              <w:rPr>
                <w:bCs/>
              </w:rPr>
              <w:t> </w:t>
            </w:r>
            <w:r w:rsidRPr="000E5333">
              <w:rPr>
                <w:b/>
                <w:bCs/>
              </w:rPr>
              <w:t>30B</w:t>
            </w:r>
            <w:r w:rsidRPr="000E5333">
              <w:rPr>
                <w:bCs/>
              </w:rPr>
              <w:t>, that can efficiently be used to provide services by small diameter GSO and non-GSO FSS earth station antennas, e.g.</w:t>
            </w:r>
            <w:r w:rsidR="007931EC" w:rsidRPr="000E5333">
              <w:rPr>
                <w:bCs/>
              </w:rPr>
              <w:t> </w:t>
            </w:r>
            <w:r w:rsidRPr="000E5333">
              <w:rPr>
                <w:bCs/>
              </w:rPr>
              <w:t xml:space="preserve">HTS or broadband user terminals and news gathering etc. </w:t>
            </w:r>
          </w:p>
          <w:p w14:paraId="4094879D" w14:textId="6DF19A97" w:rsidR="00E93288" w:rsidRPr="000E5333" w:rsidRDefault="00E93288" w:rsidP="00E93288">
            <w:pPr>
              <w:keepNext/>
              <w:spacing w:before="0"/>
              <w:outlineLvl w:val="0"/>
              <w:rPr>
                <w:bCs/>
              </w:rPr>
            </w:pPr>
            <w:r w:rsidRPr="000E5333">
              <w:rPr>
                <w:bCs/>
              </w:rPr>
              <w:t xml:space="preserve">The </w:t>
            </w:r>
            <w:r w:rsidR="00186962" w:rsidRPr="000E5333">
              <w:rPr>
                <w:bCs/>
              </w:rPr>
              <w:t xml:space="preserve">frequency band </w:t>
            </w:r>
            <w:r w:rsidRPr="000E5333">
              <w:rPr>
                <w:bCs/>
              </w:rPr>
              <w:t>13.75-14</w:t>
            </w:r>
            <w:r w:rsidR="007931EC" w:rsidRPr="000E5333">
              <w:rPr>
                <w:bCs/>
              </w:rPr>
              <w:t> </w:t>
            </w:r>
            <w:r w:rsidRPr="000E5333">
              <w:rPr>
                <w:bCs/>
              </w:rPr>
              <w:t>GHz was allocated globally by WARC</w:t>
            </w:r>
            <w:r w:rsidR="007931EC" w:rsidRPr="000E5333">
              <w:rPr>
                <w:bCs/>
              </w:rPr>
              <w:noBreakHyphen/>
            </w:r>
            <w:r w:rsidRPr="000E5333">
              <w:rPr>
                <w:bCs/>
              </w:rPr>
              <w:t>92 for FSS, but limitations were introduced through RR Nos.</w:t>
            </w:r>
            <w:r w:rsidR="007931EC" w:rsidRPr="000E5333">
              <w:rPr>
                <w:bCs/>
              </w:rPr>
              <w:t> </w:t>
            </w:r>
            <w:r w:rsidRPr="000E5333">
              <w:rPr>
                <w:b/>
                <w:bCs/>
              </w:rPr>
              <w:t>5.502</w:t>
            </w:r>
            <w:r w:rsidRPr="000E5333">
              <w:rPr>
                <w:bCs/>
              </w:rPr>
              <w:t xml:space="preserve"> and</w:t>
            </w:r>
            <w:r w:rsidR="007931EC" w:rsidRPr="000E5333">
              <w:rPr>
                <w:bCs/>
              </w:rPr>
              <w:t> </w:t>
            </w:r>
            <w:r w:rsidRPr="000E5333">
              <w:rPr>
                <w:b/>
                <w:bCs/>
              </w:rPr>
              <w:t>5.503</w:t>
            </w:r>
            <w:r w:rsidRPr="000E5333">
              <w:rPr>
                <w:bCs/>
              </w:rPr>
              <w:t xml:space="preserve"> to enhance compatibilities with other services. These limitations significantly limits the potential for efficient use of the frequency band by FSS earth stations and further enhances the mismatch between uplink and downlink bandwidth. The last review to these footnotes happened 20</w:t>
            </w:r>
            <w:r w:rsidR="007931EC" w:rsidRPr="000E5333">
              <w:rPr>
                <w:bCs/>
              </w:rPr>
              <w:t> </w:t>
            </w:r>
            <w:r w:rsidRPr="000E5333">
              <w:rPr>
                <w:bCs/>
              </w:rPr>
              <w:t>years ago at WRC</w:t>
            </w:r>
            <w:r w:rsidR="007931EC" w:rsidRPr="000E5333">
              <w:rPr>
                <w:bCs/>
              </w:rPr>
              <w:noBreakHyphen/>
            </w:r>
            <w:r w:rsidRPr="000E5333">
              <w:rPr>
                <w:bCs/>
              </w:rPr>
              <w:t>03, but the efficient use of the 13.75</w:t>
            </w:r>
            <w:r w:rsidR="00F2497B" w:rsidRPr="000E5333">
              <w:rPr>
                <w:bCs/>
              </w:rPr>
              <w:t>-</w:t>
            </w:r>
            <w:r w:rsidRPr="000E5333">
              <w:rPr>
                <w:bCs/>
              </w:rPr>
              <w:t>14</w:t>
            </w:r>
            <w:r w:rsidR="007931EC" w:rsidRPr="000E5333">
              <w:rPr>
                <w:bCs/>
              </w:rPr>
              <w:t> </w:t>
            </w:r>
            <w:r w:rsidRPr="000E5333">
              <w:rPr>
                <w:bCs/>
              </w:rPr>
              <w:t xml:space="preserve">GHz band, including the use of smaller diameter GSO and non-GSO FSS uplink earth station antennas in this frequency band is still not allowed. </w:t>
            </w:r>
          </w:p>
          <w:p w14:paraId="1D235672" w14:textId="583C18EB" w:rsidR="00E93288" w:rsidRPr="000E5333" w:rsidRDefault="00E93288" w:rsidP="00E93288">
            <w:pPr>
              <w:keepNext/>
              <w:spacing w:before="0"/>
              <w:outlineLvl w:val="0"/>
            </w:pPr>
            <w:r w:rsidRPr="000E5333">
              <w:t>For RR No.</w:t>
            </w:r>
            <w:r w:rsidR="007931EC" w:rsidRPr="000E5333">
              <w:t> </w:t>
            </w:r>
            <w:r w:rsidRPr="000E5333">
              <w:rPr>
                <w:b/>
              </w:rPr>
              <w:t>5.502</w:t>
            </w:r>
            <w:r w:rsidRPr="000E5333">
              <w:t>, a review on the FSS earth station limitations could reduce the mismatch between the uplink and downlink Ku band, and alleviate the pressure and increasing need for the use of small diameter FSS earth station antenna in the Ku band. Preliminary studies have indicated that the use of small diameter FSS earth station antenna sizes could keep the potential interference into radiolocation and radionavigation services unchanged.</w:t>
            </w:r>
            <w:bookmarkStart w:id="9" w:name="_Hlk128066573"/>
          </w:p>
          <w:p w14:paraId="6FB82708" w14:textId="198CBB33" w:rsidR="00E93288" w:rsidRPr="000E5333" w:rsidRDefault="00E93288" w:rsidP="00E93288">
            <w:pPr>
              <w:keepNext/>
              <w:spacing w:before="0"/>
              <w:outlineLvl w:val="0"/>
              <w:rPr>
                <w:bCs/>
              </w:rPr>
            </w:pPr>
            <w:r w:rsidRPr="000E5333">
              <w:t>For RR No.</w:t>
            </w:r>
            <w:r w:rsidR="007931EC" w:rsidRPr="000E5333">
              <w:t> </w:t>
            </w:r>
            <w:r w:rsidRPr="000E5333">
              <w:rPr>
                <w:b/>
                <w:bCs/>
              </w:rPr>
              <w:t>5.503</w:t>
            </w:r>
            <w:r w:rsidRPr="000E5333">
              <w:t xml:space="preserve">, FSS earth stations need to protect </w:t>
            </w:r>
            <w:r w:rsidR="007931EC" w:rsidRPr="000E5333">
              <w:t>five</w:t>
            </w:r>
            <w:r w:rsidRPr="000E5333">
              <w:t xml:space="preserve"> specific SRS receiving earth stations within</w:t>
            </w:r>
            <w:r w:rsidR="007931EC" w:rsidRPr="000E5333">
              <w:t xml:space="preserve"> eight</w:t>
            </w:r>
            <w:r w:rsidRPr="000E5333">
              <w:t xml:space="preserve"> SRS networks on a global scale. Preliminary studies have also indicated that among the </w:t>
            </w:r>
            <w:r w:rsidR="007931EC" w:rsidRPr="000E5333">
              <w:t xml:space="preserve">five </w:t>
            </w:r>
            <w:r w:rsidRPr="000E5333">
              <w:t>GSO to non-GSO space-to-space TDRS links, only one ISS link is valid which needs to be protected until</w:t>
            </w:r>
            <w:r w:rsidR="007931EC" w:rsidRPr="000E5333">
              <w:t> </w:t>
            </w:r>
            <w:r w:rsidRPr="000E5333">
              <w:t>year 2030.</w:t>
            </w:r>
            <w:bookmarkEnd w:id="9"/>
            <w:r w:rsidRPr="000E5333">
              <w:rPr>
                <w:bCs/>
              </w:rPr>
              <w:t xml:space="preserve"> Consideration of case-by-case site</w:t>
            </w:r>
            <w:r w:rsidR="007931EC" w:rsidRPr="000E5333">
              <w:rPr>
                <w:bCs/>
              </w:rPr>
              <w:t>-</w:t>
            </w:r>
            <w:r w:rsidRPr="000E5333">
              <w:rPr>
                <w:bCs/>
              </w:rPr>
              <w:t>specific sharing conditions instead of global limitations therefore would be a better approach.</w:t>
            </w:r>
          </w:p>
          <w:p w14:paraId="3C239A89" w14:textId="559E29C1" w:rsidR="00E93288" w:rsidRPr="000E5333" w:rsidRDefault="00E93288" w:rsidP="00E93288">
            <w:pPr>
              <w:keepNext/>
              <w:rPr>
                <w:b/>
                <w:i/>
              </w:rPr>
            </w:pPr>
            <w:r w:rsidRPr="000E5333">
              <w:rPr>
                <w:bCs/>
              </w:rPr>
              <w:t>To meet the evolving demands for FSS satellite applications in the 10-15</w:t>
            </w:r>
            <w:r w:rsidR="007931EC" w:rsidRPr="000E5333">
              <w:rPr>
                <w:bCs/>
              </w:rPr>
              <w:t> </w:t>
            </w:r>
            <w:r w:rsidRPr="000E5333">
              <w:rPr>
                <w:bCs/>
              </w:rPr>
              <w:t xml:space="preserve">GHz range, studies on </w:t>
            </w:r>
            <w:r w:rsidRPr="000E5333">
              <w:t>possible revision of sharing conditions for the frequency band 13.75-14</w:t>
            </w:r>
            <w:r w:rsidR="007931EC" w:rsidRPr="000E5333">
              <w:t> </w:t>
            </w:r>
            <w:r w:rsidRPr="000E5333">
              <w:t>GHz required to enable efficient use of the band by uplink FSS earth stations, including earth stations using smaller antenna sizes.</w:t>
            </w:r>
          </w:p>
        </w:tc>
      </w:tr>
      <w:tr w:rsidR="00E93288" w:rsidRPr="000E5333" w14:paraId="2E5762E2" w14:textId="77777777" w:rsidTr="006E66CB">
        <w:trPr>
          <w:cantSplit/>
        </w:trPr>
        <w:tc>
          <w:tcPr>
            <w:tcW w:w="9723" w:type="dxa"/>
            <w:gridSpan w:val="2"/>
            <w:tcBorders>
              <w:top w:val="single" w:sz="4" w:space="0" w:color="auto"/>
              <w:left w:val="nil"/>
              <w:bottom w:val="single" w:sz="4" w:space="0" w:color="auto"/>
              <w:right w:val="nil"/>
            </w:tcBorders>
          </w:tcPr>
          <w:p w14:paraId="4FD4EA6A" w14:textId="77777777" w:rsidR="00E93288" w:rsidRPr="000E5333" w:rsidRDefault="00E93288" w:rsidP="006E66CB">
            <w:pPr>
              <w:keepNext/>
              <w:rPr>
                <w:b/>
                <w:i/>
              </w:rPr>
            </w:pPr>
            <w:r w:rsidRPr="000E5333">
              <w:rPr>
                <w:b/>
                <w:i/>
              </w:rPr>
              <w:lastRenderedPageBreak/>
              <w:t>Radiocommunication services concerned</w:t>
            </w:r>
            <w:r w:rsidRPr="000E5333">
              <w:rPr>
                <w:b/>
                <w:iCs/>
              </w:rPr>
              <w:t>:</w:t>
            </w:r>
          </w:p>
          <w:p w14:paraId="3631C4CB" w14:textId="1053B3D1" w:rsidR="00E93288" w:rsidRPr="000E5333" w:rsidRDefault="00E93288" w:rsidP="006E66CB">
            <w:pPr>
              <w:keepNext/>
              <w:rPr>
                <w:b/>
                <w:i/>
              </w:rPr>
            </w:pPr>
            <w:r w:rsidRPr="000E5333">
              <w:rPr>
                <w:bCs/>
              </w:rPr>
              <w:t>The allocated radiocommunication services in the 13.75-14</w:t>
            </w:r>
            <w:r w:rsidR="007931EC" w:rsidRPr="000E5333">
              <w:rPr>
                <w:bCs/>
              </w:rPr>
              <w:t> </w:t>
            </w:r>
            <w:r w:rsidRPr="000E5333">
              <w:rPr>
                <w:bCs/>
              </w:rPr>
              <w:t>GHz band, in particular the radiolocation and space research services.</w:t>
            </w:r>
          </w:p>
        </w:tc>
      </w:tr>
      <w:tr w:rsidR="00E93288" w:rsidRPr="000E5333" w14:paraId="6C2EDE17" w14:textId="77777777" w:rsidTr="006E66CB">
        <w:trPr>
          <w:cantSplit/>
        </w:trPr>
        <w:tc>
          <w:tcPr>
            <w:tcW w:w="9723" w:type="dxa"/>
            <w:gridSpan w:val="2"/>
            <w:tcBorders>
              <w:top w:val="single" w:sz="4" w:space="0" w:color="auto"/>
              <w:left w:val="nil"/>
              <w:bottom w:val="single" w:sz="4" w:space="0" w:color="auto"/>
              <w:right w:val="nil"/>
            </w:tcBorders>
          </w:tcPr>
          <w:p w14:paraId="69794859" w14:textId="77777777" w:rsidR="00E93288" w:rsidRPr="000E5333" w:rsidRDefault="00E93288" w:rsidP="006E66CB">
            <w:pPr>
              <w:keepNext/>
              <w:rPr>
                <w:b/>
                <w:i/>
              </w:rPr>
            </w:pPr>
            <w:r w:rsidRPr="000E5333">
              <w:rPr>
                <w:b/>
                <w:i/>
              </w:rPr>
              <w:t>Indication of possible difficulties</w:t>
            </w:r>
            <w:r w:rsidRPr="000E5333">
              <w:rPr>
                <w:b/>
                <w:iCs/>
              </w:rPr>
              <w:t>:</w:t>
            </w:r>
          </w:p>
          <w:p w14:paraId="6CD96CC6" w14:textId="684D6C9F" w:rsidR="00E93288" w:rsidRPr="000E5333" w:rsidRDefault="00E93288" w:rsidP="006E66CB">
            <w:pPr>
              <w:keepNext/>
              <w:rPr>
                <w:b/>
                <w:i/>
              </w:rPr>
            </w:pPr>
            <w:r w:rsidRPr="000E5333">
              <w:rPr>
                <w:iCs/>
                <w:lang w:eastAsia="zh-CN"/>
              </w:rPr>
              <w:t>To be identified during the course of studies.</w:t>
            </w:r>
          </w:p>
        </w:tc>
      </w:tr>
      <w:tr w:rsidR="00E93288" w:rsidRPr="000E5333" w14:paraId="38CFA2DB" w14:textId="77777777" w:rsidTr="006E66CB">
        <w:trPr>
          <w:cantSplit/>
        </w:trPr>
        <w:tc>
          <w:tcPr>
            <w:tcW w:w="9723" w:type="dxa"/>
            <w:gridSpan w:val="2"/>
            <w:tcBorders>
              <w:top w:val="single" w:sz="4" w:space="0" w:color="auto"/>
              <w:left w:val="nil"/>
              <w:bottom w:val="single" w:sz="4" w:space="0" w:color="auto"/>
              <w:right w:val="nil"/>
            </w:tcBorders>
          </w:tcPr>
          <w:p w14:paraId="5D0B036D" w14:textId="77777777" w:rsidR="00E93288" w:rsidRPr="000E5333" w:rsidRDefault="00E93288" w:rsidP="006E66CB">
            <w:pPr>
              <w:keepNext/>
              <w:rPr>
                <w:b/>
                <w:i/>
              </w:rPr>
            </w:pPr>
            <w:r w:rsidRPr="000E5333">
              <w:rPr>
                <w:b/>
                <w:i/>
              </w:rPr>
              <w:t>Previous/ongoing studies on the issue</w:t>
            </w:r>
            <w:r w:rsidRPr="000E5333">
              <w:rPr>
                <w:b/>
                <w:iCs/>
              </w:rPr>
              <w:t>:</w:t>
            </w:r>
          </w:p>
          <w:p w14:paraId="0A8F5C2B" w14:textId="2DE74F62" w:rsidR="00E93288" w:rsidRPr="000E5333" w:rsidRDefault="00E93288" w:rsidP="006E66CB">
            <w:pPr>
              <w:keepNext/>
              <w:rPr>
                <w:b/>
                <w:i/>
              </w:rPr>
            </w:pPr>
            <w:r w:rsidRPr="000E5333">
              <w:rPr>
                <w:bCs/>
              </w:rPr>
              <w:t>Studies during WRC</w:t>
            </w:r>
            <w:r w:rsidR="007931EC" w:rsidRPr="000E5333">
              <w:rPr>
                <w:bCs/>
              </w:rPr>
              <w:noBreakHyphen/>
            </w:r>
            <w:r w:rsidRPr="000E5333">
              <w:rPr>
                <w:bCs/>
              </w:rPr>
              <w:t>03 study period.</w:t>
            </w:r>
          </w:p>
        </w:tc>
      </w:tr>
      <w:tr w:rsidR="00E93288" w:rsidRPr="000E5333" w14:paraId="2FB23590" w14:textId="77777777" w:rsidTr="006E66CB">
        <w:trPr>
          <w:cantSplit/>
        </w:trPr>
        <w:tc>
          <w:tcPr>
            <w:tcW w:w="4897" w:type="dxa"/>
            <w:tcBorders>
              <w:top w:val="single" w:sz="4" w:space="0" w:color="auto"/>
              <w:left w:val="nil"/>
              <w:bottom w:val="single" w:sz="4" w:space="0" w:color="auto"/>
              <w:right w:val="single" w:sz="4" w:space="0" w:color="auto"/>
            </w:tcBorders>
          </w:tcPr>
          <w:p w14:paraId="04C3F698" w14:textId="3F0AC871" w:rsidR="00E93288" w:rsidRPr="000E5333" w:rsidRDefault="00E93288" w:rsidP="006E66CB">
            <w:pPr>
              <w:keepNext/>
              <w:rPr>
                <w:b/>
                <w:i/>
                <w:color w:val="000000"/>
              </w:rPr>
            </w:pPr>
            <w:r w:rsidRPr="000E5333">
              <w:rPr>
                <w:b/>
                <w:i/>
                <w:color w:val="000000"/>
              </w:rPr>
              <w:t>Studies to be carried out by</w:t>
            </w:r>
            <w:r w:rsidRPr="000E5333">
              <w:rPr>
                <w:b/>
                <w:iCs/>
                <w:color w:val="000000"/>
              </w:rPr>
              <w:t>:</w:t>
            </w:r>
            <w:r w:rsidRPr="000E5333">
              <w:rPr>
                <w:bCs/>
                <w:color w:val="000000"/>
              </w:rPr>
              <w:t xml:space="preserve"> ITU</w:t>
            </w:r>
            <w:r w:rsidR="007931EC" w:rsidRPr="000E5333">
              <w:rPr>
                <w:bCs/>
                <w:color w:val="000000"/>
              </w:rPr>
              <w:noBreakHyphen/>
            </w:r>
            <w:r w:rsidRPr="000E5333">
              <w:rPr>
                <w:bCs/>
                <w:color w:val="000000"/>
              </w:rPr>
              <w:t>R WP</w:t>
            </w:r>
            <w:r w:rsidR="007931EC" w:rsidRPr="000E5333">
              <w:rPr>
                <w:bCs/>
                <w:color w:val="000000"/>
              </w:rPr>
              <w:t> </w:t>
            </w:r>
            <w:r w:rsidRPr="000E5333">
              <w:rPr>
                <w:bCs/>
                <w:color w:val="000000"/>
              </w:rPr>
              <w:t>4A as responsible group</w:t>
            </w:r>
          </w:p>
        </w:tc>
        <w:tc>
          <w:tcPr>
            <w:tcW w:w="4826" w:type="dxa"/>
            <w:tcBorders>
              <w:top w:val="single" w:sz="4" w:space="0" w:color="auto"/>
              <w:left w:val="single" w:sz="4" w:space="0" w:color="auto"/>
              <w:bottom w:val="single" w:sz="4" w:space="0" w:color="auto"/>
              <w:right w:val="nil"/>
            </w:tcBorders>
            <w:hideMark/>
          </w:tcPr>
          <w:p w14:paraId="6CD7D924" w14:textId="227BFEDF" w:rsidR="00E93288" w:rsidRPr="000E5333" w:rsidRDefault="00E93288" w:rsidP="006E66CB">
            <w:pPr>
              <w:keepNext/>
              <w:rPr>
                <w:b/>
                <w:i/>
                <w:color w:val="000000"/>
              </w:rPr>
            </w:pPr>
            <w:r w:rsidRPr="000E5333">
              <w:rPr>
                <w:b/>
                <w:i/>
                <w:color w:val="000000"/>
              </w:rPr>
              <w:t>with the participation of</w:t>
            </w:r>
            <w:r w:rsidRPr="000E5333">
              <w:rPr>
                <w:b/>
                <w:iCs/>
                <w:color w:val="000000"/>
              </w:rPr>
              <w:t>:</w:t>
            </w:r>
            <w:r w:rsidRPr="000E5333">
              <w:rPr>
                <w:iCs/>
                <w:color w:val="000000"/>
                <w:lang w:eastAsia="zh-CN"/>
              </w:rPr>
              <w:t xml:space="preserve"> ITU</w:t>
            </w:r>
            <w:r w:rsidR="007931EC" w:rsidRPr="000E5333">
              <w:rPr>
                <w:iCs/>
                <w:color w:val="000000"/>
                <w:lang w:eastAsia="zh-CN"/>
              </w:rPr>
              <w:noBreakHyphen/>
            </w:r>
            <w:r w:rsidRPr="000E5333">
              <w:rPr>
                <w:iCs/>
                <w:color w:val="000000"/>
                <w:lang w:eastAsia="zh-CN"/>
              </w:rPr>
              <w:t>R WP</w:t>
            </w:r>
            <w:r w:rsidR="007931EC" w:rsidRPr="000E5333">
              <w:rPr>
                <w:iCs/>
                <w:color w:val="000000"/>
                <w:lang w:eastAsia="zh-CN"/>
              </w:rPr>
              <w:t> </w:t>
            </w:r>
            <w:r w:rsidRPr="000E5333">
              <w:rPr>
                <w:iCs/>
                <w:color w:val="000000"/>
                <w:lang w:eastAsia="zh-CN"/>
              </w:rPr>
              <w:t>5B,</w:t>
            </w:r>
            <w:r w:rsidR="007931EC" w:rsidRPr="000E5333">
              <w:rPr>
                <w:iCs/>
                <w:color w:val="000000"/>
                <w:lang w:eastAsia="zh-CN"/>
              </w:rPr>
              <w:t> </w:t>
            </w:r>
            <w:r w:rsidRPr="000E5333">
              <w:rPr>
                <w:iCs/>
                <w:color w:val="000000"/>
                <w:lang w:eastAsia="zh-CN"/>
              </w:rPr>
              <w:t>7B</w:t>
            </w:r>
          </w:p>
        </w:tc>
      </w:tr>
      <w:tr w:rsidR="00E93288" w:rsidRPr="000E5333" w14:paraId="1BC0E23C" w14:textId="77777777" w:rsidTr="006E66CB">
        <w:trPr>
          <w:cantSplit/>
        </w:trPr>
        <w:tc>
          <w:tcPr>
            <w:tcW w:w="9723" w:type="dxa"/>
            <w:gridSpan w:val="2"/>
            <w:tcBorders>
              <w:top w:val="single" w:sz="4" w:space="0" w:color="auto"/>
              <w:left w:val="nil"/>
              <w:bottom w:val="single" w:sz="4" w:space="0" w:color="auto"/>
              <w:right w:val="nil"/>
            </w:tcBorders>
          </w:tcPr>
          <w:p w14:paraId="62BD95F9" w14:textId="6DD3CD49" w:rsidR="00E93288" w:rsidRPr="000E5333" w:rsidRDefault="00E93288" w:rsidP="006E66CB">
            <w:pPr>
              <w:keepNext/>
              <w:rPr>
                <w:b/>
                <w:i/>
                <w:color w:val="000000"/>
              </w:rPr>
            </w:pPr>
            <w:r w:rsidRPr="000E5333">
              <w:rPr>
                <w:b/>
                <w:i/>
                <w:color w:val="000000"/>
              </w:rPr>
              <w:t>ITU</w:t>
            </w:r>
            <w:r w:rsidRPr="000E5333">
              <w:rPr>
                <w:b/>
                <w:i/>
                <w:color w:val="000000"/>
              </w:rPr>
              <w:noBreakHyphen/>
              <w:t>R study groups concerned</w:t>
            </w:r>
            <w:r w:rsidRPr="000E5333">
              <w:rPr>
                <w:b/>
                <w:iCs/>
                <w:color w:val="000000"/>
              </w:rPr>
              <w:t>:</w:t>
            </w:r>
            <w:r w:rsidRPr="000E5333">
              <w:rPr>
                <w:iCs/>
                <w:color w:val="000000"/>
                <w:lang w:eastAsia="zh-CN"/>
              </w:rPr>
              <w:t xml:space="preserve"> ITU</w:t>
            </w:r>
            <w:r w:rsidR="007931EC" w:rsidRPr="000E5333">
              <w:rPr>
                <w:iCs/>
                <w:color w:val="000000"/>
                <w:lang w:eastAsia="zh-CN"/>
              </w:rPr>
              <w:noBreakHyphen/>
            </w:r>
            <w:r w:rsidRPr="000E5333">
              <w:rPr>
                <w:iCs/>
                <w:color w:val="000000"/>
                <w:lang w:eastAsia="zh-CN"/>
              </w:rPr>
              <w:t>R SG</w:t>
            </w:r>
            <w:r w:rsidR="007931EC" w:rsidRPr="000E5333">
              <w:rPr>
                <w:iCs/>
                <w:color w:val="000000"/>
                <w:lang w:eastAsia="zh-CN"/>
              </w:rPr>
              <w:t> </w:t>
            </w:r>
            <w:r w:rsidRPr="000E5333">
              <w:rPr>
                <w:iCs/>
                <w:color w:val="000000"/>
                <w:lang w:eastAsia="zh-CN"/>
              </w:rPr>
              <w:t>4, SG</w:t>
            </w:r>
            <w:r w:rsidR="007931EC" w:rsidRPr="000E5333">
              <w:rPr>
                <w:iCs/>
                <w:color w:val="000000"/>
                <w:lang w:eastAsia="zh-CN"/>
              </w:rPr>
              <w:t> </w:t>
            </w:r>
            <w:r w:rsidRPr="000E5333">
              <w:rPr>
                <w:iCs/>
                <w:color w:val="000000"/>
                <w:lang w:eastAsia="zh-CN"/>
              </w:rPr>
              <w:t>5 and SG</w:t>
            </w:r>
            <w:r w:rsidR="007931EC" w:rsidRPr="000E5333">
              <w:rPr>
                <w:iCs/>
                <w:color w:val="000000"/>
                <w:lang w:eastAsia="zh-CN"/>
              </w:rPr>
              <w:t> </w:t>
            </w:r>
            <w:r w:rsidRPr="000E5333">
              <w:rPr>
                <w:iCs/>
                <w:color w:val="000000"/>
                <w:lang w:eastAsia="zh-CN"/>
              </w:rPr>
              <w:t>7</w:t>
            </w:r>
          </w:p>
          <w:p w14:paraId="1E2F684C" w14:textId="77777777" w:rsidR="00E93288" w:rsidRPr="000E5333" w:rsidRDefault="00E93288" w:rsidP="006E66CB">
            <w:pPr>
              <w:keepNext/>
              <w:rPr>
                <w:b/>
                <w:i/>
              </w:rPr>
            </w:pPr>
          </w:p>
        </w:tc>
      </w:tr>
      <w:tr w:rsidR="00E93288" w:rsidRPr="000E5333" w14:paraId="00E1EF8D" w14:textId="77777777" w:rsidTr="006E66CB">
        <w:trPr>
          <w:cantSplit/>
        </w:trPr>
        <w:tc>
          <w:tcPr>
            <w:tcW w:w="9723" w:type="dxa"/>
            <w:gridSpan w:val="2"/>
            <w:tcBorders>
              <w:top w:val="single" w:sz="4" w:space="0" w:color="auto"/>
              <w:left w:val="nil"/>
              <w:bottom w:val="single" w:sz="4" w:space="0" w:color="auto"/>
              <w:right w:val="nil"/>
            </w:tcBorders>
          </w:tcPr>
          <w:p w14:paraId="7BEE528D" w14:textId="09095F08" w:rsidR="00E93288" w:rsidRPr="000E5333" w:rsidRDefault="00E93288" w:rsidP="00E93288">
            <w:pPr>
              <w:keepNext/>
              <w:rPr>
                <w:b/>
                <w:i/>
              </w:rPr>
            </w:pPr>
            <w:r w:rsidRPr="000E5333">
              <w:rPr>
                <w:b/>
                <w:i/>
              </w:rPr>
              <w:lastRenderedPageBreak/>
              <w:t>ITU resource implications, including financial implications (refer to CV126)</w:t>
            </w:r>
            <w:r w:rsidRPr="000E5333">
              <w:rPr>
                <w:b/>
                <w:iCs/>
              </w:rPr>
              <w:t>:</w:t>
            </w:r>
            <w:r w:rsidRPr="000E5333">
              <w:rPr>
                <w:bCs/>
              </w:rPr>
              <w:t xml:space="preserve"> Work to be conducted as a part of the regular work of the involved ITU</w:t>
            </w:r>
            <w:r w:rsidR="007931EC" w:rsidRPr="000E5333">
              <w:rPr>
                <w:bCs/>
              </w:rPr>
              <w:noBreakHyphen/>
            </w:r>
            <w:r w:rsidRPr="000E5333">
              <w:rPr>
                <w:bCs/>
              </w:rPr>
              <w:t>R working parties. No direct financial implications have been identified to date.</w:t>
            </w:r>
          </w:p>
        </w:tc>
      </w:tr>
      <w:tr w:rsidR="00E93288" w:rsidRPr="000E5333" w14:paraId="3A12B6AB" w14:textId="77777777" w:rsidTr="006E66CB">
        <w:trPr>
          <w:cantSplit/>
        </w:trPr>
        <w:tc>
          <w:tcPr>
            <w:tcW w:w="4897" w:type="dxa"/>
            <w:tcBorders>
              <w:top w:val="single" w:sz="4" w:space="0" w:color="auto"/>
              <w:left w:val="nil"/>
              <w:bottom w:val="single" w:sz="4" w:space="0" w:color="auto"/>
              <w:right w:val="nil"/>
            </w:tcBorders>
            <w:hideMark/>
          </w:tcPr>
          <w:p w14:paraId="76AF9F4E" w14:textId="42B9BA46" w:rsidR="00E93288" w:rsidRPr="000E5333" w:rsidRDefault="00E93288" w:rsidP="006E66CB">
            <w:pPr>
              <w:keepNext/>
              <w:rPr>
                <w:b/>
                <w:iCs/>
              </w:rPr>
            </w:pPr>
            <w:r w:rsidRPr="000E5333">
              <w:rPr>
                <w:b/>
                <w:i/>
              </w:rPr>
              <w:t>Common regional proposal</w:t>
            </w:r>
            <w:r w:rsidRPr="000E5333">
              <w:rPr>
                <w:b/>
                <w:iCs/>
              </w:rPr>
              <w:t xml:space="preserve">: </w:t>
            </w:r>
            <w:r w:rsidRPr="000E5333">
              <w:rPr>
                <w:bCs/>
                <w:iCs/>
              </w:rPr>
              <w:t>No</w:t>
            </w:r>
          </w:p>
        </w:tc>
        <w:tc>
          <w:tcPr>
            <w:tcW w:w="4826" w:type="dxa"/>
            <w:tcBorders>
              <w:top w:val="single" w:sz="4" w:space="0" w:color="auto"/>
              <w:left w:val="nil"/>
              <w:bottom w:val="single" w:sz="4" w:space="0" w:color="auto"/>
              <w:right w:val="nil"/>
            </w:tcBorders>
          </w:tcPr>
          <w:p w14:paraId="4A7F5E2F" w14:textId="18EC5BC8" w:rsidR="00E93288" w:rsidRPr="000E5333" w:rsidRDefault="00E93288" w:rsidP="006E66CB">
            <w:pPr>
              <w:keepNext/>
              <w:rPr>
                <w:b/>
                <w:iCs/>
              </w:rPr>
            </w:pPr>
            <w:r w:rsidRPr="000E5333">
              <w:rPr>
                <w:b/>
                <w:i/>
              </w:rPr>
              <w:t>Multicountry proposal</w:t>
            </w:r>
            <w:r w:rsidRPr="000E5333">
              <w:rPr>
                <w:b/>
                <w:iCs/>
              </w:rPr>
              <w:t xml:space="preserve">: </w:t>
            </w:r>
            <w:r w:rsidRPr="000E5333">
              <w:rPr>
                <w:bCs/>
                <w:iCs/>
              </w:rPr>
              <w:t>Yes</w:t>
            </w:r>
          </w:p>
          <w:p w14:paraId="134D1734" w14:textId="4607CB93" w:rsidR="00E93288" w:rsidRPr="000E5333" w:rsidRDefault="00E93288" w:rsidP="006E66CB">
            <w:pPr>
              <w:keepNext/>
              <w:rPr>
                <w:b/>
                <w:i/>
              </w:rPr>
            </w:pPr>
            <w:r w:rsidRPr="000E5333">
              <w:rPr>
                <w:b/>
                <w:i/>
              </w:rPr>
              <w:t>Number of countries</w:t>
            </w:r>
            <w:r w:rsidRPr="000E5333">
              <w:rPr>
                <w:b/>
                <w:iCs/>
              </w:rPr>
              <w:t xml:space="preserve">: </w:t>
            </w:r>
            <w:r w:rsidRPr="000E5333">
              <w:rPr>
                <w:bCs/>
                <w:iCs/>
              </w:rPr>
              <w:t>5</w:t>
            </w:r>
          </w:p>
          <w:p w14:paraId="0F7FEF79" w14:textId="77777777" w:rsidR="00E93288" w:rsidRPr="000E5333" w:rsidRDefault="00E93288" w:rsidP="006E66CB">
            <w:pPr>
              <w:keepNext/>
              <w:rPr>
                <w:b/>
                <w:i/>
              </w:rPr>
            </w:pPr>
          </w:p>
        </w:tc>
      </w:tr>
      <w:tr w:rsidR="00E93288" w:rsidRPr="000E5333" w14:paraId="0641C45F" w14:textId="77777777" w:rsidTr="006E66CB">
        <w:trPr>
          <w:cantSplit/>
        </w:trPr>
        <w:tc>
          <w:tcPr>
            <w:tcW w:w="9723" w:type="dxa"/>
            <w:gridSpan w:val="2"/>
            <w:tcBorders>
              <w:top w:val="single" w:sz="4" w:space="0" w:color="auto"/>
              <w:left w:val="nil"/>
              <w:bottom w:val="nil"/>
              <w:right w:val="nil"/>
            </w:tcBorders>
          </w:tcPr>
          <w:p w14:paraId="7AF6A36C" w14:textId="77777777" w:rsidR="00E93288" w:rsidRPr="000E5333" w:rsidRDefault="00E93288" w:rsidP="006E66CB">
            <w:pPr>
              <w:rPr>
                <w:b/>
                <w:i/>
              </w:rPr>
            </w:pPr>
            <w:r w:rsidRPr="000E5333">
              <w:rPr>
                <w:b/>
                <w:i/>
              </w:rPr>
              <w:t>Remarks</w:t>
            </w:r>
          </w:p>
          <w:p w14:paraId="62E85640" w14:textId="77777777" w:rsidR="00E93288" w:rsidRPr="000E5333" w:rsidRDefault="00E93288" w:rsidP="006E66CB">
            <w:pPr>
              <w:rPr>
                <w:b/>
                <w:i/>
              </w:rPr>
            </w:pPr>
          </w:p>
        </w:tc>
      </w:tr>
    </w:tbl>
    <w:bookmarkEnd w:id="8"/>
    <w:p w14:paraId="28F179E2" w14:textId="2A0C448C" w:rsidR="00E93288" w:rsidRPr="007931EC" w:rsidRDefault="00E93288" w:rsidP="00D54A0E">
      <w:pPr>
        <w:jc w:val="center"/>
        <w:rPr>
          <w:lang w:val="en-US"/>
        </w:rPr>
      </w:pPr>
      <w:r w:rsidRPr="000E5333">
        <w:t>________________</w:t>
      </w:r>
    </w:p>
    <w:sectPr w:rsidR="00E93288" w:rsidRPr="007931EC"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F5D9" w14:textId="77777777" w:rsidR="00071E33" w:rsidRDefault="00071E33">
      <w:r>
        <w:separator/>
      </w:r>
    </w:p>
  </w:endnote>
  <w:endnote w:type="continuationSeparator" w:id="0">
    <w:p w14:paraId="64696F42" w14:textId="77777777" w:rsidR="00071E33" w:rsidRDefault="0007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53D7" w14:textId="77777777" w:rsidR="00E45D05" w:rsidRDefault="00E45D05">
    <w:pPr>
      <w:framePr w:wrap="around" w:vAnchor="text" w:hAnchor="margin" w:xAlign="right" w:y="1"/>
    </w:pPr>
    <w:r>
      <w:fldChar w:fldCharType="begin"/>
    </w:r>
    <w:r>
      <w:instrText xml:space="preserve">PAGE  </w:instrText>
    </w:r>
    <w:r>
      <w:fldChar w:fldCharType="end"/>
    </w:r>
  </w:p>
  <w:p w14:paraId="11E63E1F" w14:textId="58097AA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E5333">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EFA2" w14:textId="0FFECE67" w:rsidR="00E45D05" w:rsidRDefault="00E45D05" w:rsidP="009B1EA1">
    <w:pPr>
      <w:pStyle w:val="Footer"/>
    </w:pPr>
    <w:r>
      <w:fldChar w:fldCharType="begin"/>
    </w:r>
    <w:r w:rsidRPr="0041348E">
      <w:rPr>
        <w:lang w:val="en-US"/>
      </w:rPr>
      <w:instrText xml:space="preserve"> FILENAME \p  \* MERGEFORMAT </w:instrText>
    </w:r>
    <w:r>
      <w:fldChar w:fldCharType="separate"/>
    </w:r>
    <w:r w:rsidR="000364AD">
      <w:rPr>
        <w:lang w:val="en-US"/>
      </w:rPr>
      <w:t>P :\ENG\ITU-R\CONF-R\CMR23\100\183E.docx</w:t>
    </w:r>
    <w:r>
      <w:fldChar w:fldCharType="end"/>
    </w:r>
    <w:r w:rsidR="000364AD">
      <w:t xml:space="preserve"> (530487)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869C" w14:textId="4123505A" w:rsidR="000364AD" w:rsidRDefault="000364AD">
    <w:pPr>
      <w:pStyle w:val="Footer"/>
    </w:pPr>
    <w:r>
      <w:fldChar w:fldCharType="begin"/>
    </w:r>
    <w:r w:rsidRPr="0041348E">
      <w:rPr>
        <w:lang w:val="en-US"/>
      </w:rPr>
      <w:instrText xml:space="preserve"> FILENAME \p  \* MERGEFORMAT </w:instrText>
    </w:r>
    <w:r>
      <w:fldChar w:fldCharType="separate"/>
    </w:r>
    <w:r>
      <w:rPr>
        <w:lang w:val="en-US"/>
      </w:rPr>
      <w:t>P :\ENG\ITU-R\CONF-R\CMR23\100\183E.docx</w:t>
    </w:r>
    <w:r>
      <w:fldChar w:fldCharType="end"/>
    </w:r>
    <w:r>
      <w:t xml:space="preserve"> (530487)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EB07" w14:textId="77777777" w:rsidR="00071E33" w:rsidRDefault="00071E33">
      <w:r>
        <w:rPr>
          <w:b/>
        </w:rPr>
        <w:t>_______________</w:t>
      </w:r>
    </w:p>
  </w:footnote>
  <w:footnote w:type="continuationSeparator" w:id="0">
    <w:p w14:paraId="5D1CB14F" w14:textId="77777777" w:rsidR="00071E33" w:rsidRDefault="00071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202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7C38633"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183</w:t>
    </w:r>
    <w:bookmarkEnd w:id="10"/>
    <w:bookmarkEnd w:id="11"/>
    <w:bookmarkEnd w:id="1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244406B"/>
    <w:multiLevelType w:val="multilevel"/>
    <w:tmpl w:val="2244406B"/>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CF42C8"/>
    <w:multiLevelType w:val="multilevel"/>
    <w:tmpl w:val="46CF42C8"/>
    <w:lvl w:ilvl="0">
      <w:start w:val="1"/>
      <w:numFmt w:val="lowerLetter"/>
      <w:lvlText w:val="%1)"/>
      <w:lvlJc w:val="left"/>
      <w:pPr>
        <w:ind w:left="1490" w:hanging="1130"/>
      </w:pPr>
      <w:rPr>
        <w:rFonts w:hint="default"/>
        <w:i/>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num w:numId="1" w16cid:durableId="2041465805">
    <w:abstractNumId w:val="0"/>
  </w:num>
  <w:num w:numId="2" w16cid:durableId="7111493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56566716">
    <w:abstractNumId w:val="2"/>
  </w:num>
  <w:num w:numId="4" w16cid:durableId="1815637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364AD"/>
    <w:rsid w:val="00051E39"/>
    <w:rsid w:val="000705F2"/>
    <w:rsid w:val="00071E33"/>
    <w:rsid w:val="00077239"/>
    <w:rsid w:val="0007795D"/>
    <w:rsid w:val="00086491"/>
    <w:rsid w:val="00091346"/>
    <w:rsid w:val="0009706C"/>
    <w:rsid w:val="000D154B"/>
    <w:rsid w:val="000D2DAF"/>
    <w:rsid w:val="000E463E"/>
    <w:rsid w:val="000E5333"/>
    <w:rsid w:val="000F73FF"/>
    <w:rsid w:val="00106948"/>
    <w:rsid w:val="00114CF7"/>
    <w:rsid w:val="00116C7A"/>
    <w:rsid w:val="00123B68"/>
    <w:rsid w:val="00126F2E"/>
    <w:rsid w:val="00146F6F"/>
    <w:rsid w:val="00161F26"/>
    <w:rsid w:val="00186962"/>
    <w:rsid w:val="00187BD9"/>
    <w:rsid w:val="00190B55"/>
    <w:rsid w:val="001C3B5F"/>
    <w:rsid w:val="001D058F"/>
    <w:rsid w:val="002009EA"/>
    <w:rsid w:val="00202756"/>
    <w:rsid w:val="00202CA0"/>
    <w:rsid w:val="00216B6D"/>
    <w:rsid w:val="0022757F"/>
    <w:rsid w:val="00241FA2"/>
    <w:rsid w:val="00271316"/>
    <w:rsid w:val="00297E0D"/>
    <w:rsid w:val="002B349C"/>
    <w:rsid w:val="002D58BE"/>
    <w:rsid w:val="002F4747"/>
    <w:rsid w:val="00302605"/>
    <w:rsid w:val="00361B37"/>
    <w:rsid w:val="00377BD3"/>
    <w:rsid w:val="00380047"/>
    <w:rsid w:val="00384088"/>
    <w:rsid w:val="003852CE"/>
    <w:rsid w:val="0039169B"/>
    <w:rsid w:val="003A7F8C"/>
    <w:rsid w:val="003B2284"/>
    <w:rsid w:val="003B532E"/>
    <w:rsid w:val="003D0F8B"/>
    <w:rsid w:val="003E0DB6"/>
    <w:rsid w:val="003F1379"/>
    <w:rsid w:val="0041348E"/>
    <w:rsid w:val="00420873"/>
    <w:rsid w:val="0048602B"/>
    <w:rsid w:val="00492075"/>
    <w:rsid w:val="004969AD"/>
    <w:rsid w:val="00496F9B"/>
    <w:rsid w:val="004A26C4"/>
    <w:rsid w:val="004B13CB"/>
    <w:rsid w:val="004D26EA"/>
    <w:rsid w:val="004D2BFB"/>
    <w:rsid w:val="004D5D5C"/>
    <w:rsid w:val="004F3DC0"/>
    <w:rsid w:val="0050139F"/>
    <w:rsid w:val="0055140B"/>
    <w:rsid w:val="00562E05"/>
    <w:rsid w:val="005861D7"/>
    <w:rsid w:val="005964AB"/>
    <w:rsid w:val="005C099A"/>
    <w:rsid w:val="005C31A5"/>
    <w:rsid w:val="005C7DB7"/>
    <w:rsid w:val="005E10C9"/>
    <w:rsid w:val="005E290B"/>
    <w:rsid w:val="005E61DD"/>
    <w:rsid w:val="005F04D8"/>
    <w:rsid w:val="006023DF"/>
    <w:rsid w:val="00615426"/>
    <w:rsid w:val="00616219"/>
    <w:rsid w:val="00630757"/>
    <w:rsid w:val="00645B7D"/>
    <w:rsid w:val="00657DE0"/>
    <w:rsid w:val="00685313"/>
    <w:rsid w:val="00692833"/>
    <w:rsid w:val="006A6E9B"/>
    <w:rsid w:val="006B7C2A"/>
    <w:rsid w:val="006C23DA"/>
    <w:rsid w:val="006D70B0"/>
    <w:rsid w:val="006E3D45"/>
    <w:rsid w:val="006F6257"/>
    <w:rsid w:val="0070607A"/>
    <w:rsid w:val="007149F9"/>
    <w:rsid w:val="00733A30"/>
    <w:rsid w:val="00745AEE"/>
    <w:rsid w:val="00750F10"/>
    <w:rsid w:val="007742CA"/>
    <w:rsid w:val="00790D70"/>
    <w:rsid w:val="007931EC"/>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E08DF"/>
    <w:rsid w:val="009274B4"/>
    <w:rsid w:val="00930ACF"/>
    <w:rsid w:val="00934EA2"/>
    <w:rsid w:val="00944A5C"/>
    <w:rsid w:val="00946E99"/>
    <w:rsid w:val="00952A66"/>
    <w:rsid w:val="00980957"/>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53D8"/>
    <w:rsid w:val="00AA666F"/>
    <w:rsid w:val="00AD7914"/>
    <w:rsid w:val="00AE514B"/>
    <w:rsid w:val="00B40888"/>
    <w:rsid w:val="00B45848"/>
    <w:rsid w:val="00B46B4D"/>
    <w:rsid w:val="00B639E9"/>
    <w:rsid w:val="00B723F4"/>
    <w:rsid w:val="00B817CD"/>
    <w:rsid w:val="00B81852"/>
    <w:rsid w:val="00B81A7D"/>
    <w:rsid w:val="00B91EF7"/>
    <w:rsid w:val="00B94AD0"/>
    <w:rsid w:val="00BB3A95"/>
    <w:rsid w:val="00BC75DE"/>
    <w:rsid w:val="00BD6CCE"/>
    <w:rsid w:val="00C0018F"/>
    <w:rsid w:val="00C16A5A"/>
    <w:rsid w:val="00C20466"/>
    <w:rsid w:val="00C214ED"/>
    <w:rsid w:val="00C234E6"/>
    <w:rsid w:val="00C324A8"/>
    <w:rsid w:val="00C4752B"/>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4A0E"/>
    <w:rsid w:val="00D5651D"/>
    <w:rsid w:val="00D57A34"/>
    <w:rsid w:val="00D74898"/>
    <w:rsid w:val="00D801ED"/>
    <w:rsid w:val="00D936BC"/>
    <w:rsid w:val="00D96530"/>
    <w:rsid w:val="00DA1CB1"/>
    <w:rsid w:val="00DD44AF"/>
    <w:rsid w:val="00DE2AC3"/>
    <w:rsid w:val="00DE5692"/>
    <w:rsid w:val="00DE6300"/>
    <w:rsid w:val="00DF4BC6"/>
    <w:rsid w:val="00DF78E0"/>
    <w:rsid w:val="00E03289"/>
    <w:rsid w:val="00E03C94"/>
    <w:rsid w:val="00E205BC"/>
    <w:rsid w:val="00E26226"/>
    <w:rsid w:val="00E36FCD"/>
    <w:rsid w:val="00E45D05"/>
    <w:rsid w:val="00E55816"/>
    <w:rsid w:val="00E55AEF"/>
    <w:rsid w:val="00E85B84"/>
    <w:rsid w:val="00E93288"/>
    <w:rsid w:val="00E976C1"/>
    <w:rsid w:val="00EA12E5"/>
    <w:rsid w:val="00EB0812"/>
    <w:rsid w:val="00EB54B2"/>
    <w:rsid w:val="00EB55C6"/>
    <w:rsid w:val="00ED03A3"/>
    <w:rsid w:val="00EF1932"/>
    <w:rsid w:val="00EF71B6"/>
    <w:rsid w:val="00F02766"/>
    <w:rsid w:val="00F05BD4"/>
    <w:rsid w:val="00F06473"/>
    <w:rsid w:val="00F2497B"/>
    <w:rsid w:val="00F320AA"/>
    <w:rsid w:val="00F53906"/>
    <w:rsid w:val="00F6155B"/>
    <w:rsid w:val="00F65C19"/>
    <w:rsid w:val="00F66FB4"/>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A1EA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qFormat/>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qFormat/>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ReasonsChar">
    <w:name w:val="Reasons Char"/>
    <w:basedOn w:val="DefaultParagraphFont"/>
    <w:link w:val="Reasons"/>
    <w:rsid w:val="00E93288"/>
    <w:rPr>
      <w:rFonts w:ascii="Times New Roman" w:hAnsi="Times New Roman"/>
      <w:sz w:val="24"/>
      <w:lang w:val="en-GB" w:eastAsia="en-US"/>
    </w:rPr>
  </w:style>
  <w:style w:type="paragraph" w:styleId="Revision">
    <w:name w:val="Revision"/>
    <w:hidden/>
    <w:uiPriority w:val="99"/>
    <w:semiHidden/>
    <w:rsid w:val="00F66FB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R23-WRC23-C-0183!!MSW-E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2EB1D-09D1-4D50-AAE9-77B30CD67DC2}">
  <ds:schemaRefs>
    <ds:schemaRef ds:uri="http://schemas.microsoft.com/sharepoint/v3/contenttype/forms"/>
  </ds:schemaRefs>
</ds:datastoreItem>
</file>

<file path=customXml/itemProps2.xml><?xml version="1.0" encoding="utf-8"?>
<ds:datastoreItem xmlns:ds="http://schemas.openxmlformats.org/officeDocument/2006/customXml" ds:itemID="{4288EA79-7C2B-4A0E-AB92-D7ACA61D877E}">
  <ds:schemaRefs>
    <ds:schemaRef ds:uri="http://schemas.microsoft.com/sharepoint/events"/>
  </ds:schemaRefs>
</ds:datastoreItem>
</file>

<file path=customXml/itemProps3.xml><?xml version="1.0" encoding="utf-8"?>
<ds:datastoreItem xmlns:ds="http://schemas.openxmlformats.org/officeDocument/2006/customXml" ds:itemID="{8AF19FBF-F7D3-4E50-BABD-A5E06FA5C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D7B30-8A66-4BAA-8741-5E2F39099880}">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5A29BC7D-5A50-449F-92A4-B46CE7E1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1788</Words>
  <Characters>9787</Characters>
  <Application>Microsoft Office Word</Application>
  <DocSecurity>0</DocSecurity>
  <Lines>1223</Lines>
  <Paragraphs>723</Paragraphs>
  <ScaleCrop>false</ScaleCrop>
  <HeadingPairs>
    <vt:vector size="2" baseType="variant">
      <vt:variant>
        <vt:lpstr>Title</vt:lpstr>
      </vt:variant>
      <vt:variant>
        <vt:i4>1</vt:i4>
      </vt:variant>
    </vt:vector>
  </HeadingPairs>
  <TitlesOfParts>
    <vt:vector size="1" baseType="lpstr">
      <vt:lpstr>R23-WRC23-C-0183!!MSW-E</vt:lpstr>
    </vt:vector>
  </TitlesOfParts>
  <Manager>General Secretariat - Pool</Manager>
  <Company>International Telecommunication Union (ITU)</Company>
  <LinksUpToDate>false</LinksUpToDate>
  <CharactersWithSpaces>10852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R23-WRC23-C-0183!!MSW-E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2023-11-07T08:20:00Z</dcterms:created>
  <dcterms:modified xsi:type="dcterms:W3CDTF">2023-11-09T09:52:00Z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