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1454F2F2" w14:textId="77777777" w:rsidTr="0080079E">
        <w:trPr>
          <w:cantSplit/>
        </w:trPr>
        <w:tc>
          <w:tcPr>
            <w:tcW w:w="1418" w:type="dxa"/>
            <w:vAlign w:val="center"/>
          </w:tcPr>
          <w:p w14:paraId="78DF2E51"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2D3E043A" wp14:editId="3F34E60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500D176"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2B707568"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6B69AD40" wp14:editId="5028631D">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451CDCFE" w14:textId="77777777" w:rsidTr="0050008E">
        <w:trPr>
          <w:cantSplit/>
        </w:trPr>
        <w:tc>
          <w:tcPr>
            <w:tcW w:w="6911" w:type="dxa"/>
            <w:gridSpan w:val="2"/>
            <w:tcBorders>
              <w:bottom w:val="single" w:sz="12" w:space="0" w:color="auto"/>
            </w:tcBorders>
          </w:tcPr>
          <w:p w14:paraId="19F8F16D"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7E52AF52" w14:textId="77777777" w:rsidR="0090121B" w:rsidRPr="0002785D" w:rsidRDefault="0090121B" w:rsidP="0090121B">
            <w:pPr>
              <w:spacing w:before="0" w:line="240" w:lineRule="atLeast"/>
              <w:rPr>
                <w:rFonts w:ascii="Verdana" w:hAnsi="Verdana"/>
                <w:szCs w:val="24"/>
                <w:lang w:val="en-US"/>
              </w:rPr>
            </w:pPr>
          </w:p>
        </w:tc>
      </w:tr>
      <w:tr w:rsidR="0090121B" w:rsidRPr="0002785D" w14:paraId="3804669A" w14:textId="77777777" w:rsidTr="0090121B">
        <w:trPr>
          <w:cantSplit/>
        </w:trPr>
        <w:tc>
          <w:tcPr>
            <w:tcW w:w="6911" w:type="dxa"/>
            <w:gridSpan w:val="2"/>
            <w:tcBorders>
              <w:top w:val="single" w:sz="12" w:space="0" w:color="auto"/>
            </w:tcBorders>
          </w:tcPr>
          <w:p w14:paraId="7F56CE04"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402A762D" w14:textId="77777777" w:rsidR="0090121B" w:rsidRPr="0002785D" w:rsidRDefault="0090121B" w:rsidP="0090121B">
            <w:pPr>
              <w:spacing w:before="0" w:line="240" w:lineRule="atLeast"/>
              <w:rPr>
                <w:rFonts w:ascii="Verdana" w:hAnsi="Verdana"/>
                <w:sz w:val="20"/>
                <w:lang w:val="en-US"/>
              </w:rPr>
            </w:pPr>
          </w:p>
        </w:tc>
      </w:tr>
      <w:tr w:rsidR="0090121B" w:rsidRPr="0002785D" w14:paraId="6627E05C" w14:textId="77777777" w:rsidTr="0090121B">
        <w:trPr>
          <w:cantSplit/>
        </w:trPr>
        <w:tc>
          <w:tcPr>
            <w:tcW w:w="6911" w:type="dxa"/>
            <w:gridSpan w:val="2"/>
          </w:tcPr>
          <w:p w14:paraId="1BE0FC03"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2130BF4E"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Documento 180</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6A5D72CE" w14:textId="77777777" w:rsidTr="0090121B">
        <w:trPr>
          <w:cantSplit/>
        </w:trPr>
        <w:tc>
          <w:tcPr>
            <w:tcW w:w="6911" w:type="dxa"/>
            <w:gridSpan w:val="2"/>
          </w:tcPr>
          <w:p w14:paraId="22D71F23"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31D242E7"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30 de octubre de 2023</w:t>
            </w:r>
          </w:p>
        </w:tc>
      </w:tr>
      <w:tr w:rsidR="000A5B9A" w:rsidRPr="0002785D" w14:paraId="73F2673A" w14:textId="77777777" w:rsidTr="0090121B">
        <w:trPr>
          <w:cantSplit/>
        </w:trPr>
        <w:tc>
          <w:tcPr>
            <w:tcW w:w="6911" w:type="dxa"/>
            <w:gridSpan w:val="2"/>
          </w:tcPr>
          <w:p w14:paraId="1E0A2F57"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07C6E2AB"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7EDC665E" w14:textId="77777777" w:rsidTr="006744FC">
        <w:trPr>
          <w:cantSplit/>
        </w:trPr>
        <w:tc>
          <w:tcPr>
            <w:tcW w:w="10031" w:type="dxa"/>
            <w:gridSpan w:val="4"/>
          </w:tcPr>
          <w:p w14:paraId="356F033F" w14:textId="77777777" w:rsidR="000A5B9A" w:rsidRPr="007424E8" w:rsidRDefault="000A5B9A" w:rsidP="0045384C">
            <w:pPr>
              <w:spacing w:before="0"/>
              <w:rPr>
                <w:rFonts w:ascii="Verdana" w:hAnsi="Verdana"/>
                <w:b/>
                <w:sz w:val="18"/>
                <w:szCs w:val="22"/>
                <w:lang w:val="en-US"/>
              </w:rPr>
            </w:pPr>
          </w:p>
        </w:tc>
      </w:tr>
      <w:tr w:rsidR="000A5B9A" w:rsidRPr="0002785D" w14:paraId="65D73F22" w14:textId="77777777" w:rsidTr="0050008E">
        <w:trPr>
          <w:cantSplit/>
        </w:trPr>
        <w:tc>
          <w:tcPr>
            <w:tcW w:w="10031" w:type="dxa"/>
            <w:gridSpan w:val="4"/>
          </w:tcPr>
          <w:p w14:paraId="68502639" w14:textId="77777777" w:rsidR="000A5B9A" w:rsidRPr="00660941" w:rsidRDefault="000A5B9A" w:rsidP="000A5B9A">
            <w:pPr>
              <w:pStyle w:val="Source"/>
              <w:rPr>
                <w:lang w:val="es-ES"/>
              </w:rPr>
            </w:pPr>
            <w:bookmarkStart w:id="2" w:name="dsource" w:colFirst="0" w:colLast="0"/>
            <w:r w:rsidRPr="00660941">
              <w:rPr>
                <w:lang w:val="es-ES"/>
              </w:rPr>
              <w:t>Myanmar (Unión de)/Papua Nueva Guinea/Salomón (Islas)/Samoa (Estado Independiente de)/Tonga (Reino de)/Vanuatu (República de)</w:t>
            </w:r>
          </w:p>
        </w:tc>
      </w:tr>
      <w:tr w:rsidR="000A5B9A" w:rsidRPr="007F40A0" w14:paraId="7CC6166C" w14:textId="77777777" w:rsidTr="0050008E">
        <w:trPr>
          <w:cantSplit/>
        </w:trPr>
        <w:tc>
          <w:tcPr>
            <w:tcW w:w="10031" w:type="dxa"/>
            <w:gridSpan w:val="4"/>
          </w:tcPr>
          <w:p w14:paraId="0D9DE0CF" w14:textId="6F9CC083" w:rsidR="000A5B9A" w:rsidRPr="007F40A0" w:rsidRDefault="000A5B9A" w:rsidP="000A5B9A">
            <w:pPr>
              <w:pStyle w:val="Title1"/>
              <w:rPr>
                <w:lang w:val="es-ES"/>
              </w:rPr>
            </w:pPr>
            <w:bookmarkStart w:id="3" w:name="dtitle1" w:colFirst="0" w:colLast="0"/>
            <w:bookmarkEnd w:id="2"/>
            <w:r w:rsidRPr="007F40A0">
              <w:rPr>
                <w:lang w:val="es-ES"/>
              </w:rPr>
              <w:t>PROP</w:t>
            </w:r>
            <w:r w:rsidR="007F40A0" w:rsidRPr="007F40A0">
              <w:rPr>
                <w:lang w:val="es-ES"/>
              </w:rPr>
              <w:t>uestas para los trabajos d</w:t>
            </w:r>
            <w:r w:rsidR="007F40A0">
              <w:rPr>
                <w:lang w:val="es-ES"/>
              </w:rPr>
              <w:t>e la conferencia</w:t>
            </w:r>
          </w:p>
        </w:tc>
      </w:tr>
      <w:tr w:rsidR="000A5B9A" w:rsidRPr="007F40A0" w14:paraId="6B683CFC" w14:textId="77777777" w:rsidTr="0050008E">
        <w:trPr>
          <w:cantSplit/>
        </w:trPr>
        <w:tc>
          <w:tcPr>
            <w:tcW w:w="10031" w:type="dxa"/>
            <w:gridSpan w:val="4"/>
          </w:tcPr>
          <w:p w14:paraId="56573A66" w14:textId="77777777" w:rsidR="000A5B9A" w:rsidRPr="007F40A0" w:rsidRDefault="000A5B9A" w:rsidP="000A5B9A">
            <w:pPr>
              <w:pStyle w:val="Title2"/>
              <w:rPr>
                <w:lang w:val="es-ES"/>
              </w:rPr>
            </w:pPr>
            <w:bookmarkStart w:id="4" w:name="dtitle2" w:colFirst="0" w:colLast="0"/>
            <w:bookmarkEnd w:id="3"/>
          </w:p>
        </w:tc>
      </w:tr>
      <w:tr w:rsidR="000A5B9A" w14:paraId="0F42D205" w14:textId="77777777" w:rsidTr="0050008E">
        <w:trPr>
          <w:cantSplit/>
        </w:trPr>
        <w:tc>
          <w:tcPr>
            <w:tcW w:w="10031" w:type="dxa"/>
            <w:gridSpan w:val="4"/>
          </w:tcPr>
          <w:p w14:paraId="18F878E6" w14:textId="77777777" w:rsidR="000A5B9A" w:rsidRDefault="000A5B9A" w:rsidP="000A5B9A">
            <w:pPr>
              <w:pStyle w:val="Agendaitem"/>
            </w:pPr>
            <w:bookmarkStart w:id="5" w:name="dtitle3" w:colFirst="0" w:colLast="0"/>
            <w:bookmarkEnd w:id="4"/>
            <w:r w:rsidRPr="00AE658F">
              <w:t>Punto 10 del orden del día</w:t>
            </w:r>
          </w:p>
        </w:tc>
      </w:tr>
    </w:tbl>
    <w:bookmarkEnd w:id="5"/>
    <w:p w14:paraId="117FC1B7" w14:textId="77777777" w:rsidR="00CA2965" w:rsidRPr="007E716E" w:rsidRDefault="00660941" w:rsidP="007E716E">
      <w:r w:rsidRPr="00ED1619">
        <w:t>10</w:t>
      </w:r>
      <w:r w:rsidRPr="00ED1619">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ED1619">
        <w:rPr>
          <w:b/>
          <w:bCs/>
        </w:rPr>
        <w:t>804 (Rev.CMR-19)</w:t>
      </w:r>
      <w:r w:rsidRPr="00ED1619">
        <w:t>,</w:t>
      </w:r>
    </w:p>
    <w:p w14:paraId="4D620E08" w14:textId="2848F14C" w:rsidR="007F40A0" w:rsidRPr="007F40A0" w:rsidRDefault="007F40A0" w:rsidP="00D74BC4">
      <w:pPr>
        <w:pStyle w:val="Headingb"/>
        <w:rPr>
          <w:lang w:val="es-ES" w:eastAsia="zh-CN"/>
        </w:rPr>
      </w:pPr>
      <w:r w:rsidRPr="007F40A0">
        <w:rPr>
          <w:lang w:val="es-ES" w:eastAsia="zh-CN"/>
        </w:rPr>
        <w:t>Introduc</w:t>
      </w:r>
      <w:r w:rsidRPr="006E351C">
        <w:rPr>
          <w:lang w:val="es-ES" w:eastAsia="zh-CN"/>
        </w:rPr>
        <w:t>ción</w:t>
      </w:r>
    </w:p>
    <w:p w14:paraId="09D99FE9" w14:textId="441F353D" w:rsidR="007F40A0" w:rsidRPr="007F40A0" w:rsidRDefault="007F40A0" w:rsidP="007F40A0">
      <w:pPr>
        <w:rPr>
          <w:lang w:val="es-ES" w:eastAsia="ko-KR"/>
        </w:rPr>
      </w:pPr>
      <w:r w:rsidRPr="007F40A0">
        <w:rPr>
          <w:lang w:val="es-ES" w:eastAsia="ko-KR"/>
        </w:rPr>
        <w:t xml:space="preserve">En la última reunión de la APG23-6, algunos miembros de la APT presentaron propuestas para su inclusión en el orden del día de la CMR-27 con el fin de considerar la identificación de una parte de las bandas de frecuencias </w:t>
      </w:r>
      <w:r w:rsidR="006E351C">
        <w:rPr>
          <w:lang w:val="es-ES" w:eastAsia="ko-KR"/>
        </w:rPr>
        <w:t xml:space="preserve">comprendidas </w:t>
      </w:r>
      <w:r w:rsidRPr="007F40A0">
        <w:rPr>
          <w:lang w:val="es-ES" w:eastAsia="ko-KR"/>
        </w:rPr>
        <w:t xml:space="preserve">dentro de la gama de frecuencias </w:t>
      </w:r>
      <w:r w:rsidR="00FB0943">
        <w:rPr>
          <w:lang w:val="es-ES" w:eastAsia="ko-KR"/>
        </w:rPr>
        <w:t xml:space="preserve">de </w:t>
      </w:r>
      <w:r w:rsidRPr="007F40A0">
        <w:rPr>
          <w:lang w:val="es-ES" w:eastAsia="ko-KR"/>
        </w:rPr>
        <w:t>4,4-15,35</w:t>
      </w:r>
      <w:r w:rsidR="005F09E2">
        <w:rPr>
          <w:lang w:val="es-ES" w:eastAsia="ko-KR"/>
        </w:rPr>
        <w:t> </w:t>
      </w:r>
      <w:r w:rsidRPr="007F40A0">
        <w:rPr>
          <w:lang w:val="es-ES" w:eastAsia="ko-KR"/>
        </w:rPr>
        <w:t xml:space="preserve">GHz para las Telecomunicaciones Móviles Internacionales (IMT), incluidas posibles atribuciones adicionales al servicio móvil a título primario. No </w:t>
      </w:r>
      <w:r w:rsidR="00682C9B">
        <w:rPr>
          <w:lang w:val="es-ES" w:eastAsia="ko-KR"/>
        </w:rPr>
        <w:t xml:space="preserve">fue posible llegar a un acuerdo al respecto </w:t>
      </w:r>
      <w:r w:rsidRPr="007F40A0">
        <w:rPr>
          <w:lang w:val="es-ES" w:eastAsia="ko-KR"/>
        </w:rPr>
        <w:t>en la última reunión de</w:t>
      </w:r>
      <w:r w:rsidR="006E351C">
        <w:rPr>
          <w:lang w:val="es-ES" w:eastAsia="ko-KR"/>
        </w:rPr>
        <w:t xml:space="preserve"> la</w:t>
      </w:r>
      <w:r w:rsidRPr="007F40A0">
        <w:rPr>
          <w:lang w:val="es-ES" w:eastAsia="ko-KR"/>
        </w:rPr>
        <w:t xml:space="preserve"> APG23-6 debido a ciertas preocupaciones de algunos </w:t>
      </w:r>
      <w:r w:rsidR="00682C9B">
        <w:rPr>
          <w:lang w:val="es-ES" w:eastAsia="ko-KR"/>
        </w:rPr>
        <w:t>m</w:t>
      </w:r>
      <w:r w:rsidRPr="007F40A0">
        <w:rPr>
          <w:lang w:val="es-ES" w:eastAsia="ko-KR"/>
        </w:rPr>
        <w:t xml:space="preserve">iembros de la APT en relación con las bandas de frecuencias </w:t>
      </w:r>
      <w:r w:rsidR="006E351C">
        <w:rPr>
          <w:lang w:val="es-ES" w:eastAsia="ko-KR"/>
        </w:rPr>
        <w:t>consideradas</w:t>
      </w:r>
      <w:r w:rsidRPr="007F40A0">
        <w:rPr>
          <w:lang w:val="es-ES" w:eastAsia="ko-KR"/>
        </w:rPr>
        <w:t xml:space="preserve"> como bandas candidatas </w:t>
      </w:r>
      <w:r w:rsidR="006E351C">
        <w:rPr>
          <w:lang w:val="es-ES" w:eastAsia="ko-KR"/>
        </w:rPr>
        <w:t>para</w:t>
      </w:r>
      <w:r w:rsidRPr="007F40A0">
        <w:rPr>
          <w:lang w:val="es-ES" w:eastAsia="ko-KR"/>
        </w:rPr>
        <w:t xml:space="preserve"> las </w:t>
      </w:r>
      <w:r w:rsidR="006E351C">
        <w:rPr>
          <w:lang w:val="es-ES" w:eastAsia="ko-KR"/>
        </w:rPr>
        <w:t xml:space="preserve">futuras </w:t>
      </w:r>
      <w:r w:rsidRPr="007F40A0">
        <w:rPr>
          <w:lang w:val="es-ES" w:eastAsia="ko-KR"/>
        </w:rPr>
        <w:t>IMT-2030.</w:t>
      </w:r>
    </w:p>
    <w:p w14:paraId="334F0A08" w14:textId="0FFF086E" w:rsidR="007F40A0" w:rsidRPr="007F40A0" w:rsidRDefault="007F40A0" w:rsidP="007F40A0">
      <w:pPr>
        <w:rPr>
          <w:lang w:val="es-ES" w:eastAsia="ko-KR"/>
        </w:rPr>
      </w:pPr>
      <w:r w:rsidRPr="007F40A0">
        <w:rPr>
          <w:lang w:val="es-ES" w:eastAsia="ko-KR"/>
        </w:rPr>
        <w:t>Estas administraciones desea</w:t>
      </w:r>
      <w:r w:rsidR="006E351C">
        <w:rPr>
          <w:lang w:val="es-ES" w:eastAsia="ko-KR"/>
        </w:rPr>
        <w:t xml:space="preserve">n comunicar </w:t>
      </w:r>
      <w:r w:rsidRPr="007F40A0">
        <w:rPr>
          <w:lang w:val="es-ES" w:eastAsia="ko-KR"/>
        </w:rPr>
        <w:t>los siguientes hechos</w:t>
      </w:r>
      <w:r w:rsidR="006E351C">
        <w:rPr>
          <w:lang w:val="es-ES" w:eastAsia="ko-KR"/>
        </w:rPr>
        <w:t xml:space="preserve"> </w:t>
      </w:r>
      <w:r w:rsidR="00216E02">
        <w:rPr>
          <w:lang w:val="es-ES" w:eastAsia="ko-KR"/>
        </w:rPr>
        <w:t xml:space="preserve">en caso de que fuera necesario inscribir </w:t>
      </w:r>
      <w:r w:rsidRPr="007F40A0">
        <w:rPr>
          <w:lang w:val="es-ES" w:eastAsia="ko-KR"/>
        </w:rPr>
        <w:t xml:space="preserve">otro nuevo punto del orden del día </w:t>
      </w:r>
      <w:r w:rsidR="00216E02">
        <w:rPr>
          <w:lang w:val="es-ES" w:eastAsia="ko-KR"/>
        </w:rPr>
        <w:t xml:space="preserve">para solicitar una </w:t>
      </w:r>
      <w:r w:rsidRPr="007F40A0">
        <w:rPr>
          <w:lang w:val="es-ES" w:eastAsia="ko-KR"/>
        </w:rPr>
        <w:t xml:space="preserve">identificación adicional </w:t>
      </w:r>
      <w:r w:rsidR="00216E02">
        <w:rPr>
          <w:lang w:val="es-ES" w:eastAsia="ko-KR"/>
        </w:rPr>
        <w:t>para</w:t>
      </w:r>
      <w:r w:rsidRPr="007F40A0">
        <w:rPr>
          <w:lang w:val="es-ES" w:eastAsia="ko-KR"/>
        </w:rPr>
        <w:t xml:space="preserve"> las IMT:</w:t>
      </w:r>
    </w:p>
    <w:p w14:paraId="60B8DC85" w14:textId="7E84DB93" w:rsidR="007F40A0" w:rsidRPr="007F40A0" w:rsidRDefault="007F40A0" w:rsidP="007F40A0">
      <w:pPr>
        <w:rPr>
          <w:lang w:val="es-ES" w:eastAsia="ko-KR"/>
        </w:rPr>
      </w:pPr>
      <w:r w:rsidRPr="007F40A0">
        <w:rPr>
          <w:lang w:val="es-ES" w:eastAsia="ko-KR"/>
        </w:rPr>
        <w:t>1)</w:t>
      </w:r>
      <w:r w:rsidRPr="007F40A0">
        <w:rPr>
          <w:lang w:val="es-ES" w:eastAsia="ko-KR"/>
        </w:rPr>
        <w:tab/>
      </w:r>
      <w:r w:rsidR="00FB0943">
        <w:rPr>
          <w:lang w:val="es-ES" w:eastAsia="ko-KR"/>
        </w:rPr>
        <w:t>Si bien</w:t>
      </w:r>
      <w:r w:rsidRPr="007F40A0">
        <w:rPr>
          <w:lang w:val="es-ES" w:eastAsia="ko-KR"/>
        </w:rPr>
        <w:t xml:space="preserve"> la CMR-19 identificó una cantidad significativa de espectro con un total de 17,25 GHz para las IMT en bandas de frecuencias por encima de 24,25</w:t>
      </w:r>
      <w:r w:rsidR="005F09E2">
        <w:rPr>
          <w:lang w:val="es-ES" w:eastAsia="ko-KR"/>
        </w:rPr>
        <w:t> </w:t>
      </w:r>
      <w:r w:rsidRPr="007F40A0">
        <w:rPr>
          <w:lang w:val="es-ES" w:eastAsia="ko-KR"/>
        </w:rPr>
        <w:t>GHz, cabe señalar que muchos países, especialmente en la Región</w:t>
      </w:r>
      <w:r w:rsidR="005F09E2">
        <w:rPr>
          <w:lang w:val="es-ES" w:eastAsia="ko-KR"/>
        </w:rPr>
        <w:t> </w:t>
      </w:r>
      <w:r w:rsidRPr="007F40A0">
        <w:rPr>
          <w:lang w:val="es-ES" w:eastAsia="ko-KR"/>
        </w:rPr>
        <w:t xml:space="preserve">3, aún no han utilizado esas bandas a día de hoy. </w:t>
      </w:r>
    </w:p>
    <w:p w14:paraId="2EF0C9D0" w14:textId="2CB626D1" w:rsidR="007F40A0" w:rsidRPr="007F40A0" w:rsidRDefault="007F40A0" w:rsidP="007F40A0">
      <w:pPr>
        <w:rPr>
          <w:lang w:val="es-ES"/>
        </w:rPr>
      </w:pPr>
      <w:r w:rsidRPr="007F40A0">
        <w:rPr>
          <w:lang w:val="es-ES" w:eastAsia="ko-KR"/>
        </w:rPr>
        <w:t>2)</w:t>
      </w:r>
      <w:r w:rsidRPr="007F40A0">
        <w:rPr>
          <w:lang w:val="es-ES" w:eastAsia="ko-KR"/>
        </w:rPr>
        <w:tab/>
        <w:t>Otra</w:t>
      </w:r>
      <w:r w:rsidR="00563A05">
        <w:rPr>
          <w:lang w:val="es-ES" w:eastAsia="ko-KR"/>
        </w:rPr>
        <w:t xml:space="preserve"> de las</w:t>
      </w:r>
      <w:r w:rsidRPr="007F40A0">
        <w:rPr>
          <w:lang w:val="es-ES" w:eastAsia="ko-KR"/>
        </w:rPr>
        <w:t xml:space="preserve"> consideraciones importantes para justificar la necesidad de espectro </w:t>
      </w:r>
      <w:r w:rsidR="00563A05">
        <w:rPr>
          <w:lang w:val="es-ES" w:eastAsia="ko-KR"/>
        </w:rPr>
        <w:t xml:space="preserve">adicional para las </w:t>
      </w:r>
      <w:r w:rsidRPr="007F40A0">
        <w:rPr>
          <w:lang w:val="es-ES" w:eastAsia="ko-KR"/>
        </w:rPr>
        <w:t xml:space="preserve">IMT </w:t>
      </w:r>
      <w:r w:rsidR="00563A05">
        <w:rPr>
          <w:lang w:val="es-ES" w:eastAsia="ko-KR"/>
        </w:rPr>
        <w:t xml:space="preserve">es el hecho </w:t>
      </w:r>
      <w:r w:rsidR="00FB0943">
        <w:rPr>
          <w:lang w:val="es-ES" w:eastAsia="ko-KR"/>
        </w:rPr>
        <w:t xml:space="preserve">de </w:t>
      </w:r>
      <w:r w:rsidRPr="007F40A0">
        <w:rPr>
          <w:lang w:val="es-ES" w:eastAsia="ko-KR"/>
        </w:rPr>
        <w:t xml:space="preserve">que las redes móviles sólo </w:t>
      </w:r>
      <w:r w:rsidR="00563A05">
        <w:rPr>
          <w:lang w:val="es-ES" w:eastAsia="ko-KR"/>
        </w:rPr>
        <w:t xml:space="preserve">cursaron </w:t>
      </w:r>
      <w:r w:rsidRPr="007F40A0">
        <w:rPr>
          <w:lang w:val="es-ES" w:eastAsia="ko-KR"/>
        </w:rPr>
        <w:t xml:space="preserve">el 20,5% del tráfico total de Internet </w:t>
      </w:r>
      <w:r w:rsidR="00563A05">
        <w:rPr>
          <w:lang w:val="es-ES" w:eastAsia="ko-KR"/>
        </w:rPr>
        <w:t>del mundo</w:t>
      </w:r>
      <w:r w:rsidRPr="007F40A0">
        <w:rPr>
          <w:lang w:val="es-ES" w:eastAsia="ko-KR"/>
        </w:rPr>
        <w:t xml:space="preserve"> en 2021</w:t>
      </w:r>
      <w:r w:rsidR="009D4FA5" w:rsidRPr="009D4FA5">
        <w:rPr>
          <w:position w:val="6"/>
          <w:sz w:val="18"/>
          <w:lang w:val="en-GB" w:eastAsia="ko-KR"/>
        </w:rPr>
        <w:footnoteReference w:id="1"/>
      </w:r>
      <w:r w:rsidRPr="007F40A0">
        <w:rPr>
          <w:lang w:val="es-ES" w:eastAsia="ko-KR"/>
        </w:rPr>
        <w:t>, mientras que</w:t>
      </w:r>
      <w:r w:rsidR="005D1AC9">
        <w:rPr>
          <w:lang w:val="es-ES" w:eastAsia="ko-KR"/>
        </w:rPr>
        <w:t xml:space="preserve"> las redes</w:t>
      </w:r>
      <w:r w:rsidR="005D1AC9" w:rsidRPr="005D1AC9">
        <w:t xml:space="preserve"> </w:t>
      </w:r>
      <w:r w:rsidR="005D1AC9" w:rsidRPr="005D1AC9">
        <w:rPr>
          <w:lang w:val="es-ES" w:eastAsia="ko-KR"/>
        </w:rPr>
        <w:t>Wi-Fi</w:t>
      </w:r>
      <w:r w:rsidR="005D1AC9">
        <w:rPr>
          <w:lang w:val="es-ES" w:eastAsia="ko-KR"/>
        </w:rPr>
        <w:t xml:space="preserve"> cursaron </w:t>
      </w:r>
      <w:r w:rsidRPr="007F40A0">
        <w:rPr>
          <w:lang w:val="es-ES" w:eastAsia="ko-KR"/>
        </w:rPr>
        <w:t>la mayor parte del tráfico restante</w:t>
      </w:r>
      <w:r w:rsidR="005D1AC9">
        <w:rPr>
          <w:lang w:val="es-ES" w:eastAsia="ko-KR"/>
        </w:rPr>
        <w:t xml:space="preserve"> utilizando </w:t>
      </w:r>
      <w:r w:rsidR="005D1AC9" w:rsidRPr="005D1AC9">
        <w:rPr>
          <w:lang w:val="es-ES" w:eastAsia="ko-KR"/>
        </w:rPr>
        <w:t>bandas de frecuencias sin licencia</w:t>
      </w:r>
      <w:r w:rsidRPr="007F40A0">
        <w:rPr>
          <w:lang w:val="es-ES" w:eastAsia="ko-KR"/>
        </w:rPr>
        <w:t xml:space="preserve">. </w:t>
      </w:r>
      <w:r w:rsidRPr="009D4FA5">
        <w:rPr>
          <w:lang w:val="es-ES" w:eastAsia="ko-KR"/>
        </w:rPr>
        <w:t xml:space="preserve">Es probable que esta tendencia </w:t>
      </w:r>
      <w:r w:rsidR="005D1AC9" w:rsidRPr="009D4FA5">
        <w:rPr>
          <w:lang w:val="es-ES" w:eastAsia="ko-KR"/>
        </w:rPr>
        <w:t xml:space="preserve">continúe </w:t>
      </w:r>
      <w:r w:rsidR="009D4FA5" w:rsidRPr="009D4FA5">
        <w:rPr>
          <w:lang w:val="es-ES" w:eastAsia="ko-KR"/>
        </w:rPr>
        <w:t xml:space="preserve">en </w:t>
      </w:r>
      <w:r w:rsidR="005D1AC9" w:rsidRPr="009D4FA5">
        <w:rPr>
          <w:lang w:val="es-ES" w:eastAsia="ko-KR"/>
        </w:rPr>
        <w:t>el future próximo.</w:t>
      </w:r>
    </w:p>
    <w:p w14:paraId="64B00733" w14:textId="38CCDE98" w:rsidR="007F40A0" w:rsidRPr="007F40A0" w:rsidRDefault="007F40A0" w:rsidP="007F40A0">
      <w:pPr>
        <w:rPr>
          <w:lang w:val="es-ES"/>
        </w:rPr>
      </w:pPr>
      <w:r w:rsidRPr="007F40A0">
        <w:rPr>
          <w:lang w:val="es-ES" w:eastAsia="ko-KR"/>
        </w:rPr>
        <w:lastRenderedPageBreak/>
        <w:t>3)</w:t>
      </w:r>
      <w:r w:rsidRPr="007F40A0">
        <w:rPr>
          <w:lang w:val="es-ES" w:eastAsia="ko-KR"/>
        </w:rPr>
        <w:tab/>
        <w:t>La gama de frecuencias de 7,125 GHz a 24,25 GHz ya se consideró</w:t>
      </w:r>
      <w:r w:rsidR="009D4FA5">
        <w:rPr>
          <w:lang w:val="es-ES" w:eastAsia="ko-KR"/>
        </w:rPr>
        <w:t xml:space="preserve"> para las IMT en el marco de</w:t>
      </w:r>
      <w:r w:rsidRPr="007F40A0">
        <w:rPr>
          <w:lang w:val="es-ES" w:eastAsia="ko-KR"/>
        </w:rPr>
        <w:t xml:space="preserve"> estudios </w:t>
      </w:r>
      <w:r w:rsidR="009D4FA5">
        <w:rPr>
          <w:lang w:val="es-ES" w:eastAsia="ko-KR"/>
        </w:rPr>
        <w:t>para</w:t>
      </w:r>
      <w:r w:rsidRPr="007F40A0">
        <w:rPr>
          <w:lang w:val="es-ES" w:eastAsia="ko-KR"/>
        </w:rPr>
        <w:t xml:space="preserve"> la CMR-15</w:t>
      </w:r>
      <w:r w:rsidR="009D4FA5">
        <w:rPr>
          <w:lang w:val="es-ES" w:eastAsia="ko-KR"/>
        </w:rPr>
        <w:t xml:space="preserve">, </w:t>
      </w:r>
      <w:r w:rsidRPr="007F40A0">
        <w:rPr>
          <w:lang w:val="es-ES" w:eastAsia="ko-KR"/>
        </w:rPr>
        <w:t xml:space="preserve">y se decidió no incluirla en el ámbito del punto 1.13 del orden del día de la CMR-19 porque no </w:t>
      </w:r>
      <w:r w:rsidR="009D4FA5">
        <w:rPr>
          <w:lang w:val="es-ES" w:eastAsia="ko-KR"/>
        </w:rPr>
        <w:t>había</w:t>
      </w:r>
      <w:r w:rsidRPr="007F40A0">
        <w:rPr>
          <w:lang w:val="es-ES" w:eastAsia="ko-KR"/>
        </w:rPr>
        <w:t xml:space="preserve"> suficiente </w:t>
      </w:r>
      <w:r w:rsidR="009D4FA5" w:rsidRPr="009D4FA5">
        <w:rPr>
          <w:lang w:val="es-ES" w:eastAsia="ko-KR"/>
        </w:rPr>
        <w:t>anchura de banda contigua</w:t>
      </w:r>
      <w:r w:rsidRPr="007F40A0">
        <w:rPr>
          <w:lang w:val="es-ES" w:eastAsia="ko-KR"/>
        </w:rPr>
        <w:t xml:space="preserve">. </w:t>
      </w:r>
      <w:r w:rsidR="009D4FA5">
        <w:rPr>
          <w:lang w:val="es-ES" w:eastAsia="ko-KR"/>
        </w:rPr>
        <w:t>Ello</w:t>
      </w:r>
      <w:r w:rsidRPr="007F40A0">
        <w:rPr>
          <w:lang w:val="es-ES" w:eastAsia="ko-KR"/>
        </w:rPr>
        <w:t xml:space="preserve"> coincide con una de las conclusiones </w:t>
      </w:r>
      <w:r w:rsidR="009D4FA5">
        <w:rPr>
          <w:lang w:val="es-ES" w:eastAsia="ko-KR"/>
        </w:rPr>
        <w:t xml:space="preserve">del </w:t>
      </w:r>
      <w:r w:rsidRPr="009D4FA5">
        <w:rPr>
          <w:lang w:val="es-ES" w:eastAsia="ko-KR"/>
        </w:rPr>
        <w:t>informe</w:t>
      </w:r>
      <w:r w:rsidR="009D4FA5" w:rsidRPr="007F40A0">
        <w:rPr>
          <w:position w:val="6"/>
          <w:sz w:val="18"/>
          <w:lang w:val="en-GB" w:eastAsia="zh-CN"/>
        </w:rPr>
        <w:footnoteReference w:id="2"/>
      </w:r>
      <w:r w:rsidRPr="009D4FA5">
        <w:rPr>
          <w:lang w:val="es-ES" w:eastAsia="ko-KR"/>
        </w:rPr>
        <w:t xml:space="preserve"> del</w:t>
      </w:r>
      <w:r w:rsidRPr="007F40A0">
        <w:rPr>
          <w:lang w:val="es-ES" w:eastAsia="ko-KR"/>
        </w:rPr>
        <w:t xml:space="preserve"> estudio de Plum Consulting sobre </w:t>
      </w:r>
      <w:r w:rsidR="009D4FA5">
        <w:rPr>
          <w:lang w:val="es-ES" w:eastAsia="ko-KR"/>
        </w:rPr>
        <w:t xml:space="preserve">las </w:t>
      </w:r>
      <w:r w:rsidR="00FB0943">
        <w:rPr>
          <w:lang w:val="es-ES" w:eastAsia="ko-KR"/>
        </w:rPr>
        <w:t>posibilidades</w:t>
      </w:r>
      <w:r w:rsidR="009D4FA5">
        <w:rPr>
          <w:lang w:val="es-ES" w:eastAsia="ko-KR"/>
        </w:rPr>
        <w:t xml:space="preserve"> para la </w:t>
      </w:r>
      <w:r w:rsidRPr="007F40A0">
        <w:rPr>
          <w:lang w:val="es-ES" w:eastAsia="ko-KR"/>
        </w:rPr>
        <w:t xml:space="preserve">6G </w:t>
      </w:r>
      <w:r w:rsidR="009D4FA5">
        <w:rPr>
          <w:lang w:val="es-ES" w:eastAsia="ko-KR"/>
        </w:rPr>
        <w:t xml:space="preserve">en la </w:t>
      </w:r>
      <w:r w:rsidR="00DB1BF4">
        <w:rPr>
          <w:lang w:val="es-ES" w:eastAsia="ko-KR"/>
        </w:rPr>
        <w:t>g</w:t>
      </w:r>
      <w:r w:rsidR="009D4FA5">
        <w:rPr>
          <w:lang w:val="es-ES" w:eastAsia="ko-KR"/>
        </w:rPr>
        <w:t>ama de frecuen</w:t>
      </w:r>
      <w:bookmarkStart w:id="7" w:name="_Hlk150433184"/>
      <w:r w:rsidR="009D4FA5">
        <w:rPr>
          <w:lang w:val="es-ES" w:eastAsia="ko-KR"/>
        </w:rPr>
        <w:t>cias de</w:t>
      </w:r>
      <w:r w:rsidRPr="007F40A0">
        <w:rPr>
          <w:lang w:val="es-ES" w:eastAsia="ko-KR"/>
        </w:rPr>
        <w:t xml:space="preserve"> 7-24 GHz</w:t>
      </w:r>
      <w:bookmarkEnd w:id="7"/>
      <w:r w:rsidRPr="007F40A0">
        <w:rPr>
          <w:lang w:val="es-ES" w:eastAsia="ko-KR"/>
        </w:rPr>
        <w:t>.</w:t>
      </w:r>
    </w:p>
    <w:p w14:paraId="152912AF" w14:textId="26844051" w:rsidR="007F40A0" w:rsidRPr="00D74BC4" w:rsidRDefault="007F40A0" w:rsidP="007F40A0">
      <w:pPr>
        <w:rPr>
          <w:lang w:val="es-ES"/>
        </w:rPr>
      </w:pPr>
      <w:r w:rsidRPr="007F40A0">
        <w:rPr>
          <w:lang w:val="es-ES" w:eastAsia="ko-KR"/>
        </w:rPr>
        <w:t>4)</w:t>
      </w:r>
      <w:r w:rsidRPr="007F40A0">
        <w:rPr>
          <w:lang w:val="es-ES" w:eastAsia="ko-KR"/>
        </w:rPr>
        <w:tab/>
      </w:r>
      <w:r w:rsidRPr="007F40A0">
        <w:rPr>
          <w:lang w:val="es-ES"/>
        </w:rPr>
        <w:t xml:space="preserve">La gama de frecuencias de 7,125 GHz a 24,25 GHz incluye algunas de las bandas de satélites </w:t>
      </w:r>
      <w:r w:rsidR="003018EE">
        <w:rPr>
          <w:lang w:val="es-ES"/>
        </w:rPr>
        <w:t>centrales</w:t>
      </w:r>
      <w:r w:rsidRPr="007F40A0">
        <w:rPr>
          <w:lang w:val="es-ES"/>
        </w:rPr>
        <w:t xml:space="preserve"> en las que los operadores de satélites ya </w:t>
      </w:r>
      <w:r w:rsidR="003018EE">
        <w:rPr>
          <w:lang w:val="es-ES"/>
        </w:rPr>
        <w:t xml:space="preserve">encuentran dificultades para acomodar la </w:t>
      </w:r>
      <w:r w:rsidRPr="007F40A0">
        <w:rPr>
          <w:lang w:val="es-ES"/>
        </w:rPr>
        <w:t xml:space="preserve">creciente demanda de servicios </w:t>
      </w:r>
      <w:r w:rsidR="003018EE">
        <w:rPr>
          <w:lang w:val="es-ES"/>
        </w:rPr>
        <w:t>y</w:t>
      </w:r>
      <w:r w:rsidR="003018EE" w:rsidRPr="007F40A0">
        <w:rPr>
          <w:lang w:val="es-ES"/>
        </w:rPr>
        <w:t xml:space="preserve"> compar</w:t>
      </w:r>
      <w:r w:rsidR="003018EE">
        <w:rPr>
          <w:lang w:val="es-ES"/>
        </w:rPr>
        <w:t>tir los recursos</w:t>
      </w:r>
      <w:r w:rsidRPr="007F40A0">
        <w:rPr>
          <w:lang w:val="es-ES"/>
        </w:rPr>
        <w:t xml:space="preserve">. </w:t>
      </w:r>
      <w:r w:rsidR="002F6642">
        <w:rPr>
          <w:lang w:val="es-ES"/>
        </w:rPr>
        <w:t>Cabe señalar</w:t>
      </w:r>
      <w:r w:rsidRPr="00E22D65">
        <w:rPr>
          <w:lang w:val="es-ES"/>
        </w:rPr>
        <w:t xml:space="preserve"> </w:t>
      </w:r>
      <w:r w:rsidR="002F6642">
        <w:rPr>
          <w:lang w:val="es-ES"/>
        </w:rPr>
        <w:t>también</w:t>
      </w:r>
      <w:r w:rsidRPr="00E22D65">
        <w:rPr>
          <w:lang w:val="es-ES"/>
        </w:rPr>
        <w:t xml:space="preserve"> que las redes de satélites OSG y los sistemas de satélites no OSG ya comparten el espectro en estas bandas de frecuencias de manera </w:t>
      </w:r>
      <w:r w:rsidR="002F6642">
        <w:rPr>
          <w:lang w:val="es-ES"/>
        </w:rPr>
        <w:t xml:space="preserve">sumamente </w:t>
      </w:r>
      <w:r w:rsidRPr="00E22D65">
        <w:rPr>
          <w:lang w:val="es-ES"/>
        </w:rPr>
        <w:t xml:space="preserve">eficiente y eficaz. </w:t>
      </w:r>
      <w:r w:rsidR="002F6642">
        <w:rPr>
          <w:lang w:val="es-ES"/>
        </w:rPr>
        <w:t xml:space="preserve">Desde que </w:t>
      </w:r>
      <w:r w:rsidRPr="00E22D65">
        <w:rPr>
          <w:lang w:val="es-ES"/>
        </w:rPr>
        <w:t>se examinó esta gama de frecuencias en la CMR-15, miles de satélites OSG y no OSG, incluidos los satélites de nueva generación</w:t>
      </w:r>
      <w:r w:rsidR="002F6642">
        <w:rPr>
          <w:lang w:val="es-ES"/>
        </w:rPr>
        <w:t>, como los</w:t>
      </w:r>
      <w:r w:rsidRPr="00E22D65">
        <w:rPr>
          <w:lang w:val="es-ES"/>
        </w:rPr>
        <w:t xml:space="preserve"> satélites de alto rendimiento (HTS), satélites de muy alto rendimiento (VHTS) y satélites definidos por software (SDS), han empezado a operar en esta gama de frecuencias, lo que dificulta aún más la compatibilidad con los servicios por satélite </w:t>
      </w:r>
      <w:r w:rsidR="002F6642">
        <w:rPr>
          <w:lang w:val="es-ES"/>
        </w:rPr>
        <w:t>existentes</w:t>
      </w:r>
      <w:r w:rsidRPr="00E22D65">
        <w:rPr>
          <w:lang w:val="es-ES"/>
        </w:rPr>
        <w:t xml:space="preserve">. Estos problemas de compatibilidad entre las IMT y los servicios por satélite </w:t>
      </w:r>
      <w:r w:rsidR="002F6642">
        <w:rPr>
          <w:lang w:val="es-ES"/>
        </w:rPr>
        <w:t xml:space="preserve">existentes </w:t>
      </w:r>
      <w:r w:rsidRPr="00E22D65">
        <w:rPr>
          <w:lang w:val="es-ES"/>
        </w:rPr>
        <w:t xml:space="preserve">es la otra conclusión del informe del estudio de Plum Consulting, </w:t>
      </w:r>
      <w:r w:rsidR="002F6642">
        <w:rPr>
          <w:lang w:val="es-ES"/>
        </w:rPr>
        <w:t xml:space="preserve">según el cual </w:t>
      </w:r>
      <w:r w:rsidRPr="00E22D65">
        <w:rPr>
          <w:lang w:val="es-ES"/>
        </w:rPr>
        <w:t>las</w:t>
      </w:r>
      <w:r w:rsidR="00DB1BF4">
        <w:rPr>
          <w:lang w:val="es-ES"/>
        </w:rPr>
        <w:t xml:space="preserve"> posibilidades </w:t>
      </w:r>
      <w:r w:rsidR="002F6642">
        <w:rPr>
          <w:lang w:val="es-ES"/>
        </w:rPr>
        <w:t xml:space="preserve">de </w:t>
      </w:r>
      <w:r w:rsidR="00DB1BF4">
        <w:rPr>
          <w:lang w:val="es-ES"/>
        </w:rPr>
        <w:t xml:space="preserve">que </w:t>
      </w:r>
      <w:r w:rsidR="002F6642">
        <w:rPr>
          <w:lang w:val="es-ES"/>
        </w:rPr>
        <w:t xml:space="preserve">los </w:t>
      </w:r>
      <w:r w:rsidRPr="00E22D65">
        <w:rPr>
          <w:lang w:val="es-ES"/>
        </w:rPr>
        <w:t xml:space="preserve">sistemas IMT (por ejemplo, </w:t>
      </w:r>
      <w:r w:rsidR="002F6642">
        <w:rPr>
          <w:lang w:val="es-ES"/>
        </w:rPr>
        <w:t xml:space="preserve">la </w:t>
      </w:r>
      <w:r w:rsidRPr="00E22D65">
        <w:rPr>
          <w:lang w:val="es-ES"/>
        </w:rPr>
        <w:t xml:space="preserve">6G) </w:t>
      </w:r>
      <w:r w:rsidR="00DB1BF4">
        <w:rPr>
          <w:lang w:val="es-ES"/>
        </w:rPr>
        <w:t xml:space="preserve">compartan la gama </w:t>
      </w:r>
      <w:r w:rsidRPr="00E22D65">
        <w:rPr>
          <w:lang w:val="es-ES"/>
        </w:rPr>
        <w:t xml:space="preserve">con los servicios </w:t>
      </w:r>
      <w:r w:rsidR="002F6642">
        <w:rPr>
          <w:lang w:val="es-ES"/>
        </w:rPr>
        <w:t>existentes</w:t>
      </w:r>
      <w:r w:rsidRPr="00E22D65">
        <w:rPr>
          <w:lang w:val="es-ES"/>
        </w:rPr>
        <w:t xml:space="preserve"> son muy </w:t>
      </w:r>
      <w:r w:rsidR="002F6642">
        <w:rPr>
          <w:lang w:val="es-ES"/>
        </w:rPr>
        <w:t>reducidas</w:t>
      </w:r>
      <w:r w:rsidRPr="00E22D65">
        <w:rPr>
          <w:lang w:val="es-ES"/>
        </w:rPr>
        <w:t>.</w:t>
      </w:r>
    </w:p>
    <w:p w14:paraId="6259E568" w14:textId="3B92D295" w:rsidR="00DB1BF4" w:rsidRPr="007F40A0" w:rsidRDefault="00DB1BF4" w:rsidP="007F40A0">
      <w:pPr>
        <w:jc w:val="both"/>
        <w:rPr>
          <w:highlight w:val="yellow"/>
          <w:lang w:val="es-ES"/>
        </w:rPr>
      </w:pPr>
      <w:r w:rsidRPr="00DB1BF4">
        <w:rPr>
          <w:lang w:val="es-ES"/>
        </w:rPr>
        <w:t>Los hechos antes mencionados también están respaldados por</w:t>
      </w:r>
      <w:r>
        <w:rPr>
          <w:lang w:val="es-ES"/>
        </w:rPr>
        <w:t xml:space="preserve"> el</w:t>
      </w:r>
      <w:r w:rsidRPr="00DB1BF4">
        <w:rPr>
          <w:lang w:val="es-ES"/>
        </w:rPr>
        <w:t xml:space="preserve"> informe del reciente </w:t>
      </w:r>
      <w:r w:rsidRPr="002C7A00">
        <w:rPr>
          <w:lang w:val="es-ES"/>
        </w:rPr>
        <w:t>estudio</w:t>
      </w:r>
      <w:r w:rsidR="002C7A00" w:rsidRPr="007F40A0">
        <w:rPr>
          <w:position w:val="6"/>
          <w:sz w:val="18"/>
          <w:lang w:val="en-GB" w:eastAsia="zh-CN"/>
        </w:rPr>
        <w:footnoteReference w:id="3"/>
      </w:r>
      <w:r w:rsidR="002C7A00" w:rsidRPr="007F40A0">
        <w:rPr>
          <w:lang w:val="es-ES"/>
        </w:rPr>
        <w:t xml:space="preserve"> </w:t>
      </w:r>
      <w:r w:rsidRPr="002C7A00">
        <w:rPr>
          <w:lang w:val="es-ES"/>
        </w:rPr>
        <w:t>de</w:t>
      </w:r>
      <w:r w:rsidRPr="00DB1BF4">
        <w:rPr>
          <w:lang w:val="es-ES"/>
        </w:rPr>
        <w:t xml:space="preserve"> Plum Consulting sobre </w:t>
      </w:r>
      <w:r>
        <w:rPr>
          <w:lang w:val="es-ES"/>
        </w:rPr>
        <w:t xml:space="preserve">el examen </w:t>
      </w:r>
      <w:r w:rsidRPr="00DB1BF4">
        <w:rPr>
          <w:lang w:val="es-ES"/>
        </w:rPr>
        <w:t xml:space="preserve">de la asignación y </w:t>
      </w:r>
      <w:r>
        <w:rPr>
          <w:lang w:val="es-ES"/>
        </w:rPr>
        <w:t>la utilización</w:t>
      </w:r>
      <w:r w:rsidRPr="00DB1BF4">
        <w:rPr>
          <w:lang w:val="es-ES"/>
        </w:rPr>
        <w:t xml:space="preserve"> actuales del espectro </w:t>
      </w:r>
      <w:r>
        <w:rPr>
          <w:lang w:val="es-ES"/>
        </w:rPr>
        <w:t xml:space="preserve">de los sistemas </w:t>
      </w:r>
      <w:r w:rsidRPr="00DB1BF4">
        <w:rPr>
          <w:lang w:val="es-ES"/>
        </w:rPr>
        <w:t>móvil</w:t>
      </w:r>
      <w:r>
        <w:rPr>
          <w:lang w:val="es-ES"/>
        </w:rPr>
        <w:t>es</w:t>
      </w:r>
      <w:r w:rsidRPr="00DB1BF4">
        <w:rPr>
          <w:lang w:val="es-ES"/>
        </w:rPr>
        <w:t xml:space="preserve">, </w:t>
      </w:r>
      <w:r>
        <w:rPr>
          <w:lang w:val="es-ES"/>
        </w:rPr>
        <w:t xml:space="preserve">que se </w:t>
      </w:r>
      <w:r w:rsidRPr="00DB1BF4">
        <w:rPr>
          <w:lang w:val="es-ES"/>
        </w:rPr>
        <w:t>public</w:t>
      </w:r>
      <w:r>
        <w:rPr>
          <w:lang w:val="es-ES"/>
        </w:rPr>
        <w:t>ó</w:t>
      </w:r>
      <w:r w:rsidRPr="00DB1BF4">
        <w:rPr>
          <w:lang w:val="es-ES"/>
        </w:rPr>
        <w:t xml:space="preserve"> en julio de 2023. Las conclusiones</w:t>
      </w:r>
      <w:r>
        <w:rPr>
          <w:lang w:val="es-ES"/>
        </w:rPr>
        <w:t xml:space="preserve"> de</w:t>
      </w:r>
      <w:r w:rsidRPr="00DB1BF4">
        <w:rPr>
          <w:lang w:val="es-ES"/>
        </w:rPr>
        <w:t xml:space="preserve"> </w:t>
      </w:r>
      <w:r>
        <w:rPr>
          <w:lang w:val="es-ES"/>
        </w:rPr>
        <w:t>dicho</w:t>
      </w:r>
      <w:r w:rsidRPr="00DB1BF4">
        <w:rPr>
          <w:lang w:val="es-ES"/>
        </w:rPr>
        <w:t xml:space="preserve"> </w:t>
      </w:r>
      <w:r>
        <w:rPr>
          <w:lang w:val="es-ES"/>
        </w:rPr>
        <w:t xml:space="preserve">estudio </w:t>
      </w:r>
      <w:r w:rsidRPr="00DB1BF4">
        <w:rPr>
          <w:lang w:val="es-ES"/>
        </w:rPr>
        <w:t>son las siguientes:</w:t>
      </w:r>
    </w:p>
    <w:p w14:paraId="1FE69CFF" w14:textId="1A17914B" w:rsidR="007F40A0" w:rsidRPr="007F40A0" w:rsidRDefault="007F40A0" w:rsidP="00D74BC4">
      <w:pPr>
        <w:pStyle w:val="enumlev1"/>
        <w:rPr>
          <w:highlight w:val="yellow"/>
          <w:lang w:val="es-ES"/>
        </w:rPr>
      </w:pPr>
      <w:r w:rsidRPr="007F40A0">
        <w:rPr>
          <w:lang w:val="es-ES" w:eastAsia="ko-KR"/>
        </w:rPr>
        <w:t>1)</w:t>
      </w:r>
      <w:r w:rsidRPr="007F40A0">
        <w:rPr>
          <w:lang w:val="es-ES" w:eastAsia="ko-KR"/>
        </w:rPr>
        <w:tab/>
      </w:r>
      <w:r w:rsidR="002C7A00" w:rsidRPr="002C7A00">
        <w:rPr>
          <w:lang w:val="es-ES"/>
        </w:rPr>
        <w:t>Se ha identificado una gran cantidad de espectro para las IMT</w:t>
      </w:r>
      <w:r w:rsidRPr="007F40A0">
        <w:rPr>
          <w:highlight w:val="yellow"/>
          <w:lang w:val="es-ES"/>
        </w:rPr>
        <w:t xml:space="preserve"> </w:t>
      </w:r>
    </w:p>
    <w:p w14:paraId="6D21A5FF" w14:textId="735DE377" w:rsidR="007F40A0" w:rsidRPr="007F40A0" w:rsidRDefault="007F40A0" w:rsidP="00D74BC4">
      <w:pPr>
        <w:pStyle w:val="enumlev2"/>
        <w:rPr>
          <w:lang w:val="es-ES"/>
        </w:rPr>
      </w:pPr>
      <w:r w:rsidRPr="007F40A0">
        <w:rPr>
          <w:lang w:val="en-GB"/>
        </w:rPr>
        <w:sym w:font="Wingdings" w:char="F09F"/>
      </w:r>
      <w:r w:rsidRPr="007F40A0">
        <w:rPr>
          <w:lang w:val="es-ES"/>
        </w:rPr>
        <w:tab/>
      </w:r>
      <w:r w:rsidR="002C7A00" w:rsidRPr="002C7A00">
        <w:rPr>
          <w:lang w:val="es-ES"/>
        </w:rPr>
        <w:t>Casi</w:t>
      </w:r>
      <w:r w:rsidRPr="007F40A0">
        <w:rPr>
          <w:lang w:val="es-ES"/>
        </w:rPr>
        <w:t xml:space="preserve"> 2 GHz </w:t>
      </w:r>
      <w:r w:rsidR="002C7A00" w:rsidRPr="002C7A00">
        <w:rPr>
          <w:lang w:val="es-ES"/>
        </w:rPr>
        <w:t>de espectro</w:t>
      </w:r>
      <w:r w:rsidRPr="007F40A0">
        <w:rPr>
          <w:lang w:val="es-ES"/>
        </w:rPr>
        <w:t xml:space="preserve"> </w:t>
      </w:r>
      <w:r w:rsidR="002C7A00" w:rsidRPr="002C7A00">
        <w:rPr>
          <w:lang w:val="es-ES"/>
        </w:rPr>
        <w:t>en banda baja y media</w:t>
      </w:r>
      <w:r w:rsidRPr="007F40A0">
        <w:rPr>
          <w:lang w:val="es-ES"/>
        </w:rPr>
        <w:t>;</w:t>
      </w:r>
    </w:p>
    <w:p w14:paraId="3EEA0CCA" w14:textId="622417BA" w:rsidR="007F40A0" w:rsidRPr="007F40A0" w:rsidRDefault="007F40A0" w:rsidP="00D74BC4">
      <w:pPr>
        <w:pStyle w:val="enumlev2"/>
        <w:rPr>
          <w:highlight w:val="yellow"/>
          <w:lang w:val="es-ES"/>
        </w:rPr>
      </w:pPr>
      <w:r w:rsidRPr="007F40A0">
        <w:rPr>
          <w:lang w:val="en-GB"/>
        </w:rPr>
        <w:sym w:font="Wingdings" w:char="F09F"/>
      </w:r>
      <w:r w:rsidRPr="007F40A0">
        <w:rPr>
          <w:lang w:val="es-ES"/>
        </w:rPr>
        <w:tab/>
      </w:r>
      <w:r w:rsidR="002C7A00" w:rsidRPr="002C7A00">
        <w:rPr>
          <w:lang w:val="es-ES"/>
        </w:rPr>
        <w:t>Más de</w:t>
      </w:r>
      <w:r w:rsidRPr="007F40A0">
        <w:rPr>
          <w:lang w:val="es-ES"/>
        </w:rPr>
        <w:t xml:space="preserve"> 17 GHz </w:t>
      </w:r>
      <w:r w:rsidR="002C7A00" w:rsidRPr="002C7A00">
        <w:rPr>
          <w:lang w:val="es-ES"/>
        </w:rPr>
        <w:t>de espectro en</w:t>
      </w:r>
      <w:r w:rsidRPr="007F40A0">
        <w:rPr>
          <w:lang w:val="es-ES"/>
        </w:rPr>
        <w:t xml:space="preserve"> </w:t>
      </w:r>
      <w:r w:rsidR="002C7A00" w:rsidRPr="002C7A00">
        <w:rPr>
          <w:lang w:val="es-ES"/>
        </w:rPr>
        <w:t>las bandas de ondas milimétricas</w:t>
      </w:r>
      <w:r w:rsidRPr="007F40A0">
        <w:rPr>
          <w:lang w:val="es-ES"/>
        </w:rPr>
        <w:t>;</w:t>
      </w:r>
    </w:p>
    <w:p w14:paraId="33F9839D" w14:textId="541E1E86" w:rsidR="007F40A0" w:rsidRPr="007F40A0" w:rsidRDefault="007F40A0" w:rsidP="00D74BC4">
      <w:pPr>
        <w:pStyle w:val="enumlev1"/>
        <w:rPr>
          <w:lang w:val="es-ES"/>
        </w:rPr>
      </w:pPr>
      <w:r w:rsidRPr="007F40A0">
        <w:rPr>
          <w:lang w:val="es-ES" w:eastAsia="ko-KR"/>
        </w:rPr>
        <w:t>2)</w:t>
      </w:r>
      <w:r w:rsidRPr="007F40A0">
        <w:rPr>
          <w:lang w:val="es-ES" w:eastAsia="ko-KR"/>
        </w:rPr>
        <w:tab/>
      </w:r>
      <w:r w:rsidR="002C7A00" w:rsidRPr="002C7A00">
        <w:rPr>
          <w:lang w:val="es-ES"/>
        </w:rPr>
        <w:t>La asignación del espectro es más limitada</w:t>
      </w:r>
    </w:p>
    <w:p w14:paraId="063AFCE6" w14:textId="4B0F1224" w:rsidR="007F40A0" w:rsidRPr="007F40A0" w:rsidRDefault="007F40A0" w:rsidP="00D74BC4">
      <w:pPr>
        <w:pStyle w:val="enumlev2"/>
        <w:rPr>
          <w:lang w:val="es-ES"/>
        </w:rPr>
      </w:pPr>
      <w:r w:rsidRPr="007F40A0">
        <w:rPr>
          <w:lang w:val="en-GB"/>
        </w:rPr>
        <w:sym w:font="Wingdings" w:char="F09F"/>
      </w:r>
      <w:r w:rsidRPr="007F40A0">
        <w:rPr>
          <w:lang w:val="es-ES"/>
        </w:rPr>
        <w:tab/>
      </w:r>
      <w:r w:rsidR="002C7A00" w:rsidRPr="002C7A00">
        <w:rPr>
          <w:lang w:val="es-ES"/>
        </w:rPr>
        <w:t>La mayoría de los países han asignado menos de la mitad del espectro de banda baja y media a los operadores</w:t>
      </w:r>
      <w:r w:rsidRPr="007F40A0">
        <w:rPr>
          <w:lang w:val="es-ES"/>
        </w:rPr>
        <w:t>;</w:t>
      </w:r>
    </w:p>
    <w:p w14:paraId="2004B562" w14:textId="7F27F587" w:rsidR="007F40A0" w:rsidRPr="007F40A0" w:rsidRDefault="007F40A0" w:rsidP="00D74BC4">
      <w:pPr>
        <w:pStyle w:val="enumlev2"/>
        <w:rPr>
          <w:lang w:val="es-ES"/>
        </w:rPr>
      </w:pPr>
      <w:r w:rsidRPr="007F40A0">
        <w:rPr>
          <w:lang w:val="en-GB"/>
        </w:rPr>
        <w:sym w:font="Wingdings" w:char="F09F"/>
      </w:r>
      <w:r w:rsidRPr="007F40A0">
        <w:rPr>
          <w:lang w:val="es-ES"/>
        </w:rPr>
        <w:tab/>
      </w:r>
      <w:r w:rsidR="002C7A00" w:rsidRPr="002C7A00">
        <w:rPr>
          <w:lang w:val="es-ES"/>
        </w:rPr>
        <w:t>Ha habido muy pocas asignaciones en las bandas de ondas milimétricas</w:t>
      </w:r>
      <w:r w:rsidRPr="007F40A0">
        <w:rPr>
          <w:lang w:val="es-ES"/>
        </w:rPr>
        <w:t>;</w:t>
      </w:r>
    </w:p>
    <w:p w14:paraId="6FAF426C" w14:textId="283710A6" w:rsidR="007F40A0" w:rsidRPr="007F40A0" w:rsidRDefault="007F40A0" w:rsidP="00D74BC4">
      <w:pPr>
        <w:pStyle w:val="enumlev1"/>
        <w:rPr>
          <w:lang w:val="es-ES"/>
        </w:rPr>
      </w:pPr>
      <w:r w:rsidRPr="007F40A0">
        <w:rPr>
          <w:lang w:val="es-ES" w:eastAsia="ko-KR"/>
        </w:rPr>
        <w:t>3)</w:t>
      </w:r>
      <w:r w:rsidRPr="007F40A0">
        <w:rPr>
          <w:lang w:val="es-ES" w:eastAsia="ko-KR"/>
        </w:rPr>
        <w:tab/>
      </w:r>
      <w:r w:rsidR="0045453B">
        <w:rPr>
          <w:lang w:val="es-ES" w:eastAsia="ko-KR"/>
        </w:rPr>
        <w:t xml:space="preserve">La </w:t>
      </w:r>
      <w:r w:rsidR="002C7A00" w:rsidRPr="0045453B">
        <w:rPr>
          <w:lang w:val="es-ES"/>
        </w:rPr>
        <w:t>demanda futura de datos móviles es incierta</w:t>
      </w:r>
      <w:r w:rsidRPr="007F40A0">
        <w:rPr>
          <w:lang w:val="es-ES"/>
        </w:rPr>
        <w:t xml:space="preserve"> </w:t>
      </w:r>
    </w:p>
    <w:p w14:paraId="31941090" w14:textId="3B174B5F" w:rsidR="007F40A0" w:rsidRPr="007F40A0" w:rsidRDefault="007F40A0" w:rsidP="00D74BC4">
      <w:pPr>
        <w:pStyle w:val="enumlev2"/>
        <w:rPr>
          <w:lang w:val="es-ES"/>
        </w:rPr>
      </w:pPr>
      <w:r w:rsidRPr="007F40A0">
        <w:rPr>
          <w:lang w:val="en-GB"/>
        </w:rPr>
        <w:sym w:font="Wingdings" w:char="F09F"/>
      </w:r>
      <w:r w:rsidRPr="007F40A0">
        <w:rPr>
          <w:lang w:val="es-ES"/>
        </w:rPr>
        <w:tab/>
      </w:r>
      <w:r w:rsidR="002C7A00" w:rsidRPr="0045453B">
        <w:rPr>
          <w:lang w:val="es-ES"/>
        </w:rPr>
        <w:t xml:space="preserve">La </w:t>
      </w:r>
      <w:r w:rsidR="0045453B" w:rsidRPr="0045453B">
        <w:rPr>
          <w:lang w:val="es-ES"/>
        </w:rPr>
        <w:t>adopción</w:t>
      </w:r>
      <w:r w:rsidR="002C7A00" w:rsidRPr="0045453B">
        <w:rPr>
          <w:lang w:val="es-ES"/>
        </w:rPr>
        <w:t xml:space="preserve"> de la </w:t>
      </w:r>
      <w:r w:rsidRPr="007F40A0">
        <w:rPr>
          <w:lang w:val="es-ES"/>
        </w:rPr>
        <w:t>5G h</w:t>
      </w:r>
      <w:r w:rsidR="0045453B" w:rsidRPr="0045453B">
        <w:rPr>
          <w:lang w:val="es-ES"/>
        </w:rPr>
        <w:t>a sido moderada y la utilización de las bandas de ondas milimétricas es limitada;</w:t>
      </w:r>
    </w:p>
    <w:p w14:paraId="184C2A60" w14:textId="4E94DD99" w:rsidR="007F40A0" w:rsidRPr="007F40A0" w:rsidRDefault="007F40A0" w:rsidP="00D74BC4">
      <w:pPr>
        <w:pStyle w:val="enumlev2"/>
        <w:rPr>
          <w:lang w:val="es-ES"/>
        </w:rPr>
      </w:pPr>
      <w:r w:rsidRPr="007F40A0">
        <w:rPr>
          <w:lang w:val="en-GB"/>
        </w:rPr>
        <w:sym w:font="Wingdings" w:char="F09F"/>
      </w:r>
      <w:r w:rsidRPr="007F40A0">
        <w:rPr>
          <w:lang w:val="es-ES"/>
        </w:rPr>
        <w:tab/>
      </w:r>
      <w:r w:rsidR="0045453B" w:rsidRPr="0045453B">
        <w:rPr>
          <w:lang w:val="es-ES"/>
        </w:rPr>
        <w:t>Debería darse prioridad a la reconfiguración del espectro y la asignación de las identificaciones existentes.</w:t>
      </w:r>
    </w:p>
    <w:p w14:paraId="3D0251FB" w14:textId="3BEC5105" w:rsidR="007F40A0" w:rsidRPr="00D74BC4" w:rsidRDefault="007F40A0" w:rsidP="005F09E2">
      <w:pPr>
        <w:pStyle w:val="Headingb"/>
        <w:keepLines/>
        <w:rPr>
          <w:lang w:val="es-ES"/>
        </w:rPr>
      </w:pPr>
      <w:r w:rsidRPr="00D74BC4">
        <w:rPr>
          <w:lang w:val="es-ES"/>
        </w:rPr>
        <w:lastRenderedPageBreak/>
        <w:t>Propuestas</w:t>
      </w:r>
    </w:p>
    <w:p w14:paraId="1B820453" w14:textId="77777777" w:rsidR="007F40A0" w:rsidRPr="00D74BC4" w:rsidRDefault="007F40A0" w:rsidP="005F09E2">
      <w:pPr>
        <w:pStyle w:val="Proposal"/>
        <w:keepLines/>
        <w:rPr>
          <w:rStyle w:val="ui-provider"/>
          <w:highlight w:val="yellow"/>
          <w:lang w:val="es-ES"/>
        </w:rPr>
      </w:pPr>
      <w:r w:rsidRPr="007305EB">
        <w:rPr>
          <w:rStyle w:val="ui-provider"/>
        </w:rPr>
        <w:tab/>
      </w:r>
      <w:r w:rsidRPr="00D74BC4">
        <w:rPr>
          <w:lang w:val="es-ES"/>
        </w:rPr>
        <w:t>BRM/PNG/SLM/SMO/TON/VUT</w:t>
      </w:r>
      <w:r w:rsidRPr="00D74BC4">
        <w:rPr>
          <w:rStyle w:val="ui-provider"/>
          <w:lang w:val="es-ES"/>
        </w:rPr>
        <w:t>/180/1</w:t>
      </w:r>
    </w:p>
    <w:p w14:paraId="4198A09E" w14:textId="5FB6E27C" w:rsidR="007F40A0" w:rsidRPr="005F09E2" w:rsidRDefault="0045453B" w:rsidP="005F09E2">
      <w:pPr>
        <w:keepNext/>
        <w:keepLines/>
      </w:pPr>
      <w:r w:rsidRPr="005F09E2">
        <w:t xml:space="preserve">Sobre la base de los hechos y consideraciones anteriores, estas administraciones no apoyan </w:t>
      </w:r>
      <w:r w:rsidR="00682C9B" w:rsidRPr="005F09E2">
        <w:t>la consideración</w:t>
      </w:r>
      <w:r w:rsidRPr="005F09E2">
        <w:t xml:space="preserve"> de un nuevo punto del orden del día relativo a la identificación de las IMT para el ciclo de estudios de la CMR-27. No obstante, si </w:t>
      </w:r>
      <w:r w:rsidR="00FB0943" w:rsidRPr="005F09E2">
        <w:t xml:space="preserve">se </w:t>
      </w:r>
      <w:r w:rsidRPr="005F09E2">
        <w:t xml:space="preserve">decidiera finalmente incluir un punto </w:t>
      </w:r>
      <w:r w:rsidR="00682C9B" w:rsidRPr="005F09E2">
        <w:t xml:space="preserve">en </w:t>
      </w:r>
      <w:r w:rsidRPr="005F09E2">
        <w:t xml:space="preserve">el orden del día sobre las IMT, estas administraciones se opondrían firmemente a cualquier consideración de la gama de frecuencias </w:t>
      </w:r>
      <w:r w:rsidR="00FB0943" w:rsidRPr="005F09E2">
        <w:t xml:space="preserve">de </w:t>
      </w:r>
      <w:r w:rsidRPr="005F09E2">
        <w:t>10,7-14,8 GHz.</w:t>
      </w:r>
    </w:p>
    <w:p w14:paraId="4EC58315" w14:textId="77777777" w:rsidR="00D74BC4" w:rsidRDefault="00D74BC4" w:rsidP="005F09E2">
      <w:pPr>
        <w:pStyle w:val="Reasons"/>
        <w:keepNext/>
        <w:keepLines/>
      </w:pPr>
    </w:p>
    <w:p w14:paraId="0A42975F" w14:textId="77777777" w:rsidR="00D74BC4" w:rsidRDefault="00D74BC4">
      <w:pPr>
        <w:jc w:val="center"/>
      </w:pPr>
      <w:r>
        <w:t>______________</w:t>
      </w:r>
    </w:p>
    <w:sectPr w:rsidR="00D74BC4">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A3EB" w14:textId="77777777" w:rsidR="002F4C15" w:rsidRDefault="002F4C15">
      <w:r>
        <w:separator/>
      </w:r>
    </w:p>
  </w:endnote>
  <w:endnote w:type="continuationSeparator" w:id="0">
    <w:p w14:paraId="6E838572" w14:textId="77777777" w:rsidR="002F4C15" w:rsidRDefault="002F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E4B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700CD6" w14:textId="2D7E87D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F606D">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4CF0" w14:textId="3AD85C51" w:rsidR="0077084A" w:rsidRDefault="00660941" w:rsidP="00B86034">
    <w:pPr>
      <w:pStyle w:val="Footer"/>
      <w:ind w:right="360"/>
      <w:rPr>
        <w:lang w:val="en-US"/>
      </w:rPr>
    </w:pPr>
    <w:r>
      <w:fldChar w:fldCharType="begin"/>
    </w:r>
    <w:r>
      <w:rPr>
        <w:lang w:val="en-US"/>
      </w:rPr>
      <w:instrText xml:space="preserve"> FILENAME \p  \* MERGEFORMAT </w:instrText>
    </w:r>
    <w:r>
      <w:fldChar w:fldCharType="separate"/>
    </w:r>
    <w:r w:rsidR="00601F12">
      <w:rPr>
        <w:lang w:val="en-US"/>
      </w:rPr>
      <w:t>P:\ESP\ITU-R\CONF-R\CMR23\100\180S.docx</w:t>
    </w:r>
    <w:r>
      <w:fldChar w:fldCharType="end"/>
    </w:r>
    <w:r w:rsidRPr="00660941">
      <w:rPr>
        <w:lang w:val="en-US"/>
      </w:rPr>
      <w:t xml:space="preserve"> </w:t>
    </w:r>
    <w:r>
      <w:rPr>
        <w:lang w:val="en-US"/>
      </w:rPr>
      <w:t>(530484)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5B39" w14:textId="4B714D93" w:rsidR="0077084A" w:rsidRPr="00660941" w:rsidRDefault="0077084A" w:rsidP="00B47331">
    <w:pPr>
      <w:pStyle w:val="Footer"/>
      <w:rPr>
        <w:lang w:val="en-US"/>
      </w:rPr>
    </w:pPr>
    <w:r>
      <w:fldChar w:fldCharType="begin"/>
    </w:r>
    <w:r>
      <w:rPr>
        <w:lang w:val="en-US"/>
      </w:rPr>
      <w:instrText xml:space="preserve"> FILENAME \p  \* MERGEFORMAT </w:instrText>
    </w:r>
    <w:r>
      <w:fldChar w:fldCharType="separate"/>
    </w:r>
    <w:r w:rsidR="00601F12">
      <w:rPr>
        <w:lang w:val="en-US"/>
      </w:rPr>
      <w:t>P:\ESP\ITU-R\CONF-R\CMR23\100\180S.docx</w:t>
    </w:r>
    <w:r>
      <w:fldChar w:fldCharType="end"/>
    </w:r>
    <w:r w:rsidR="00660941" w:rsidRPr="00660941">
      <w:rPr>
        <w:lang w:val="en-US"/>
      </w:rPr>
      <w:t xml:space="preserve"> </w:t>
    </w:r>
    <w:r w:rsidR="00660941">
      <w:rPr>
        <w:lang w:val="en-US"/>
      </w:rPr>
      <w:t>(530484)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6CD1" w14:textId="77777777" w:rsidR="002F4C15" w:rsidRDefault="002F4C15">
      <w:r>
        <w:rPr>
          <w:b/>
        </w:rPr>
        <w:t>_______________</w:t>
      </w:r>
    </w:p>
  </w:footnote>
  <w:footnote w:type="continuationSeparator" w:id="0">
    <w:p w14:paraId="628B025B" w14:textId="77777777" w:rsidR="002F4C15" w:rsidRDefault="002F4C15">
      <w:r>
        <w:continuationSeparator/>
      </w:r>
    </w:p>
  </w:footnote>
  <w:footnote w:id="1">
    <w:p w14:paraId="240E69A7" w14:textId="77777777" w:rsidR="009D4FA5" w:rsidRPr="009D4FA5" w:rsidRDefault="009D4FA5" w:rsidP="009D4FA5">
      <w:pPr>
        <w:pStyle w:val="FootnoteText"/>
        <w:rPr>
          <w:lang w:val="en-GB"/>
        </w:rPr>
      </w:pPr>
      <w:r>
        <w:rPr>
          <w:rStyle w:val="FootnoteReference"/>
        </w:rPr>
        <w:footnoteRef/>
      </w:r>
      <w:r w:rsidRPr="009D4FA5">
        <w:rPr>
          <w:lang w:val="en-GB"/>
        </w:rPr>
        <w:tab/>
      </w:r>
      <w:r w:rsidRPr="003018EE">
        <w:rPr>
          <w:i/>
          <w:iCs/>
          <w:lang w:val="en-GB"/>
        </w:rPr>
        <w:t>Highlights of Cisco’s Internet Traffic Report &amp; Forecast</w:t>
      </w:r>
      <w:r w:rsidRPr="009D4FA5">
        <w:rPr>
          <w:lang w:val="en-GB"/>
        </w:rPr>
        <w:t xml:space="preserve"> (</w:t>
      </w:r>
      <w:hyperlink r:id="rId1" w:history="1">
        <w:r w:rsidRPr="009D4FA5">
          <w:rPr>
            <w:rStyle w:val="Hyperlink"/>
            <w:lang w:val="en-GB"/>
          </w:rPr>
          <w:t>https://techblog.comsoc.org/2021/12/29/highlights-of-ciscos-internet-traffic-forecast/</w:t>
        </w:r>
      </w:hyperlink>
      <w:r w:rsidRPr="009D4FA5">
        <w:rPr>
          <w:lang w:val="en-GB"/>
        </w:rPr>
        <w:t>).</w:t>
      </w:r>
    </w:p>
  </w:footnote>
  <w:footnote w:id="2">
    <w:p w14:paraId="5C534F22" w14:textId="2AFBEA61" w:rsidR="009D4FA5" w:rsidRPr="003018EE" w:rsidRDefault="009D4FA5" w:rsidP="009D4FA5">
      <w:pPr>
        <w:pStyle w:val="FootnoteText"/>
        <w:rPr>
          <w:lang w:val="es-ES"/>
        </w:rPr>
      </w:pPr>
      <w:r>
        <w:rPr>
          <w:rStyle w:val="FootnoteReference"/>
        </w:rPr>
        <w:footnoteRef/>
      </w:r>
      <w:r w:rsidRPr="009D4FA5">
        <w:rPr>
          <w:lang w:val="es-ES"/>
        </w:rPr>
        <w:tab/>
      </w:r>
      <w:r w:rsidRPr="003018EE">
        <w:rPr>
          <w:i/>
          <w:iCs/>
          <w:lang w:val="es-ES"/>
        </w:rPr>
        <w:t>7-24 GHz opportunities for 6G</w:t>
      </w:r>
      <w:r w:rsidRPr="009D4FA5">
        <w:rPr>
          <w:lang w:val="es-ES"/>
        </w:rPr>
        <w:t xml:space="preserve"> – </w:t>
      </w:r>
      <w:bookmarkStart w:id="6" w:name="_Hlk126946476"/>
      <w:r w:rsidRPr="009D4FA5">
        <w:rPr>
          <w:lang w:val="es-ES"/>
        </w:rPr>
        <w:t xml:space="preserve">Informe definitivo de Plum Consulting </w:t>
      </w:r>
      <w:bookmarkEnd w:id="6"/>
      <w:r w:rsidRPr="009D4FA5">
        <w:rPr>
          <w:lang w:val="es-ES"/>
        </w:rPr>
        <w:t>(</w:t>
      </w:r>
      <w:hyperlink r:id="rId2" w:history="1">
        <w:r w:rsidRPr="009D4FA5">
          <w:rPr>
            <w:color w:val="0070C0"/>
            <w:u w:val="single"/>
            <w:lang w:val="es-ES"/>
          </w:rPr>
          <w:t>https://plumconsulting.co.uk/opportunities-for-6g-in-7-24-ghz/</w:t>
        </w:r>
      </w:hyperlink>
      <w:r w:rsidRPr="009D4FA5">
        <w:rPr>
          <w:lang w:val="es-ES"/>
        </w:rPr>
        <w:t xml:space="preserve">, 25 de noviembre de 2022). </w:t>
      </w:r>
      <w:r w:rsidRPr="003018EE">
        <w:rPr>
          <w:lang w:val="es-ES"/>
        </w:rPr>
        <w:t xml:space="preserve">Se trata de un </w:t>
      </w:r>
      <w:r w:rsidR="003018EE">
        <w:rPr>
          <w:lang w:val="es-ES"/>
        </w:rPr>
        <w:t>estudio</w:t>
      </w:r>
      <w:r w:rsidRPr="003018EE">
        <w:rPr>
          <w:lang w:val="es-ES"/>
        </w:rPr>
        <w:t xml:space="preserve"> financiado por </w:t>
      </w:r>
      <w:r w:rsidR="003018EE">
        <w:rPr>
          <w:lang w:val="es-ES"/>
        </w:rPr>
        <w:t xml:space="preserve">el </w:t>
      </w:r>
      <w:r w:rsidR="003018EE" w:rsidRPr="003018EE">
        <w:rPr>
          <w:lang w:val="es-ES"/>
        </w:rPr>
        <w:t>Foro de Política de</w:t>
      </w:r>
      <w:r w:rsidR="003F2A92">
        <w:rPr>
          <w:lang w:val="es-ES"/>
        </w:rPr>
        <w:t>l</w:t>
      </w:r>
      <w:r w:rsidR="003018EE" w:rsidRPr="003018EE">
        <w:rPr>
          <w:lang w:val="es-ES"/>
        </w:rPr>
        <w:t xml:space="preserve"> Espectro de</w:t>
      </w:r>
      <w:r w:rsidR="003F2A92">
        <w:rPr>
          <w:lang w:val="es-ES"/>
        </w:rPr>
        <w:t>l</w:t>
      </w:r>
      <w:r w:rsidR="003018EE" w:rsidRPr="003018EE">
        <w:rPr>
          <w:lang w:val="es-ES"/>
        </w:rPr>
        <w:t xml:space="preserve"> Reino Unido</w:t>
      </w:r>
      <w:r w:rsidRPr="003018EE">
        <w:rPr>
          <w:lang w:val="es-ES"/>
        </w:rPr>
        <w:t>.</w:t>
      </w:r>
    </w:p>
  </w:footnote>
  <w:footnote w:id="3">
    <w:p w14:paraId="78B7BB21" w14:textId="77777777" w:rsidR="002C7A00" w:rsidRPr="007F40A0" w:rsidRDefault="002C7A00" w:rsidP="002C7A00">
      <w:pPr>
        <w:pStyle w:val="FootnoteText"/>
        <w:rPr>
          <w:lang w:val="en-GB"/>
        </w:rPr>
      </w:pPr>
      <w:r>
        <w:rPr>
          <w:rStyle w:val="FootnoteReference"/>
        </w:rPr>
        <w:footnoteRef/>
      </w:r>
      <w:r w:rsidRPr="007F40A0">
        <w:rPr>
          <w:lang w:val="en-GB"/>
        </w:rPr>
        <w:tab/>
      </w:r>
      <w:r>
        <w:rPr>
          <w:lang w:val="en-GB"/>
        </w:rPr>
        <w:t>Véase</w:t>
      </w:r>
      <w:r w:rsidRPr="003018EE">
        <w:rPr>
          <w:i/>
          <w:iCs/>
          <w:lang w:val="en-GB"/>
        </w:rPr>
        <w:t xml:space="preserve"> </w:t>
      </w:r>
      <w:hyperlink r:id="rId3" w:history="1">
        <w:r w:rsidRPr="003018EE">
          <w:rPr>
            <w:rStyle w:val="Hyperlink"/>
            <w:i/>
            <w:iCs/>
            <w:lang w:val="en-GB"/>
          </w:rPr>
          <w:t>Examining the current assignment and usage of mobile spectrum (apt.int)</w:t>
        </w:r>
      </w:hyperlink>
      <w:r w:rsidRPr="007F40A0">
        <w:rPr>
          <w:rStyle w:val="Hyperlink"/>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B65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145E81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180-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853566886">
    <w:abstractNumId w:val="8"/>
  </w:num>
  <w:num w:numId="2" w16cid:durableId="186050820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57128272">
    <w:abstractNumId w:val="9"/>
  </w:num>
  <w:num w:numId="4" w16cid:durableId="391008288">
    <w:abstractNumId w:val="7"/>
  </w:num>
  <w:num w:numId="5" w16cid:durableId="325406582">
    <w:abstractNumId w:val="6"/>
  </w:num>
  <w:num w:numId="6" w16cid:durableId="865481578">
    <w:abstractNumId w:val="5"/>
  </w:num>
  <w:num w:numId="7" w16cid:durableId="1669558381">
    <w:abstractNumId w:val="4"/>
  </w:num>
  <w:num w:numId="8" w16cid:durableId="1962228698">
    <w:abstractNumId w:val="3"/>
  </w:num>
  <w:num w:numId="9" w16cid:durableId="2122794928">
    <w:abstractNumId w:val="2"/>
  </w:num>
  <w:num w:numId="10" w16cid:durableId="1095634073">
    <w:abstractNumId w:val="1"/>
  </w:num>
  <w:num w:numId="11" w16cid:durableId="179054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1F606D"/>
    <w:rsid w:val="00216E02"/>
    <w:rsid w:val="0023659C"/>
    <w:rsid w:val="00236D2A"/>
    <w:rsid w:val="0024569E"/>
    <w:rsid w:val="00255F12"/>
    <w:rsid w:val="00262C09"/>
    <w:rsid w:val="002A791F"/>
    <w:rsid w:val="002C1A52"/>
    <w:rsid w:val="002C1B26"/>
    <w:rsid w:val="002C5D6C"/>
    <w:rsid w:val="002C7A00"/>
    <w:rsid w:val="002E701F"/>
    <w:rsid w:val="002F4C15"/>
    <w:rsid w:val="002F6642"/>
    <w:rsid w:val="003018EE"/>
    <w:rsid w:val="003248A9"/>
    <w:rsid w:val="00324FFA"/>
    <w:rsid w:val="0032680B"/>
    <w:rsid w:val="00363A65"/>
    <w:rsid w:val="003B1E8C"/>
    <w:rsid w:val="003C0613"/>
    <w:rsid w:val="003C2508"/>
    <w:rsid w:val="003D0AA3"/>
    <w:rsid w:val="003E2086"/>
    <w:rsid w:val="003F2A92"/>
    <w:rsid w:val="003F7F66"/>
    <w:rsid w:val="00440B3A"/>
    <w:rsid w:val="0044375A"/>
    <w:rsid w:val="0045384C"/>
    <w:rsid w:val="0045453B"/>
    <w:rsid w:val="00454553"/>
    <w:rsid w:val="00472A86"/>
    <w:rsid w:val="004B124A"/>
    <w:rsid w:val="004B3095"/>
    <w:rsid w:val="004D2749"/>
    <w:rsid w:val="004D2C7C"/>
    <w:rsid w:val="005133B5"/>
    <w:rsid w:val="00524392"/>
    <w:rsid w:val="00532097"/>
    <w:rsid w:val="00563A05"/>
    <w:rsid w:val="0058350F"/>
    <w:rsid w:val="00583C7E"/>
    <w:rsid w:val="0059098E"/>
    <w:rsid w:val="005D1AC9"/>
    <w:rsid w:val="005D46FB"/>
    <w:rsid w:val="005E6481"/>
    <w:rsid w:val="005F09E2"/>
    <w:rsid w:val="005F2605"/>
    <w:rsid w:val="005F3B0E"/>
    <w:rsid w:val="005F3DB8"/>
    <w:rsid w:val="005F559C"/>
    <w:rsid w:val="00601F12"/>
    <w:rsid w:val="00602857"/>
    <w:rsid w:val="006124AD"/>
    <w:rsid w:val="00624009"/>
    <w:rsid w:val="00660941"/>
    <w:rsid w:val="00662BA0"/>
    <w:rsid w:val="00666B37"/>
    <w:rsid w:val="0067344B"/>
    <w:rsid w:val="00682C9B"/>
    <w:rsid w:val="00684A94"/>
    <w:rsid w:val="00692AAE"/>
    <w:rsid w:val="006C0E38"/>
    <w:rsid w:val="006D6E67"/>
    <w:rsid w:val="006E1A13"/>
    <w:rsid w:val="006E351C"/>
    <w:rsid w:val="00701C20"/>
    <w:rsid w:val="00702F3D"/>
    <w:rsid w:val="0070518E"/>
    <w:rsid w:val="007354E9"/>
    <w:rsid w:val="007424E8"/>
    <w:rsid w:val="0074579D"/>
    <w:rsid w:val="00765578"/>
    <w:rsid w:val="00766333"/>
    <w:rsid w:val="0077084A"/>
    <w:rsid w:val="007952C7"/>
    <w:rsid w:val="007C0B95"/>
    <w:rsid w:val="007C2317"/>
    <w:rsid w:val="007D330A"/>
    <w:rsid w:val="007F40A0"/>
    <w:rsid w:val="0080079E"/>
    <w:rsid w:val="008504C2"/>
    <w:rsid w:val="00866AE6"/>
    <w:rsid w:val="008750A8"/>
    <w:rsid w:val="008D3316"/>
    <w:rsid w:val="008E5AF2"/>
    <w:rsid w:val="0090121B"/>
    <w:rsid w:val="009144C9"/>
    <w:rsid w:val="0094091F"/>
    <w:rsid w:val="00962171"/>
    <w:rsid w:val="00973754"/>
    <w:rsid w:val="009C0BED"/>
    <w:rsid w:val="009D4FA5"/>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74BC4"/>
    <w:rsid w:val="00DA71A3"/>
    <w:rsid w:val="00DB1BF4"/>
    <w:rsid w:val="00DC1922"/>
    <w:rsid w:val="00DC629B"/>
    <w:rsid w:val="00DE1C31"/>
    <w:rsid w:val="00E05BFF"/>
    <w:rsid w:val="00E22D65"/>
    <w:rsid w:val="00E262F1"/>
    <w:rsid w:val="00E3176A"/>
    <w:rsid w:val="00E36CE4"/>
    <w:rsid w:val="00E54754"/>
    <w:rsid w:val="00E56BD3"/>
    <w:rsid w:val="00E71D14"/>
    <w:rsid w:val="00EA77F0"/>
    <w:rsid w:val="00EC3180"/>
    <w:rsid w:val="00ED007C"/>
    <w:rsid w:val="00F32316"/>
    <w:rsid w:val="00F66597"/>
    <w:rsid w:val="00F675D0"/>
    <w:rsid w:val="00F8150C"/>
    <w:rsid w:val="00FB0943"/>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0EE6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qFormat/>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aliases w:val="ECC Hyperlink,CEO_Hyperlink,超级链接"/>
    <w:basedOn w:val="DefaultParagraphFont"/>
    <w:unhideWhenUsed/>
    <w:qFormat/>
    <w:rPr>
      <w:color w:val="0000FF" w:themeColor="hyperlink"/>
      <w:u w:val="single"/>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7F40A0"/>
    <w:rPr>
      <w:rFonts w:ascii="Times New Roman" w:hAnsi="Times New Roman"/>
      <w:sz w:val="24"/>
      <w:lang w:val="es-ES_tradnl" w:eastAsia="en-US"/>
    </w:rPr>
  </w:style>
  <w:style w:type="character" w:customStyle="1" w:styleId="ui-provider">
    <w:name w:val="ui-provider"/>
    <w:basedOn w:val="DefaultParagraphFont"/>
    <w:rsid w:val="007F40A0"/>
  </w:style>
  <w:style w:type="paragraph" w:styleId="ListParagraph">
    <w:name w:val="List Paragraph"/>
    <w:basedOn w:val="Normal"/>
    <w:uiPriority w:val="34"/>
    <w:qFormat/>
    <w:rsid w:val="007F40A0"/>
    <w:pPr>
      <w:ind w:left="720"/>
      <w:contextualSpacing/>
    </w:pPr>
  </w:style>
  <w:style w:type="character" w:styleId="FollowedHyperlink">
    <w:name w:val="FollowedHyperlink"/>
    <w:basedOn w:val="DefaultParagraphFont"/>
    <w:semiHidden/>
    <w:unhideWhenUsed/>
    <w:rsid w:val="009D4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pt.int/sites/default/files/Examining_the_current_assignment_and_usage_of_mobile_spectrum.pdf" TargetMode="External"/><Relationship Id="rId2" Type="http://schemas.openxmlformats.org/officeDocument/2006/relationships/hyperlink" Target="https://plumconsulting.co.uk/opportunities-for-6g-in-7-24-ghz/" TargetMode="External"/><Relationship Id="rId1" Type="http://schemas.openxmlformats.org/officeDocument/2006/relationships/hyperlink" Target="https://techblog.comsoc.org/2021/12/29/highlights-of-ciscos-internet-traffic-fore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R23-WRC23-C-0180!!MSW-S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7D18F0-2823-419C-BFE6-24982517D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5368E-0B0C-4F98-9661-EE44C41BE0C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9C9B7D5D-82D5-4BD2-8A15-7CCB417411EC}">
  <ds:schemaRefs>
    <ds:schemaRef ds:uri="http://schemas.microsoft.com/sharepoint/v3/contenttype/forms"/>
  </ds:schemaRefs>
</ds:datastoreItem>
</file>

<file path=customXml/itemProps5.xml><?xml version="1.0" encoding="utf-8"?>
<ds:datastoreItem xmlns:ds="http://schemas.openxmlformats.org/officeDocument/2006/customXml" ds:itemID="{62005E19-5B4C-4C84-A5B6-51ADB1A2A7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867</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R23-WRC23-C-0180!!MSW-S</vt:lpstr>
    </vt:vector>
  </TitlesOfParts>
  <Manager>Secretaría General - Pool</Manager>
  <Company>Unión Internacional de Telecomunicaciones (UIT)</Company>
  <LinksUpToDate>false</LinksUpToDate>
  <CharactersWithSpaces>5266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R23-WRC23-C-0180!!MSW-S</dc:title>
  <dc:subject>Conferencia Mundial de Radiocomunicaciones - 2019</dc:subject>
  <dc:creator>Documents Proposals Manager (DPM)</dc:creator>
  <cp:keywords>DPM_v2023.11.6.1_prod</cp:keywords>
  <dc:description/>
  <cp:lastModifiedBy>Spanish</cp:lastModifiedBy>
  <cp:revision>5</cp:revision>
  <cp:lastPrinted>2003-02-19T20:20:00Z</cp:lastPrinted>
  <dcterms:created xsi:type="dcterms:W3CDTF">2023-11-09T15:55:00Z</dcterms:created>
  <dcterms:modified xsi:type="dcterms:W3CDTF">2023-11-09T16:05:00Z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