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FD57C50" w14:textId="77777777" w:rsidTr="00752552">
        <w:trPr>
          <w:cantSplit/>
          <w:trHeight w:val="20"/>
        </w:trPr>
        <w:tc>
          <w:tcPr>
            <w:tcW w:w="1589" w:type="dxa"/>
            <w:vAlign w:val="center"/>
          </w:tcPr>
          <w:p w14:paraId="4188043F" w14:textId="77777777" w:rsidR="00752552" w:rsidRPr="000D1EE4" w:rsidRDefault="00752552" w:rsidP="00752552">
            <w:pPr>
              <w:spacing w:before="0"/>
              <w:jc w:val="left"/>
              <w:rPr>
                <w:b/>
                <w:bCs/>
                <w:rtl/>
                <w:lang w:bidi="ar-EG"/>
              </w:rPr>
            </w:pPr>
            <w:r w:rsidRPr="000D1EE4">
              <w:rPr>
                <w:noProof/>
              </w:rPr>
              <w:drawing>
                <wp:inline distT="0" distB="0" distL="0" distR="0" wp14:anchorId="758B7893" wp14:editId="029DA48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A17BB6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B7E3CE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4F46BB9" w14:textId="77777777" w:rsidR="00752552" w:rsidRPr="000D1EE4" w:rsidRDefault="00752552" w:rsidP="00752552">
            <w:pPr>
              <w:jc w:val="right"/>
              <w:rPr>
                <w:rtl/>
                <w:lang w:bidi="ar-EG"/>
              </w:rPr>
            </w:pPr>
            <w:bookmarkStart w:id="0" w:name="ditulogo"/>
            <w:bookmarkEnd w:id="0"/>
            <w:r>
              <w:rPr>
                <w:noProof/>
              </w:rPr>
              <w:drawing>
                <wp:inline distT="0" distB="0" distL="0" distR="0" wp14:anchorId="74BE8684" wp14:editId="4C3B793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A2CC1C4" w14:textId="77777777" w:rsidTr="00752552">
        <w:trPr>
          <w:cantSplit/>
          <w:trHeight w:val="20"/>
        </w:trPr>
        <w:tc>
          <w:tcPr>
            <w:tcW w:w="6696" w:type="dxa"/>
            <w:gridSpan w:val="2"/>
            <w:tcBorders>
              <w:bottom w:val="single" w:sz="12" w:space="0" w:color="auto"/>
            </w:tcBorders>
          </w:tcPr>
          <w:p w14:paraId="7C0ED64F" w14:textId="77777777" w:rsidR="000D1EE4" w:rsidRPr="000D1EE4" w:rsidRDefault="000D1EE4" w:rsidP="000D1EE4">
            <w:pPr>
              <w:rPr>
                <w:rtl/>
                <w:lang w:bidi="ar-EG"/>
              </w:rPr>
            </w:pPr>
          </w:p>
        </w:tc>
        <w:tc>
          <w:tcPr>
            <w:tcW w:w="2970" w:type="dxa"/>
            <w:gridSpan w:val="2"/>
            <w:tcBorders>
              <w:bottom w:val="single" w:sz="12" w:space="0" w:color="auto"/>
            </w:tcBorders>
          </w:tcPr>
          <w:p w14:paraId="60409F51" w14:textId="77777777" w:rsidR="000D1EE4" w:rsidRPr="000D1EE4" w:rsidRDefault="000D1EE4" w:rsidP="000D1EE4">
            <w:pPr>
              <w:rPr>
                <w:lang w:val="en-GB" w:bidi="ar-EG"/>
              </w:rPr>
            </w:pPr>
          </w:p>
        </w:tc>
      </w:tr>
      <w:tr w:rsidR="000D1EE4" w:rsidRPr="000D1EE4" w14:paraId="094460FD" w14:textId="77777777" w:rsidTr="00752552">
        <w:trPr>
          <w:cantSplit/>
          <w:trHeight w:val="20"/>
        </w:trPr>
        <w:tc>
          <w:tcPr>
            <w:tcW w:w="6696" w:type="dxa"/>
            <w:gridSpan w:val="2"/>
            <w:tcBorders>
              <w:top w:val="single" w:sz="12" w:space="0" w:color="auto"/>
            </w:tcBorders>
          </w:tcPr>
          <w:p w14:paraId="12123FCB" w14:textId="77777777" w:rsidR="000D1EE4" w:rsidRPr="000D1EE4" w:rsidRDefault="000D1EE4" w:rsidP="000D1EE4">
            <w:pPr>
              <w:rPr>
                <w:b/>
                <w:bCs/>
                <w:rtl/>
                <w:lang w:bidi="ar-EG"/>
              </w:rPr>
            </w:pPr>
          </w:p>
        </w:tc>
        <w:tc>
          <w:tcPr>
            <w:tcW w:w="2970" w:type="dxa"/>
            <w:gridSpan w:val="2"/>
            <w:tcBorders>
              <w:top w:val="single" w:sz="12" w:space="0" w:color="auto"/>
            </w:tcBorders>
          </w:tcPr>
          <w:p w14:paraId="6125FC13" w14:textId="77777777" w:rsidR="000D1EE4" w:rsidRPr="000D1EE4" w:rsidRDefault="000D1EE4" w:rsidP="000D1EE4">
            <w:pPr>
              <w:rPr>
                <w:b/>
                <w:bCs/>
                <w:lang w:bidi="ar-EG"/>
              </w:rPr>
            </w:pPr>
          </w:p>
        </w:tc>
      </w:tr>
      <w:tr w:rsidR="000D1EE4" w:rsidRPr="000D1EE4" w14:paraId="575C11F9" w14:textId="77777777" w:rsidTr="00752552">
        <w:trPr>
          <w:cantSplit/>
        </w:trPr>
        <w:tc>
          <w:tcPr>
            <w:tcW w:w="6696" w:type="dxa"/>
            <w:gridSpan w:val="2"/>
          </w:tcPr>
          <w:p w14:paraId="1F497598" w14:textId="77777777" w:rsidR="000D1EE4" w:rsidRPr="00BF56F1" w:rsidRDefault="00E50850" w:rsidP="0061674F">
            <w:pPr>
              <w:pStyle w:val="Committee"/>
              <w:bidi/>
              <w:rPr>
                <w:rtl/>
                <w:lang w:bidi="ar-EG"/>
              </w:rPr>
            </w:pPr>
            <w:r w:rsidRPr="00BF56F1">
              <w:rPr>
                <w:rtl/>
                <w:lang w:bidi="ar-EG"/>
              </w:rPr>
              <w:t>الجلسة العامة</w:t>
            </w:r>
          </w:p>
        </w:tc>
        <w:tc>
          <w:tcPr>
            <w:tcW w:w="2970" w:type="dxa"/>
            <w:gridSpan w:val="2"/>
          </w:tcPr>
          <w:p w14:paraId="60311E16" w14:textId="77777777" w:rsidR="000D1EE4" w:rsidRPr="00BF56F1" w:rsidRDefault="00E50850" w:rsidP="00BF56F1">
            <w:pPr>
              <w:spacing w:before="60" w:after="60" w:line="260" w:lineRule="exact"/>
              <w:jc w:val="left"/>
              <w:rPr>
                <w:b/>
                <w:bCs/>
                <w:rtl/>
                <w:lang w:bidi="ar-EG"/>
              </w:rPr>
            </w:pPr>
            <w:r w:rsidRPr="00BF56F1">
              <w:rPr>
                <w:rFonts w:eastAsia="SimSun"/>
                <w:b/>
                <w:bCs/>
                <w:rtl/>
                <w:lang w:bidi="ar-EG"/>
              </w:rPr>
              <w:t xml:space="preserve">الوثيقة </w:t>
            </w:r>
            <w:r w:rsidRPr="00BF56F1">
              <w:rPr>
                <w:rFonts w:eastAsia="SimSun"/>
                <w:b/>
                <w:bCs/>
              </w:rPr>
              <w:t>180-A</w:t>
            </w:r>
          </w:p>
        </w:tc>
      </w:tr>
      <w:tr w:rsidR="000D1EE4" w:rsidRPr="000D1EE4" w14:paraId="3F388F64" w14:textId="77777777" w:rsidTr="00752552">
        <w:trPr>
          <w:cantSplit/>
        </w:trPr>
        <w:tc>
          <w:tcPr>
            <w:tcW w:w="6696" w:type="dxa"/>
            <w:gridSpan w:val="2"/>
          </w:tcPr>
          <w:p w14:paraId="022A7173" w14:textId="77777777" w:rsidR="000D1EE4" w:rsidRPr="00BF56F1" w:rsidRDefault="000D1EE4" w:rsidP="00BF56F1">
            <w:pPr>
              <w:spacing w:before="60" w:after="60" w:line="260" w:lineRule="exact"/>
              <w:jc w:val="left"/>
              <w:rPr>
                <w:b/>
                <w:bCs/>
                <w:rtl/>
                <w:lang w:bidi="ar-EG"/>
              </w:rPr>
            </w:pPr>
          </w:p>
        </w:tc>
        <w:tc>
          <w:tcPr>
            <w:tcW w:w="2970" w:type="dxa"/>
            <w:gridSpan w:val="2"/>
          </w:tcPr>
          <w:p w14:paraId="314F0326" w14:textId="77777777" w:rsidR="000D1EE4" w:rsidRPr="00BF56F1" w:rsidRDefault="00E50850" w:rsidP="00BF56F1">
            <w:pPr>
              <w:spacing w:before="60" w:after="60" w:line="260" w:lineRule="exact"/>
              <w:jc w:val="left"/>
              <w:rPr>
                <w:b/>
                <w:bCs/>
                <w:rtl/>
                <w:lang w:bidi="ar-EG"/>
              </w:rPr>
            </w:pPr>
            <w:r w:rsidRPr="00BF56F1">
              <w:rPr>
                <w:rFonts w:eastAsia="SimSun"/>
                <w:b/>
                <w:bCs/>
              </w:rPr>
              <w:t>30</w:t>
            </w:r>
            <w:r w:rsidRPr="00BF56F1">
              <w:rPr>
                <w:rFonts w:eastAsia="SimSun"/>
                <w:b/>
                <w:bCs/>
                <w:rtl/>
              </w:rPr>
              <w:t xml:space="preserve"> أكتوبر </w:t>
            </w:r>
            <w:r w:rsidRPr="00BF56F1">
              <w:rPr>
                <w:rFonts w:eastAsia="SimSun"/>
                <w:b/>
                <w:bCs/>
              </w:rPr>
              <w:t>2023</w:t>
            </w:r>
          </w:p>
        </w:tc>
      </w:tr>
      <w:tr w:rsidR="000D1EE4" w:rsidRPr="000D1EE4" w14:paraId="0A2CC939" w14:textId="77777777" w:rsidTr="00752552">
        <w:trPr>
          <w:cantSplit/>
        </w:trPr>
        <w:tc>
          <w:tcPr>
            <w:tcW w:w="6696" w:type="dxa"/>
            <w:gridSpan w:val="2"/>
          </w:tcPr>
          <w:p w14:paraId="77E1BDDA" w14:textId="77777777" w:rsidR="000D1EE4" w:rsidRPr="00BF56F1" w:rsidRDefault="000D1EE4" w:rsidP="00BF56F1">
            <w:pPr>
              <w:spacing w:before="60" w:after="60" w:line="260" w:lineRule="exact"/>
              <w:jc w:val="left"/>
              <w:rPr>
                <w:b/>
                <w:bCs/>
                <w:rtl/>
                <w:lang w:bidi="ar-EG"/>
              </w:rPr>
            </w:pPr>
          </w:p>
        </w:tc>
        <w:tc>
          <w:tcPr>
            <w:tcW w:w="2970" w:type="dxa"/>
            <w:gridSpan w:val="2"/>
          </w:tcPr>
          <w:p w14:paraId="2A3D3BD3" w14:textId="77777777" w:rsidR="000D1EE4" w:rsidRPr="00BF56F1" w:rsidRDefault="00E50850" w:rsidP="00BF56F1">
            <w:pPr>
              <w:spacing w:before="60" w:after="60" w:line="260" w:lineRule="exact"/>
              <w:jc w:val="left"/>
              <w:rPr>
                <w:b/>
                <w:bCs/>
                <w:lang w:bidi="ar-EG"/>
              </w:rPr>
            </w:pPr>
            <w:r w:rsidRPr="00BF56F1">
              <w:rPr>
                <w:b/>
                <w:bCs/>
                <w:rtl/>
                <w:lang w:bidi="ar-EG"/>
              </w:rPr>
              <w:t>الأصل: بالإنكليزية</w:t>
            </w:r>
          </w:p>
        </w:tc>
      </w:tr>
      <w:tr w:rsidR="000D1EE4" w:rsidRPr="000D1EE4" w14:paraId="1FE138FA" w14:textId="77777777" w:rsidTr="00752552">
        <w:trPr>
          <w:cantSplit/>
        </w:trPr>
        <w:tc>
          <w:tcPr>
            <w:tcW w:w="9666" w:type="dxa"/>
            <w:gridSpan w:val="4"/>
          </w:tcPr>
          <w:p w14:paraId="733052B1" w14:textId="77777777" w:rsidR="000D1EE4" w:rsidRPr="000D1EE4" w:rsidRDefault="000D1EE4" w:rsidP="000D1EE4">
            <w:pPr>
              <w:rPr>
                <w:b/>
                <w:bCs/>
                <w:lang w:bidi="ar-EG"/>
              </w:rPr>
            </w:pPr>
          </w:p>
        </w:tc>
      </w:tr>
      <w:tr w:rsidR="000D1EE4" w:rsidRPr="000D1EE4" w14:paraId="090FFD5D" w14:textId="77777777" w:rsidTr="00752552">
        <w:trPr>
          <w:cantSplit/>
        </w:trPr>
        <w:tc>
          <w:tcPr>
            <w:tcW w:w="9666" w:type="dxa"/>
            <w:gridSpan w:val="4"/>
          </w:tcPr>
          <w:p w14:paraId="1E539F39" w14:textId="77777777" w:rsidR="000D1EE4" w:rsidRPr="000D1EE4" w:rsidRDefault="000D1EE4" w:rsidP="000D1EE4">
            <w:pPr>
              <w:pStyle w:val="Source"/>
              <w:rPr>
                <w:rtl/>
                <w:lang w:bidi="ar-SA"/>
              </w:rPr>
            </w:pPr>
            <w:r w:rsidRPr="000D1EE4">
              <w:rPr>
                <w:rtl/>
              </w:rPr>
              <w:t>اتحاد ميانمار/بابوا غينيا الجديدة/جزر سليمان/دولة ساموا المستقلة/مملكة تونغا/جمهورية فانواتو</w:t>
            </w:r>
          </w:p>
        </w:tc>
      </w:tr>
      <w:tr w:rsidR="000D1EE4" w:rsidRPr="000D1EE4" w14:paraId="194F155B" w14:textId="77777777" w:rsidTr="00752552">
        <w:trPr>
          <w:cantSplit/>
        </w:trPr>
        <w:tc>
          <w:tcPr>
            <w:tcW w:w="9666" w:type="dxa"/>
            <w:gridSpan w:val="4"/>
          </w:tcPr>
          <w:p w14:paraId="4577A057" w14:textId="0F58079D" w:rsidR="000D1EE4" w:rsidRPr="000D1EE4" w:rsidRDefault="00BF56F1" w:rsidP="000D1EE4">
            <w:pPr>
              <w:pStyle w:val="Title1"/>
              <w:rPr>
                <w:rtl/>
              </w:rPr>
            </w:pPr>
            <w:r>
              <w:rPr>
                <w:rFonts w:hint="cs"/>
                <w:rtl/>
              </w:rPr>
              <w:t>مقترحات بشأن أعمال المؤتمر</w:t>
            </w:r>
          </w:p>
        </w:tc>
      </w:tr>
      <w:tr w:rsidR="000D1EE4" w:rsidRPr="000D1EE4" w14:paraId="4A344740" w14:textId="77777777" w:rsidTr="00752552">
        <w:trPr>
          <w:cantSplit/>
        </w:trPr>
        <w:tc>
          <w:tcPr>
            <w:tcW w:w="9666" w:type="dxa"/>
            <w:gridSpan w:val="4"/>
          </w:tcPr>
          <w:p w14:paraId="09F2FF2E" w14:textId="77777777" w:rsidR="000D1EE4" w:rsidRPr="000D1EE4" w:rsidRDefault="000D1EE4" w:rsidP="000D1EE4">
            <w:pPr>
              <w:pStyle w:val="Title2"/>
              <w:rPr>
                <w:rtl/>
              </w:rPr>
            </w:pPr>
          </w:p>
        </w:tc>
      </w:tr>
      <w:tr w:rsidR="00E50850" w:rsidRPr="000D1EE4" w14:paraId="1BA20DF6" w14:textId="77777777" w:rsidTr="00752552">
        <w:trPr>
          <w:cantSplit/>
        </w:trPr>
        <w:tc>
          <w:tcPr>
            <w:tcW w:w="9666" w:type="dxa"/>
            <w:gridSpan w:val="4"/>
          </w:tcPr>
          <w:p w14:paraId="529E3D49" w14:textId="35D819D6" w:rsidR="00E50850" w:rsidRPr="000D1EE4" w:rsidRDefault="00E50850" w:rsidP="00E50850">
            <w:pPr>
              <w:pStyle w:val="Agendaitem"/>
            </w:pPr>
            <w:r>
              <w:rPr>
                <w:rtl/>
              </w:rPr>
              <w:t>بند جدول الأعمال</w:t>
            </w:r>
            <w:r w:rsidR="00BF56F1">
              <w:rPr>
                <w:rFonts w:hint="cs"/>
                <w:rtl/>
              </w:rPr>
              <w:t xml:space="preserve"> </w:t>
            </w:r>
            <w:r w:rsidR="00BF56F1" w:rsidRPr="00387E34">
              <w:rPr>
                <w:szCs w:val="22"/>
              </w:rPr>
              <w:t>10</w:t>
            </w:r>
          </w:p>
        </w:tc>
      </w:tr>
    </w:tbl>
    <w:p w14:paraId="4300A8CD" w14:textId="016F4922" w:rsidR="00C45930" w:rsidRPr="007579F6" w:rsidRDefault="003C7BEC" w:rsidP="00BF56F1">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60F1030F" w14:textId="4CC34D00" w:rsidR="00FD7BB8" w:rsidRDefault="00BF56F1" w:rsidP="00BF56F1">
      <w:pPr>
        <w:pStyle w:val="Headingb"/>
        <w:rPr>
          <w:rtl/>
          <w:lang w:val="en-GB"/>
        </w:rPr>
      </w:pPr>
      <w:r>
        <w:rPr>
          <w:rFonts w:hint="cs"/>
          <w:rtl/>
          <w:lang w:val="en-GB"/>
        </w:rPr>
        <w:t>مقدمة</w:t>
      </w:r>
    </w:p>
    <w:p w14:paraId="3B0B0B56" w14:textId="6615F8A0" w:rsidR="00810C50" w:rsidRPr="00810C50" w:rsidRDefault="00810C50" w:rsidP="00810C50">
      <w:pPr>
        <w:rPr>
          <w:rtl/>
          <w:lang w:val="en-GB" w:bidi="ar-EG"/>
        </w:rPr>
      </w:pPr>
      <w:r w:rsidRPr="00810C50">
        <w:rPr>
          <w:rtl/>
          <w:lang w:val="en-GB" w:bidi="ar-EG"/>
        </w:rPr>
        <w:t>في الاجتماع السادس لفريق جماعة آسيا والمحيط الهادئ للاتصالات المعني بالتحضير للمؤتمر العالمي للاتصالات الراديوية لعام 2023 (</w:t>
      </w:r>
      <w:r w:rsidRPr="00810C50">
        <w:rPr>
          <w:lang w:val="en-GB" w:bidi="ar-EG"/>
        </w:rPr>
        <w:t>APG23-6</w:t>
      </w:r>
      <w:r w:rsidRPr="00810C50">
        <w:rPr>
          <w:rtl/>
          <w:lang w:val="en-GB" w:bidi="ar-EG"/>
        </w:rPr>
        <w:t xml:space="preserve">)، قدم بعض أعضاء جماعة آسيا والمحيط الهادئ للاتصالات بعض المقترحات لإدراجها في جدول أعمال المؤتمر </w:t>
      </w:r>
      <w:r w:rsidRPr="00810C50">
        <w:rPr>
          <w:lang w:val="en-GB" w:bidi="ar-EG"/>
        </w:rPr>
        <w:t>WRC-27</w:t>
      </w:r>
      <w:r w:rsidRPr="00810C50">
        <w:rPr>
          <w:rtl/>
          <w:lang w:val="en-GB" w:bidi="ar-EG"/>
        </w:rPr>
        <w:t xml:space="preserve"> للنظر في تحديد جزء من نطاقات التردد ضمن مدى التردد </w:t>
      </w:r>
      <w:r w:rsidRPr="00810C50">
        <w:rPr>
          <w:lang w:val="en-GB" w:bidi="ar-EG"/>
        </w:rPr>
        <w:t>GHz 15,35-4,4</w:t>
      </w:r>
      <w:r w:rsidRPr="00810C50">
        <w:rPr>
          <w:rtl/>
          <w:lang w:val="en-GB" w:bidi="ar-EG"/>
        </w:rPr>
        <w:t xml:space="preserve"> للاتصالات المتنقلة الدولية (</w:t>
      </w:r>
      <w:r w:rsidRPr="00810C50">
        <w:rPr>
          <w:lang w:val="en-GB" w:bidi="ar-EG"/>
        </w:rPr>
        <w:t>IMT</w:t>
      </w:r>
      <w:r w:rsidRPr="00810C50">
        <w:rPr>
          <w:rtl/>
          <w:lang w:val="en-GB" w:bidi="ar-EG"/>
        </w:rPr>
        <w:t>)، بما في ذلك إمكانية منح توزيعات إضافية للخدمة المتنقلة على أساس أولي. ولم يتسن</w:t>
      </w:r>
      <w:r w:rsidR="006854B5">
        <w:rPr>
          <w:rFonts w:hint="cs"/>
          <w:rtl/>
          <w:lang w:val="en-GB" w:bidi="ar-EG"/>
        </w:rPr>
        <w:t>َ</w:t>
      </w:r>
      <w:r w:rsidRPr="00810C50">
        <w:rPr>
          <w:rtl/>
          <w:lang w:val="en-GB" w:bidi="ar-EG"/>
        </w:rPr>
        <w:t xml:space="preserve"> التوصل إلى اتفاق في الاجتماع الأخير </w:t>
      </w:r>
      <w:r w:rsidRPr="00810C50">
        <w:rPr>
          <w:lang w:val="en-GB" w:bidi="ar-EG"/>
        </w:rPr>
        <w:t>APG23-6</w:t>
      </w:r>
      <w:r w:rsidRPr="00810C50">
        <w:rPr>
          <w:rtl/>
          <w:lang w:val="en-GB" w:bidi="ar-EG"/>
        </w:rPr>
        <w:t xml:space="preserve"> بسبب بعض الشواغل التي أعرب عنها بعض أعضاء جماعة آسيا والمحيط الهادئ للاتصالات بشأن نطاقات التردد التي ت</w:t>
      </w:r>
      <w:r>
        <w:rPr>
          <w:rFonts w:hint="cs"/>
          <w:rtl/>
          <w:lang w:val="en-GB" w:bidi="ar-EG"/>
        </w:rPr>
        <w:t>ُ</w:t>
      </w:r>
      <w:r w:rsidRPr="00810C50">
        <w:rPr>
          <w:rtl/>
          <w:lang w:val="en-GB" w:bidi="ar-EG"/>
        </w:rPr>
        <w:t>عتبر نطاقات مرشحة للاتصالات المتنقلة الدولية-2030 في المستقبل.</w:t>
      </w:r>
    </w:p>
    <w:p w14:paraId="7C091B82" w14:textId="2FA8F8C1" w:rsidR="00FD7BB8" w:rsidRPr="00810C50" w:rsidRDefault="00810C50" w:rsidP="00810C50">
      <w:pPr>
        <w:rPr>
          <w:rtl/>
          <w:lang w:val="en-GB" w:bidi="ar-EG"/>
        </w:rPr>
      </w:pPr>
      <w:r w:rsidRPr="00810C50">
        <w:rPr>
          <w:rtl/>
          <w:lang w:val="en-GB" w:bidi="ar-EG"/>
        </w:rPr>
        <w:t xml:space="preserve">وتودّ هذه الإدارات أن تعرض </w:t>
      </w:r>
      <w:r>
        <w:rPr>
          <w:rFonts w:hint="cs"/>
          <w:rtl/>
          <w:lang w:val="en-GB" w:bidi="ar-EG"/>
        </w:rPr>
        <w:t>الوقائع</w:t>
      </w:r>
      <w:r w:rsidRPr="00810C50">
        <w:rPr>
          <w:rtl/>
          <w:lang w:val="en-GB" w:bidi="ar-EG"/>
        </w:rPr>
        <w:t xml:space="preserve"> التالية الواجب معرفتها في حال لزم إدراج بند جديد آخر في جدول الأعمال لإجراء تحديد إضافي للاتصالات المتنقلة الد</w:t>
      </w:r>
      <w:r>
        <w:rPr>
          <w:rtl/>
          <w:lang w:val="en-GB" w:bidi="ar-EG"/>
        </w:rPr>
        <w:t>ولية</w:t>
      </w:r>
    </w:p>
    <w:p w14:paraId="617C15CF" w14:textId="29E21D5B" w:rsidR="00810C50" w:rsidRDefault="00BF56F1" w:rsidP="0061674F">
      <w:pPr>
        <w:rPr>
          <w:rtl/>
          <w:lang w:bidi="ar-EG"/>
        </w:rPr>
      </w:pPr>
      <w:r>
        <w:rPr>
          <w:rFonts w:hint="cs"/>
          <w:rtl/>
          <w:lang w:bidi="ar-EG"/>
        </w:rPr>
        <w:t>1)</w:t>
      </w:r>
      <w:r>
        <w:rPr>
          <w:rtl/>
          <w:lang w:bidi="ar-EG"/>
        </w:rPr>
        <w:tab/>
      </w:r>
      <w:r w:rsidR="00810C50">
        <w:rPr>
          <w:rtl/>
          <w:lang w:bidi="ar-EG"/>
        </w:rPr>
        <w:t>بما أن المؤتمر العالمي للاتصالات الراديوية لعام 2019 حدد قدرا</w:t>
      </w:r>
      <w:r w:rsidR="0061674F">
        <w:rPr>
          <w:rFonts w:hint="cs"/>
          <w:rtl/>
          <w:lang w:bidi="ar-EG"/>
        </w:rPr>
        <w:t>ً</w:t>
      </w:r>
      <w:r w:rsidR="00810C50">
        <w:rPr>
          <w:rtl/>
          <w:lang w:bidi="ar-EG"/>
        </w:rPr>
        <w:t xml:space="preserve"> كبيرا</w:t>
      </w:r>
      <w:r w:rsidR="0061674F">
        <w:rPr>
          <w:rFonts w:hint="cs"/>
          <w:rtl/>
          <w:lang w:bidi="ar-EG"/>
        </w:rPr>
        <w:t>ً</w:t>
      </w:r>
      <w:r w:rsidR="00810C50">
        <w:rPr>
          <w:rtl/>
          <w:lang w:bidi="ar-EG"/>
        </w:rPr>
        <w:t xml:space="preserve"> من الطيف بما مجموعه 17,25 </w:t>
      </w:r>
      <w:r w:rsidR="00810C50">
        <w:rPr>
          <w:lang w:bidi="ar-EG"/>
        </w:rPr>
        <w:t>GHz</w:t>
      </w:r>
      <w:r w:rsidR="00810C50">
        <w:rPr>
          <w:rtl/>
          <w:lang w:bidi="ar-EG"/>
        </w:rPr>
        <w:t xml:space="preserve"> للاتصالات المتنقلة الدولية في نطاقات تردد فوق </w:t>
      </w:r>
      <w:r w:rsidR="00810C50">
        <w:rPr>
          <w:lang w:bidi="ar-EG"/>
        </w:rPr>
        <w:t>GHz 24,25</w:t>
      </w:r>
      <w:r w:rsidR="00810C50">
        <w:rPr>
          <w:rtl/>
          <w:lang w:bidi="ar-EG"/>
        </w:rPr>
        <w:t xml:space="preserve">، تجدر الإشارة إلى أن العديد من البلدان، لا سيما في الإقليم 3، لم تستخدم هذه النطاقات حتى اليوم. </w:t>
      </w:r>
    </w:p>
    <w:p w14:paraId="705D8F9F" w14:textId="51851BB0" w:rsidR="00810C50" w:rsidRDefault="00810C50" w:rsidP="0061674F">
      <w:pPr>
        <w:rPr>
          <w:rtl/>
          <w:lang w:bidi="ar-EG"/>
        </w:rPr>
      </w:pPr>
      <w:r>
        <w:rPr>
          <w:rtl/>
          <w:lang w:bidi="ar-EG"/>
        </w:rPr>
        <w:t>2)</w:t>
      </w:r>
      <w:r>
        <w:rPr>
          <w:rtl/>
          <w:lang w:bidi="ar-EG"/>
        </w:rPr>
        <w:tab/>
        <w:t>إن الاعتبارات الهامة الأخرى التي تبرّر الحاجة إلى طيف إضافي للاتصالات المتنقلة الدولية هي أنه تم تداول 20,5</w:t>
      </w:r>
      <w:r w:rsidR="006854B5">
        <w:rPr>
          <w:rFonts w:hint="cs"/>
          <w:rtl/>
          <w:lang w:bidi="ar-EG"/>
        </w:rPr>
        <w:t>%</w:t>
      </w:r>
      <w:r>
        <w:rPr>
          <w:rtl/>
          <w:lang w:bidi="ar-EG"/>
        </w:rPr>
        <w:t xml:space="preserve"> من إجمالي حركة الإنترنت في العالم فق</w:t>
      </w:r>
      <w:r>
        <w:rPr>
          <w:rFonts w:hint="cs"/>
          <w:rtl/>
          <w:lang w:bidi="ar-EG"/>
        </w:rPr>
        <w:t>ط</w:t>
      </w:r>
      <w:r>
        <w:rPr>
          <w:rtl/>
          <w:lang w:bidi="ar-EG"/>
        </w:rPr>
        <w:t xml:space="preserve"> على الشبكات المتنقلة في عام 2021،</w:t>
      </w:r>
      <w:r w:rsidR="00542069">
        <w:rPr>
          <w:rStyle w:val="FootnoteReference"/>
          <w:rtl/>
          <w:lang w:bidi="ar-EG"/>
        </w:rPr>
        <w:footnoteReference w:id="1"/>
      </w:r>
      <w:r>
        <w:rPr>
          <w:rtl/>
          <w:lang w:bidi="ar-EG"/>
        </w:rPr>
        <w:t xml:space="preserve"> مع نقل غالبية الحركة المتبقية عبر الشبكات </w:t>
      </w:r>
      <w:r>
        <w:rPr>
          <w:lang w:bidi="ar-EG"/>
        </w:rPr>
        <w:t>Wi-Fi</w:t>
      </w:r>
      <w:r>
        <w:rPr>
          <w:rtl/>
          <w:lang w:bidi="ar-EG"/>
        </w:rPr>
        <w:t xml:space="preserve"> التي تستخدم نطاقات تردد معفاة من الترخيص. ويُرجح أن يستمر هذا التوجه في المستقبل المنظور.</w:t>
      </w:r>
    </w:p>
    <w:p w14:paraId="505BB667" w14:textId="60EB2404" w:rsidR="00810C50" w:rsidRDefault="00810C50" w:rsidP="0061674F">
      <w:pPr>
        <w:rPr>
          <w:rtl/>
          <w:lang w:bidi="ar-EG"/>
        </w:rPr>
      </w:pPr>
      <w:r>
        <w:rPr>
          <w:rtl/>
          <w:lang w:bidi="ar-EG"/>
        </w:rPr>
        <w:lastRenderedPageBreak/>
        <w:t>3)</w:t>
      </w:r>
      <w:r>
        <w:rPr>
          <w:rtl/>
          <w:lang w:bidi="ar-EG"/>
        </w:rPr>
        <w:tab/>
        <w:t xml:space="preserve">تم النظر بالفعل في مدى التردد من </w:t>
      </w:r>
      <w:r>
        <w:rPr>
          <w:lang w:bidi="ar-EG"/>
        </w:rPr>
        <w:t>GHz 7,125</w:t>
      </w:r>
      <w:r>
        <w:rPr>
          <w:rtl/>
          <w:lang w:bidi="ar-EG"/>
        </w:rPr>
        <w:t xml:space="preserve"> إلى </w:t>
      </w:r>
      <w:r>
        <w:rPr>
          <w:lang w:bidi="ar-EG"/>
        </w:rPr>
        <w:t>GHz 24,25</w:t>
      </w:r>
      <w:r>
        <w:rPr>
          <w:rtl/>
          <w:lang w:bidi="ar-EG"/>
        </w:rPr>
        <w:t xml:space="preserve"> للدراسات المتعلقة بالاتصالات المتنقلة الدولية في المؤتمر </w:t>
      </w:r>
      <w:r>
        <w:rPr>
          <w:lang w:bidi="ar-EG"/>
        </w:rPr>
        <w:t>WRC-15</w:t>
      </w:r>
      <w:r>
        <w:rPr>
          <w:rtl/>
          <w:lang w:bidi="ar-EG"/>
        </w:rPr>
        <w:t>، وتقرر عدم إدراجه في نطاق البند 13</w:t>
      </w:r>
      <w:r>
        <w:rPr>
          <w:rFonts w:hint="cs"/>
          <w:rtl/>
          <w:lang w:bidi="ar-EG"/>
        </w:rPr>
        <w:t>.</w:t>
      </w:r>
      <w:r>
        <w:rPr>
          <w:rtl/>
          <w:lang w:bidi="ar-EG"/>
        </w:rPr>
        <w:t xml:space="preserve">1 من جدول أعمال المؤتمر </w:t>
      </w:r>
      <w:r>
        <w:rPr>
          <w:lang w:bidi="ar-EG"/>
        </w:rPr>
        <w:t>WRC-19</w:t>
      </w:r>
      <w:r>
        <w:rPr>
          <w:rtl/>
          <w:lang w:bidi="ar-EG"/>
        </w:rPr>
        <w:t xml:space="preserve"> لأنه تعذّر العثور على عرض نطاق ملاصق كا</w:t>
      </w:r>
      <w:r w:rsidR="0069734C">
        <w:rPr>
          <w:rFonts w:hint="cs"/>
          <w:rtl/>
          <w:lang w:bidi="ar-EG"/>
        </w:rPr>
        <w:t>فٍ</w:t>
      </w:r>
      <w:r>
        <w:rPr>
          <w:rtl/>
          <w:lang w:bidi="ar-EG"/>
        </w:rPr>
        <w:t xml:space="preserve">. ويتوافق هذا السبب مع أحد الاستنتاجات الواردة في تقرير الدراسة الذي أعدته شركة </w:t>
      </w:r>
      <w:r>
        <w:rPr>
          <w:lang w:bidi="ar-EG"/>
        </w:rPr>
        <w:t>Plum Consulting</w:t>
      </w:r>
      <w:r w:rsidR="00C82C3C">
        <w:rPr>
          <w:rStyle w:val="FootnoteReference"/>
          <w:lang w:bidi="ar-EG"/>
        </w:rPr>
        <w:footnoteReference w:id="2"/>
      </w:r>
      <w:r>
        <w:rPr>
          <w:rtl/>
          <w:lang w:bidi="ar-EG"/>
        </w:rPr>
        <w:t xml:space="preserve"> بشأن "الفرص المتاحة لشبكات الجيل السادس (</w:t>
      </w:r>
      <w:r w:rsidR="006854B5">
        <w:rPr>
          <w:lang w:bidi="ar-EG"/>
        </w:rPr>
        <w:t>6G</w:t>
      </w:r>
      <w:r>
        <w:rPr>
          <w:rtl/>
          <w:lang w:bidi="ar-EG"/>
        </w:rPr>
        <w:t xml:space="preserve">) في مدى الترددات </w:t>
      </w:r>
      <w:r>
        <w:rPr>
          <w:lang w:bidi="ar-EG"/>
        </w:rPr>
        <w:t>GHz 24-7</w:t>
      </w:r>
      <w:r>
        <w:rPr>
          <w:rtl/>
          <w:lang w:bidi="ar-EG"/>
        </w:rPr>
        <w:t xml:space="preserve">". </w:t>
      </w:r>
    </w:p>
    <w:p w14:paraId="69718022" w14:textId="736C14AE" w:rsidR="00810C50" w:rsidRDefault="00810C50" w:rsidP="0069734C">
      <w:pPr>
        <w:rPr>
          <w:rtl/>
          <w:lang w:bidi="ar-EG"/>
        </w:rPr>
      </w:pPr>
      <w:r>
        <w:rPr>
          <w:rtl/>
          <w:lang w:bidi="ar-EG"/>
        </w:rPr>
        <w:t>4)</w:t>
      </w:r>
      <w:r>
        <w:rPr>
          <w:rtl/>
          <w:lang w:bidi="ar-EG"/>
        </w:rPr>
        <w:tab/>
        <w:t xml:space="preserve">يشمل مدى الترددات من </w:t>
      </w:r>
      <w:r>
        <w:rPr>
          <w:lang w:bidi="ar-EG"/>
        </w:rPr>
        <w:t>GHz 7,125</w:t>
      </w:r>
      <w:r>
        <w:rPr>
          <w:rtl/>
          <w:lang w:bidi="ar-EG"/>
        </w:rPr>
        <w:t xml:space="preserve"> إلى </w:t>
      </w:r>
      <w:r>
        <w:rPr>
          <w:lang w:bidi="ar-EG"/>
        </w:rPr>
        <w:t>GHz 24,25</w:t>
      </w:r>
      <w:r>
        <w:rPr>
          <w:rtl/>
          <w:lang w:bidi="ar-EG"/>
        </w:rPr>
        <w:t xml:space="preserve"> بعض النطاقات الساتلية الأساسية التي يجاهد فيها مشغلو السواتل بالفعل لتلبية الطلب المتزايد على الخدمة مع القيام في الوقت نفسه بتقاسم الموارد فيما بينهم. وتجدر الإشارة أيضا</w:t>
      </w:r>
      <w:r w:rsidR="0061674F">
        <w:rPr>
          <w:rFonts w:hint="cs"/>
          <w:rtl/>
          <w:lang w:bidi="ar-EG"/>
        </w:rPr>
        <w:t>ً</w:t>
      </w:r>
      <w:r>
        <w:rPr>
          <w:rtl/>
          <w:lang w:bidi="ar-EG"/>
        </w:rPr>
        <w:t xml:space="preserve"> إلى أن الشبكات الساتلية المستقرة بالنسبة إلى الأرض والأنظمة الساتلية غير المستقرة بالنسبة إلى الأرض تتقاسم بالفعل الطيف في نطاقات التردد هذه بطريقة عالية الكفاءة والفعالية. وبالمقارنة مع الوقت الذي نظر فيه المؤتمر العالمي للاتصالات الراديوية لعام 2015 في مدى التردد هذا، بدأت آلاف السواتل المستقرة وغير المستقرة بالنسبة إلى الأرض، بما فيها سواتل الجيل الجديد في شكل سواتل ذات ص</w:t>
      </w:r>
      <w:r>
        <w:rPr>
          <w:rFonts w:hint="cs"/>
          <w:rtl/>
          <w:lang w:bidi="ar-EG"/>
        </w:rPr>
        <w:t>ب</w:t>
      </w:r>
      <w:r>
        <w:rPr>
          <w:rtl/>
          <w:lang w:bidi="ar-EG"/>
        </w:rPr>
        <w:t>يب عال (</w:t>
      </w:r>
      <w:r>
        <w:rPr>
          <w:lang w:bidi="ar-EG"/>
        </w:rPr>
        <w:t>HTS</w:t>
      </w:r>
      <w:r>
        <w:rPr>
          <w:rtl/>
          <w:lang w:bidi="ar-EG"/>
        </w:rPr>
        <w:t>) وسواتل ذات صبيب عال</w:t>
      </w:r>
      <w:r w:rsidR="0061674F">
        <w:rPr>
          <w:rFonts w:hint="cs"/>
          <w:rtl/>
          <w:lang w:bidi="ar-EG"/>
        </w:rPr>
        <w:t>ٍ</w:t>
      </w:r>
      <w:r>
        <w:rPr>
          <w:rtl/>
          <w:lang w:bidi="ar-EG"/>
        </w:rPr>
        <w:t xml:space="preserve"> جدا</w:t>
      </w:r>
      <w:r w:rsidR="0061674F">
        <w:rPr>
          <w:rFonts w:hint="cs"/>
          <w:rtl/>
          <w:lang w:bidi="ar-EG"/>
        </w:rPr>
        <w:t>ً</w:t>
      </w:r>
      <w:r>
        <w:rPr>
          <w:rtl/>
          <w:lang w:bidi="ar-EG"/>
        </w:rPr>
        <w:t xml:space="preserve"> (</w:t>
      </w:r>
      <w:r>
        <w:rPr>
          <w:lang w:bidi="ar-EG"/>
        </w:rPr>
        <w:t>VHTS</w:t>
      </w:r>
      <w:r>
        <w:rPr>
          <w:rtl/>
          <w:lang w:bidi="ar-EG"/>
        </w:rPr>
        <w:t>) وسواتل معر</w:t>
      </w:r>
      <w:r>
        <w:rPr>
          <w:rFonts w:hint="cs"/>
          <w:rtl/>
          <w:lang w:bidi="ar-EG"/>
        </w:rPr>
        <w:t>ّ</w:t>
      </w:r>
      <w:r>
        <w:rPr>
          <w:rtl/>
          <w:lang w:bidi="ar-EG"/>
        </w:rPr>
        <w:t>فة بالبرمجيات (</w:t>
      </w:r>
      <w:r>
        <w:rPr>
          <w:lang w:bidi="ar-EG"/>
        </w:rPr>
        <w:t>SDS</w:t>
      </w:r>
      <w:r>
        <w:rPr>
          <w:rtl/>
          <w:lang w:bidi="ar-EG"/>
        </w:rPr>
        <w:t xml:space="preserve">)، تعمل في مدى التردد هذا، مما يزيد من صعوبة تحقيق التوافق مع الخدمات الساتلية القائمة. وتُعتبر قضايا التوافق هذه بين الاتصالات المتنقلة الدولية والخدمات الساتلية القائمة أحد النتائج الأخرى الواردة في تقرير الدراسة الصادر عن شركة </w:t>
      </w:r>
      <w:r>
        <w:rPr>
          <w:lang w:bidi="ar-EG"/>
        </w:rPr>
        <w:t>Plum Consulting</w:t>
      </w:r>
      <w:r>
        <w:rPr>
          <w:rtl/>
          <w:lang w:bidi="ar-EG"/>
        </w:rPr>
        <w:t xml:space="preserve"> الذي يشير إلى وجود فرصة محدودة جدا</w:t>
      </w:r>
      <w:r w:rsidR="0061674F">
        <w:rPr>
          <w:rFonts w:hint="cs"/>
          <w:rtl/>
          <w:lang w:bidi="ar-EG"/>
        </w:rPr>
        <w:t>ً</w:t>
      </w:r>
      <w:r>
        <w:rPr>
          <w:rtl/>
          <w:lang w:bidi="ar-EG"/>
        </w:rPr>
        <w:t xml:space="preserve"> لأن تتقاسم أنظمة الاتصالات المتنقلة الدولية (مثل الجيل </w:t>
      </w:r>
      <w:r w:rsidR="006854B5">
        <w:rPr>
          <w:lang w:bidi="ar-EG"/>
        </w:rPr>
        <w:t>6G</w:t>
      </w:r>
      <w:r w:rsidRPr="006854B5">
        <w:rPr>
          <w:rtl/>
          <w:lang w:bidi="ar-EG"/>
        </w:rPr>
        <w:t>)</w:t>
      </w:r>
      <w:r>
        <w:rPr>
          <w:rtl/>
          <w:lang w:bidi="ar-EG"/>
        </w:rPr>
        <w:t xml:space="preserve"> الطيف مع الخدمات القائمة. </w:t>
      </w:r>
    </w:p>
    <w:p w14:paraId="353FD0D3" w14:textId="6F80D000" w:rsidR="00BF56F1" w:rsidRDefault="00810C50" w:rsidP="0069734C">
      <w:pPr>
        <w:rPr>
          <w:rtl/>
          <w:lang w:bidi="ar-EG"/>
        </w:rPr>
      </w:pPr>
      <w:r>
        <w:rPr>
          <w:rtl/>
          <w:lang w:bidi="ar-EG"/>
        </w:rPr>
        <w:t>ويؤكد أيضا</w:t>
      </w:r>
      <w:r w:rsidR="0061674F">
        <w:rPr>
          <w:rFonts w:hint="cs"/>
          <w:rtl/>
          <w:lang w:bidi="ar-EG"/>
        </w:rPr>
        <w:t>ً</w:t>
      </w:r>
      <w:r>
        <w:rPr>
          <w:rtl/>
          <w:lang w:bidi="ar-EG"/>
        </w:rPr>
        <w:t xml:space="preserve"> الحقائق المذكورة أعلاه تقرير آخر صادر مؤخرا</w:t>
      </w:r>
      <w:r w:rsidR="0061674F">
        <w:rPr>
          <w:rFonts w:hint="cs"/>
          <w:rtl/>
          <w:lang w:bidi="ar-EG"/>
        </w:rPr>
        <w:t>ً</w:t>
      </w:r>
      <w:r>
        <w:rPr>
          <w:rtl/>
          <w:lang w:bidi="ar-EG"/>
        </w:rPr>
        <w:t xml:space="preserve"> </w:t>
      </w:r>
      <w:r>
        <w:rPr>
          <w:rFonts w:hint="cs"/>
          <w:rtl/>
          <w:lang w:bidi="ar-EG"/>
        </w:rPr>
        <w:t xml:space="preserve">عن </w:t>
      </w:r>
      <w:r>
        <w:rPr>
          <w:rtl/>
          <w:lang w:bidi="ar-EG"/>
        </w:rPr>
        <w:t xml:space="preserve">شركة </w:t>
      </w:r>
      <w:r>
        <w:rPr>
          <w:lang w:bidi="ar-EG"/>
        </w:rPr>
        <w:t>Plum Consulting</w:t>
      </w:r>
      <w:r w:rsidR="009635CE">
        <w:rPr>
          <w:rStyle w:val="FootnoteReference"/>
          <w:lang w:bidi="ar-EG"/>
        </w:rPr>
        <w:footnoteReference w:id="3"/>
      </w:r>
      <w:r>
        <w:rPr>
          <w:rtl/>
          <w:lang w:bidi="ar-EG"/>
        </w:rPr>
        <w:t xml:space="preserve"> بشأن "دراسة التخصيص الحالي للطيف المتنقل واستخدامه" نشر في يوليو 2023. وفيما يلي الاستنتاجات التي خلص إليها تقرير الدراسة الذي صدر مؤخرا</w:t>
      </w:r>
      <w:r w:rsidR="0061674F">
        <w:rPr>
          <w:rFonts w:hint="cs"/>
          <w:rtl/>
          <w:lang w:bidi="ar-EG"/>
        </w:rPr>
        <w:t>ً</w:t>
      </w:r>
      <w:r>
        <w:rPr>
          <w:rtl/>
          <w:lang w:bidi="ar-EG"/>
        </w:rPr>
        <w:t xml:space="preserve"> عن شركة </w:t>
      </w:r>
      <w:r>
        <w:rPr>
          <w:lang w:bidi="ar-EG"/>
        </w:rPr>
        <w:t>Plum Consulting</w:t>
      </w:r>
      <w:r>
        <w:rPr>
          <w:rtl/>
          <w:lang w:bidi="ar-EG"/>
        </w:rPr>
        <w:t>:</w:t>
      </w:r>
    </w:p>
    <w:p w14:paraId="7B00C375" w14:textId="7C33B535" w:rsidR="00BF56F1" w:rsidRDefault="00BF56F1" w:rsidP="0069734C">
      <w:pPr>
        <w:rPr>
          <w:rtl/>
          <w:lang w:bidi="ar-EG"/>
        </w:rPr>
      </w:pPr>
      <w:r>
        <w:rPr>
          <w:rFonts w:hint="cs"/>
          <w:rtl/>
          <w:lang w:bidi="ar-EG"/>
        </w:rPr>
        <w:t>1)</w:t>
      </w:r>
      <w:r>
        <w:rPr>
          <w:rtl/>
          <w:lang w:bidi="ar-EG"/>
        </w:rPr>
        <w:tab/>
      </w:r>
      <w:r w:rsidR="00810C50" w:rsidRPr="00810C50">
        <w:rPr>
          <w:rtl/>
          <w:lang w:bidi="ar-EG"/>
        </w:rPr>
        <w:t>تم تحديد قدر كبير من الطيف للاتصالات المتنقلة الدولية</w:t>
      </w:r>
    </w:p>
    <w:p w14:paraId="164116FD" w14:textId="0EF506E6" w:rsidR="00BF56F1" w:rsidRDefault="00BF56F1" w:rsidP="00BF56F1">
      <w:pPr>
        <w:pStyle w:val="enumlev2"/>
        <w:rPr>
          <w:rtl/>
        </w:rPr>
      </w:pPr>
      <w:r w:rsidRPr="00315563">
        <w:sym w:font="Wingdings" w:char="F09F"/>
      </w:r>
      <w:r w:rsidR="00147D1A">
        <w:rPr>
          <w:rtl/>
        </w:rPr>
        <w:tab/>
      </w:r>
      <w:r w:rsidR="00871FB2" w:rsidRPr="00810C50">
        <w:rPr>
          <w:rFonts w:hint="cs"/>
          <w:rtl/>
        </w:rPr>
        <w:t>حوالي</w:t>
      </w:r>
      <w:r w:rsidR="00810C50" w:rsidRPr="00810C50">
        <w:rPr>
          <w:rtl/>
        </w:rPr>
        <w:t xml:space="preserve"> </w:t>
      </w:r>
      <w:r w:rsidR="00810C50" w:rsidRPr="00810C50">
        <w:t>GHz 2</w:t>
      </w:r>
      <w:r w:rsidR="00810C50" w:rsidRPr="00810C50">
        <w:rPr>
          <w:rtl/>
        </w:rPr>
        <w:t xml:space="preserve"> من الطيف في النطاقات المنخفضة والمتوسطة؛</w:t>
      </w:r>
    </w:p>
    <w:p w14:paraId="15A00A13" w14:textId="35F1D98E" w:rsidR="00BF56F1" w:rsidRDefault="00BF56F1" w:rsidP="00810C50">
      <w:pPr>
        <w:pStyle w:val="enumlev2"/>
        <w:rPr>
          <w:rtl/>
        </w:rPr>
      </w:pPr>
      <w:r w:rsidRPr="00315563">
        <w:sym w:font="Wingdings" w:char="F09F"/>
      </w:r>
      <w:r w:rsidR="00147D1A">
        <w:rPr>
          <w:rtl/>
        </w:rPr>
        <w:tab/>
      </w:r>
      <w:r w:rsidR="00810C50" w:rsidRPr="00810C50">
        <w:rPr>
          <w:rtl/>
        </w:rPr>
        <w:t xml:space="preserve">أكثر من </w:t>
      </w:r>
      <w:r w:rsidR="00810C50" w:rsidRPr="00810C50">
        <w:t>GHz 17</w:t>
      </w:r>
      <w:r w:rsidR="00810C50" w:rsidRPr="00810C50">
        <w:rPr>
          <w:rtl/>
        </w:rPr>
        <w:t xml:space="preserve"> من الطيف في الموجات المليمترية (</w:t>
      </w:r>
      <w:r w:rsidR="00810C50" w:rsidRPr="00810C50">
        <w:t>mmWave</w:t>
      </w:r>
      <w:r w:rsidR="00810C50" w:rsidRPr="00810C50">
        <w:rPr>
          <w:rtl/>
        </w:rPr>
        <w:t>)؛</w:t>
      </w:r>
    </w:p>
    <w:p w14:paraId="1BA1E615" w14:textId="7ADF33E7" w:rsidR="00BF56F1" w:rsidRDefault="00BF56F1" w:rsidP="0069734C">
      <w:pPr>
        <w:rPr>
          <w:rtl/>
        </w:rPr>
      </w:pPr>
      <w:r>
        <w:rPr>
          <w:rFonts w:hint="cs"/>
          <w:rtl/>
        </w:rPr>
        <w:t>2)</w:t>
      </w:r>
      <w:r>
        <w:rPr>
          <w:rtl/>
        </w:rPr>
        <w:tab/>
      </w:r>
      <w:r w:rsidR="00810C50">
        <w:rPr>
          <w:rtl/>
        </w:rPr>
        <w:t>تخصيص الطيف محدود</w:t>
      </w:r>
      <w:r w:rsidR="00810C50">
        <w:rPr>
          <w:rFonts w:hint="cs"/>
          <w:rtl/>
        </w:rPr>
        <w:t xml:space="preserve"> أكثر</w:t>
      </w:r>
    </w:p>
    <w:p w14:paraId="66B6563B" w14:textId="41EBCDB6" w:rsidR="00BF56F1" w:rsidRDefault="00BF56F1" w:rsidP="00BF56F1">
      <w:pPr>
        <w:pStyle w:val="enumlev2"/>
        <w:rPr>
          <w:rtl/>
        </w:rPr>
      </w:pPr>
      <w:r w:rsidRPr="00315563">
        <w:sym w:font="Wingdings" w:char="F09F"/>
      </w:r>
      <w:r w:rsidR="00147D1A">
        <w:rPr>
          <w:rtl/>
        </w:rPr>
        <w:tab/>
      </w:r>
      <w:r w:rsidR="00810C50" w:rsidRPr="00810C50">
        <w:rPr>
          <w:rtl/>
        </w:rPr>
        <w:t>خصصت معظم البلدان أقل من نصف طيف النطاق</w:t>
      </w:r>
      <w:r w:rsidR="00810C50">
        <w:rPr>
          <w:rFonts w:hint="cs"/>
          <w:rtl/>
        </w:rPr>
        <w:t>ات</w:t>
      </w:r>
      <w:r w:rsidR="00810C50" w:rsidRPr="00810C50">
        <w:rPr>
          <w:rtl/>
        </w:rPr>
        <w:t xml:space="preserve"> المنخفض</w:t>
      </w:r>
      <w:r w:rsidR="00810C50">
        <w:rPr>
          <w:rFonts w:hint="cs"/>
          <w:rtl/>
        </w:rPr>
        <w:t>ة</w:t>
      </w:r>
      <w:r w:rsidR="00810C50" w:rsidRPr="00810C50">
        <w:rPr>
          <w:rtl/>
        </w:rPr>
        <w:t xml:space="preserve"> والمتوسط</w:t>
      </w:r>
      <w:r w:rsidR="00810C50">
        <w:rPr>
          <w:rFonts w:hint="cs"/>
          <w:rtl/>
        </w:rPr>
        <w:t>ة</w:t>
      </w:r>
      <w:r w:rsidR="00810C50" w:rsidRPr="00810C50">
        <w:rPr>
          <w:rtl/>
        </w:rPr>
        <w:t xml:space="preserve"> للمشغلين؛</w:t>
      </w:r>
    </w:p>
    <w:p w14:paraId="30679127" w14:textId="3BB884F7" w:rsidR="00BF56F1" w:rsidRDefault="00BF56F1" w:rsidP="00BF56F1">
      <w:pPr>
        <w:pStyle w:val="enumlev2"/>
        <w:rPr>
          <w:rtl/>
        </w:rPr>
      </w:pPr>
      <w:r w:rsidRPr="00315563">
        <w:sym w:font="Wingdings" w:char="F09F"/>
      </w:r>
      <w:r w:rsidR="00147D1A">
        <w:rPr>
          <w:rtl/>
        </w:rPr>
        <w:tab/>
      </w:r>
      <w:r w:rsidR="00810C50" w:rsidRPr="00810C50">
        <w:rPr>
          <w:rtl/>
        </w:rPr>
        <w:t xml:space="preserve">في الموجات </w:t>
      </w:r>
      <w:r w:rsidR="00810C50" w:rsidRPr="00810C50">
        <w:t>mmWave</w:t>
      </w:r>
      <w:r w:rsidR="00810C50" w:rsidRPr="00810C50">
        <w:rPr>
          <w:rtl/>
        </w:rPr>
        <w:t>، كان هناك عدد قليل جدا</w:t>
      </w:r>
      <w:r w:rsidR="0061674F">
        <w:rPr>
          <w:rFonts w:hint="cs"/>
          <w:rtl/>
        </w:rPr>
        <w:t>ً</w:t>
      </w:r>
      <w:r w:rsidR="00810C50" w:rsidRPr="00810C50">
        <w:rPr>
          <w:rtl/>
        </w:rPr>
        <w:t xml:space="preserve"> من التخصيصات؛</w:t>
      </w:r>
    </w:p>
    <w:p w14:paraId="4A0D5301" w14:textId="143C3114" w:rsidR="00BF56F1" w:rsidRDefault="00BF56F1" w:rsidP="0069734C">
      <w:pPr>
        <w:rPr>
          <w:rtl/>
        </w:rPr>
      </w:pPr>
      <w:r>
        <w:rPr>
          <w:rFonts w:hint="cs"/>
          <w:rtl/>
        </w:rPr>
        <w:t>3)</w:t>
      </w:r>
      <w:r>
        <w:rPr>
          <w:rtl/>
        </w:rPr>
        <w:tab/>
      </w:r>
      <w:r w:rsidR="00810C50" w:rsidRPr="00810C50">
        <w:rPr>
          <w:rtl/>
        </w:rPr>
        <w:t>الطلب على البيانات المتنقلة غير مؤكد في المستقبل</w:t>
      </w:r>
    </w:p>
    <w:p w14:paraId="712A75E1" w14:textId="49703A2B" w:rsidR="00BF56F1" w:rsidRDefault="00BF56F1" w:rsidP="00BF56F1">
      <w:pPr>
        <w:pStyle w:val="enumlev2"/>
        <w:rPr>
          <w:rtl/>
        </w:rPr>
      </w:pPr>
      <w:r w:rsidRPr="00315563">
        <w:sym w:font="Wingdings" w:char="F09F"/>
      </w:r>
      <w:r w:rsidR="00147D1A">
        <w:rPr>
          <w:rtl/>
        </w:rPr>
        <w:tab/>
      </w:r>
      <w:r w:rsidR="00810C50" w:rsidRPr="00810C50">
        <w:rPr>
          <w:rtl/>
        </w:rPr>
        <w:t>تم إسكات الإقبال على تكنولوجيا الجيل الخامس (</w:t>
      </w:r>
      <w:r w:rsidR="006854B5">
        <w:t>5G</w:t>
      </w:r>
      <w:r w:rsidR="00810C50" w:rsidRPr="00810C50">
        <w:rPr>
          <w:rtl/>
        </w:rPr>
        <w:t xml:space="preserve">)، ويُعتبر استعمال </w:t>
      </w:r>
      <w:r w:rsidR="00810C50" w:rsidRPr="00810C50">
        <w:t>mmWave</w:t>
      </w:r>
      <w:r w:rsidR="00810C50" w:rsidRPr="00810C50">
        <w:rPr>
          <w:rtl/>
        </w:rPr>
        <w:t xml:space="preserve"> محدودا</w:t>
      </w:r>
      <w:r w:rsidR="0061674F">
        <w:rPr>
          <w:rFonts w:hint="cs"/>
          <w:rtl/>
        </w:rPr>
        <w:t>ً</w:t>
      </w:r>
      <w:r w:rsidR="00810C50" w:rsidRPr="00810C50">
        <w:rPr>
          <w:rtl/>
        </w:rPr>
        <w:t>؛</w:t>
      </w:r>
    </w:p>
    <w:p w14:paraId="6E26AF6F" w14:textId="4964F986" w:rsidR="00BF56F1" w:rsidRDefault="00BF56F1" w:rsidP="00BF56F1">
      <w:pPr>
        <w:pStyle w:val="enumlev2"/>
        <w:rPr>
          <w:rtl/>
        </w:rPr>
      </w:pPr>
      <w:r w:rsidRPr="00315563">
        <w:sym w:font="Wingdings" w:char="F09F"/>
      </w:r>
      <w:r w:rsidR="00147D1A">
        <w:rPr>
          <w:rtl/>
        </w:rPr>
        <w:tab/>
      </w:r>
      <w:r w:rsidR="00810C50" w:rsidRPr="00810C50">
        <w:rPr>
          <w:rtl/>
        </w:rPr>
        <w:t>ينبغي إعطاء الأولوية لإعادة تنظيم الطيف ولتخصيص التحديدات القائمة.</w:t>
      </w:r>
    </w:p>
    <w:p w14:paraId="5B6A5C89" w14:textId="4D6814B7" w:rsidR="00147D1A" w:rsidRPr="00147D1A" w:rsidRDefault="00147D1A" w:rsidP="00147D1A">
      <w:pPr>
        <w:pStyle w:val="Headingb"/>
      </w:pPr>
      <w:r>
        <w:rPr>
          <w:rFonts w:hint="cs"/>
          <w:rtl/>
        </w:rPr>
        <w:t>المقترحات</w:t>
      </w:r>
    </w:p>
    <w:p w14:paraId="0AE4DCD4" w14:textId="77777777" w:rsidR="00BE2D61" w:rsidRDefault="003C7BEC">
      <w:pPr>
        <w:pStyle w:val="Proposal"/>
      </w:pPr>
      <w:r>
        <w:tab/>
        <w:t>BRM/PNG/SLM/SMO/TON/VUT/180/1</w:t>
      </w:r>
    </w:p>
    <w:p w14:paraId="3EFFC73E" w14:textId="698E52D2" w:rsidR="00BE2D61" w:rsidRDefault="00810C50" w:rsidP="00147D1A">
      <w:pPr>
        <w:rPr>
          <w:rtl/>
        </w:rPr>
      </w:pPr>
      <w:r w:rsidRPr="00810C50">
        <w:rPr>
          <w:rtl/>
        </w:rPr>
        <w:t>استنادا</w:t>
      </w:r>
      <w:r w:rsidR="0061674F">
        <w:rPr>
          <w:rFonts w:hint="cs"/>
          <w:rtl/>
        </w:rPr>
        <w:t>ً</w:t>
      </w:r>
      <w:r w:rsidRPr="00810C50">
        <w:rPr>
          <w:rtl/>
        </w:rPr>
        <w:t xml:space="preserve"> إلى الحقائق والاعتبارات المذكورة أعلاه، لا تؤيد هذه الإدارات النظر في إدراج بند جديد في جدول الأعمال بشأن تحديد الاتصالات المتنقلة الدولية، خلال دورة الدراسة الخاصة بالمؤتمر </w:t>
      </w:r>
      <w:r w:rsidRPr="00810C50">
        <w:t>WRC-27</w:t>
      </w:r>
      <w:r w:rsidRPr="00810C50">
        <w:rPr>
          <w:rtl/>
        </w:rPr>
        <w:t xml:space="preserve">. ولكن إذا كان من المقرر بالفعل النظر في إدراج بند في جدول </w:t>
      </w:r>
      <w:r>
        <w:rPr>
          <w:rFonts w:hint="cs"/>
          <w:rtl/>
        </w:rPr>
        <w:t>ال</w:t>
      </w:r>
      <w:r w:rsidRPr="00810C50">
        <w:rPr>
          <w:rtl/>
        </w:rPr>
        <w:t>أعمال</w:t>
      </w:r>
      <w:r>
        <w:rPr>
          <w:rFonts w:hint="cs"/>
          <w:rtl/>
        </w:rPr>
        <w:t xml:space="preserve"> بشأن</w:t>
      </w:r>
      <w:r w:rsidRPr="00810C50">
        <w:rPr>
          <w:rtl/>
        </w:rPr>
        <w:t xml:space="preserve"> الاتصالات المتنقلة الدولية، فإن هذه الإدارات ستعترض بشدة على أي اعتبارات تتعلق بمدى التردد </w:t>
      </w:r>
      <w:r w:rsidRPr="00810C50">
        <w:t>GHz 14,8-10,7</w:t>
      </w:r>
      <w:r w:rsidRPr="00810C50">
        <w:rPr>
          <w:rtl/>
        </w:rPr>
        <w:t>.</w:t>
      </w:r>
    </w:p>
    <w:p w14:paraId="25E25864" w14:textId="6DF3EEA2" w:rsidR="00147D1A" w:rsidRDefault="00147D1A" w:rsidP="00147D1A">
      <w:pPr>
        <w:pStyle w:val="Reasons"/>
        <w:rPr>
          <w:rFonts w:hint="cs"/>
        </w:rPr>
      </w:pPr>
    </w:p>
    <w:p w14:paraId="4216A201" w14:textId="739C1867" w:rsidR="00147D1A" w:rsidRPr="00147D1A" w:rsidRDefault="00147D1A" w:rsidP="00147D1A">
      <w:pPr>
        <w:spacing w:before="600"/>
        <w:jc w:val="center"/>
        <w:rPr>
          <w:lang w:bidi="ar-EG"/>
        </w:rPr>
      </w:pPr>
      <w:r w:rsidRPr="00FC4592">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147D1A" w:rsidRPr="00147D1A" w:rsidSect="004C67F1">
      <w:headerReference w:type="even" r:id="rId15"/>
      <w:footerReference w:type="even" r:id="rId16"/>
      <w:footerReference w:type="default" r:id="rId17"/>
      <w:footerReference w:type="first" r:id="rId18"/>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166C" w14:textId="77777777" w:rsidR="001A6F04" w:rsidRDefault="001A6F04" w:rsidP="002919E1">
      <w:r>
        <w:separator/>
      </w:r>
    </w:p>
    <w:p w14:paraId="410C193E" w14:textId="77777777" w:rsidR="001A6F04" w:rsidRDefault="001A6F04" w:rsidP="002919E1"/>
    <w:p w14:paraId="0831462E" w14:textId="77777777" w:rsidR="001A6F04" w:rsidRDefault="001A6F04" w:rsidP="002919E1"/>
    <w:p w14:paraId="655E0057" w14:textId="77777777" w:rsidR="001A6F04" w:rsidRDefault="001A6F04"/>
    <w:p w14:paraId="623FFB32" w14:textId="77777777" w:rsidR="001A6F04" w:rsidRDefault="001A6F04"/>
  </w:endnote>
  <w:endnote w:type="continuationSeparator" w:id="0">
    <w:p w14:paraId="1E286AB9" w14:textId="77777777" w:rsidR="001A6F04" w:rsidRDefault="001A6F04" w:rsidP="002919E1">
      <w:r>
        <w:continuationSeparator/>
      </w:r>
    </w:p>
    <w:p w14:paraId="0F930D1B" w14:textId="77777777" w:rsidR="001A6F04" w:rsidRDefault="001A6F04" w:rsidP="002919E1"/>
    <w:p w14:paraId="176A8CBE" w14:textId="77777777" w:rsidR="001A6F04" w:rsidRDefault="001A6F04" w:rsidP="002919E1"/>
    <w:p w14:paraId="6DA616E2" w14:textId="77777777" w:rsidR="001A6F04" w:rsidRDefault="001A6F04"/>
    <w:p w14:paraId="17C8CF5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A925" w14:textId="769796C0" w:rsidR="00D63A6F" w:rsidRPr="00D63A6F" w:rsidRDefault="00D63A6F" w:rsidP="00067A8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1674F">
      <w:rPr>
        <w:noProof/>
        <w:sz w:val="16"/>
        <w:szCs w:val="16"/>
        <w:lang w:val="fr-FR"/>
      </w:rPr>
      <w:t>P:\ARA\ITU-R\CONF-R\CMR23\100\180A.docx</w:t>
    </w:r>
    <w:r w:rsidRPr="0026373E">
      <w:rPr>
        <w:sz w:val="16"/>
        <w:szCs w:val="16"/>
      </w:rPr>
      <w:fldChar w:fldCharType="end"/>
    </w:r>
    <w:r w:rsidRPr="0026373E">
      <w:rPr>
        <w:sz w:val="16"/>
        <w:szCs w:val="16"/>
      </w:rPr>
      <w:t xml:space="preserve">  </w:t>
    </w:r>
    <w:r w:rsidRPr="0026373E">
      <w:rPr>
        <w:sz w:val="16"/>
        <w:szCs w:val="16"/>
        <w:lang w:val="fr-FR"/>
      </w:rPr>
      <w:t xml:space="preserve"> (</w:t>
    </w:r>
    <w:r w:rsidR="00067A89" w:rsidRPr="00067A89">
      <w:rPr>
        <w:sz w:val="16"/>
        <w:szCs w:val="16"/>
      </w:rPr>
      <w:t>530484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52B8" w14:textId="273BF776" w:rsidR="0061674F" w:rsidRDefault="0061674F" w:rsidP="0061674F">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P:\ARA\ITU-R\CONF-R\CMR23\100\180A.docx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67A89">
      <w:rPr>
        <w:sz w:val="16"/>
        <w:szCs w:val="16"/>
      </w:rPr>
      <w:t>530484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2B38" w14:textId="455AB5D1" w:rsidR="00067A89" w:rsidRPr="00067A89" w:rsidRDefault="00067A89" w:rsidP="00067A8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1674F">
      <w:rPr>
        <w:noProof/>
        <w:sz w:val="16"/>
        <w:szCs w:val="16"/>
        <w:lang w:val="fr-FR"/>
      </w:rPr>
      <w:t>P:\ARA\ITU-R\CONF-R\CMR23\100\180A.docx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67A89">
      <w:rPr>
        <w:sz w:val="16"/>
        <w:szCs w:val="16"/>
      </w:rPr>
      <w:t>530484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9FFB" w14:textId="77777777" w:rsidR="001A6F04" w:rsidRDefault="001A6F04" w:rsidP="00C45930">
      <w:r>
        <w:separator/>
      </w:r>
    </w:p>
  </w:footnote>
  <w:footnote w:type="continuationSeparator" w:id="0">
    <w:p w14:paraId="3E8E0905" w14:textId="77777777" w:rsidR="001A6F04" w:rsidRDefault="001A6F04" w:rsidP="002919E1">
      <w:r>
        <w:continuationSeparator/>
      </w:r>
    </w:p>
    <w:p w14:paraId="69FCD9EF" w14:textId="77777777" w:rsidR="001A6F04" w:rsidRDefault="001A6F04" w:rsidP="002919E1"/>
    <w:p w14:paraId="24418CDA" w14:textId="77777777" w:rsidR="001A6F04" w:rsidRDefault="001A6F04" w:rsidP="002919E1"/>
    <w:p w14:paraId="01C557AC" w14:textId="77777777" w:rsidR="001A6F04" w:rsidRDefault="001A6F04"/>
    <w:p w14:paraId="0AC1181C" w14:textId="77777777" w:rsidR="001A6F04" w:rsidRDefault="001A6F04"/>
  </w:footnote>
  <w:footnote w:id="1">
    <w:p w14:paraId="1609D0FE" w14:textId="2F5603C6" w:rsidR="00542069" w:rsidRDefault="00542069">
      <w:pPr>
        <w:pStyle w:val="FootnoteText"/>
        <w:rPr>
          <w:rtl/>
        </w:rPr>
      </w:pPr>
      <w:r>
        <w:rPr>
          <w:rStyle w:val="FootnoteReference"/>
        </w:rPr>
        <w:footnoteRef/>
      </w:r>
      <w:r>
        <w:rPr>
          <w:rtl/>
        </w:rPr>
        <w:t xml:space="preserve"> </w:t>
      </w:r>
      <w:r w:rsidRPr="00542069">
        <w:rPr>
          <w:rtl/>
        </w:rPr>
        <w:t>المعلومات البارزة الواردة في تقرير وتوقعات سيسكو بشأن حركة الإنترنت</w:t>
      </w:r>
    </w:p>
    <w:p w14:paraId="11DB9222" w14:textId="4F642133" w:rsidR="00542069" w:rsidRDefault="0061538C">
      <w:pPr>
        <w:pStyle w:val="FootnoteText"/>
        <w:rPr>
          <w:lang w:bidi="ar-LB"/>
        </w:rPr>
      </w:pPr>
      <w:r>
        <w:rPr>
          <w:rFonts w:hint="cs"/>
          <w:rtl/>
        </w:rPr>
        <w:t xml:space="preserve">1 </w:t>
      </w:r>
      <w:r w:rsidR="00542069">
        <w:t>(</w:t>
      </w:r>
      <w:hyperlink r:id="rId1" w:history="1">
        <w:r w:rsidR="00542069" w:rsidRPr="00990A9D">
          <w:rPr>
            <w:rStyle w:val="Hyperlink"/>
          </w:rPr>
          <w:t>https://techblog.comsoc.org/2021/12/29/highlights-of-ciscos-internet-traffic-forecast/</w:t>
        </w:r>
      </w:hyperlink>
      <w:r w:rsidR="00542069">
        <w:t>)</w:t>
      </w:r>
    </w:p>
  </w:footnote>
  <w:footnote w:id="2">
    <w:p w14:paraId="5F42F4AD" w14:textId="707FA7B6" w:rsidR="00C82C3C" w:rsidRDefault="00C82C3C" w:rsidP="00C82C3C">
      <w:pPr>
        <w:pStyle w:val="FootnoteText"/>
        <w:rPr>
          <w:lang w:bidi="ar-LB"/>
        </w:rPr>
      </w:pPr>
      <w:r>
        <w:rPr>
          <w:rStyle w:val="FootnoteReference"/>
        </w:rPr>
        <w:footnoteRef/>
      </w:r>
      <w:r>
        <w:rPr>
          <w:rtl/>
        </w:rPr>
        <w:t xml:space="preserve"> </w:t>
      </w:r>
      <w:r w:rsidRPr="00C82C3C">
        <w:rPr>
          <w:rtl/>
        </w:rPr>
        <w:t xml:space="preserve">الفرص المتاحة لشبكات الجيل السادس في النطاق </w:t>
      </w:r>
      <w:r w:rsidRPr="00C82C3C">
        <w:t>GHz 24-7</w:t>
      </w:r>
      <w:r w:rsidRPr="00C82C3C">
        <w:rPr>
          <w:rtl/>
        </w:rPr>
        <w:t xml:space="preserve"> - التقرير النهائي الذي أعدته شركة </w:t>
      </w:r>
      <w:r w:rsidRPr="00C82C3C">
        <w:t>Plum Consulting</w:t>
      </w:r>
      <w:r w:rsidRPr="00C82C3C">
        <w:rPr>
          <w:rtl/>
        </w:rPr>
        <w:t xml:space="preserve"> (</w:t>
      </w:r>
      <w:hyperlink r:id="rId2" w:history="1">
        <w:r w:rsidRPr="0089318F">
          <w:rPr>
            <w:color w:val="0070C0"/>
            <w:u w:val="single"/>
          </w:rPr>
          <w:t>https://plumconsulting.co.uk/opportunities-for-6g-in-7-24-ghz/</w:t>
        </w:r>
      </w:hyperlink>
      <w:r w:rsidRPr="00C82C3C">
        <w:rPr>
          <w:rtl/>
        </w:rPr>
        <w:t xml:space="preserve">، 25 نوفمبر 2022). </w:t>
      </w:r>
      <w:r>
        <w:rPr>
          <w:rFonts w:hint="cs"/>
          <w:rtl/>
        </w:rPr>
        <w:t>و</w:t>
      </w:r>
      <w:r w:rsidRPr="00C82C3C">
        <w:rPr>
          <w:rtl/>
        </w:rPr>
        <w:t>هذه دراسة مولها منتدى سياسة الطيف في المملكة المتحدة.</w:t>
      </w:r>
    </w:p>
  </w:footnote>
  <w:footnote w:id="3">
    <w:p w14:paraId="6C1D3326" w14:textId="3473A961" w:rsidR="009635CE" w:rsidRDefault="009635CE">
      <w:pPr>
        <w:pStyle w:val="FootnoteText"/>
        <w:rPr>
          <w:lang w:bidi="ar-LB"/>
        </w:rPr>
      </w:pPr>
      <w:r>
        <w:rPr>
          <w:rStyle w:val="FootnoteReference"/>
        </w:rPr>
        <w:footnoteRef/>
      </w:r>
      <w:r>
        <w:rPr>
          <w:rtl/>
        </w:rPr>
        <w:t xml:space="preserve"> </w:t>
      </w:r>
      <w:r w:rsidRPr="009635CE">
        <w:rPr>
          <w:rtl/>
        </w:rPr>
        <w:t xml:space="preserve">يرجى الاطلاع على </w:t>
      </w:r>
      <w:hyperlink r:id="rId3" w:history="1">
        <w:r w:rsidRPr="0061538C">
          <w:rPr>
            <w:rStyle w:val="Hyperlink"/>
            <w:rFonts w:ascii="Dubai" w:hAnsi="Dubai" w:cs="Dubai"/>
            <w:rtl/>
          </w:rPr>
          <w:t>دراسة التخصيص الحالي للطيف المتنقل واستخدامه (</w:t>
        </w:r>
        <w:r w:rsidRPr="0061538C">
          <w:rPr>
            <w:rStyle w:val="Hyperlink"/>
            <w:rFonts w:ascii="Dubai" w:hAnsi="Dubai" w:cs="Dubai"/>
          </w:rPr>
          <w:t>apt.int</w:t>
        </w:r>
        <w:r w:rsidRPr="0061538C">
          <w:rPr>
            <w:rStyle w:val="Hyperlink"/>
            <w:rFonts w:ascii="Dubai" w:hAnsi="Dubai" w:cs="Dubai"/>
            <w:rtl/>
          </w:rPr>
          <w:t>)</w:t>
        </w:r>
      </w:hyperlink>
      <w:r w:rsidRPr="009635CE">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19D4" w14:textId="56C2D716" w:rsidR="00D63A6F" w:rsidRPr="00BF56F1" w:rsidRDefault="005E5F16" w:rsidP="00BF56F1">
    <w:pPr>
      <w:bidi w:val="0"/>
      <w:spacing w:after="360" w:line="240" w:lineRule="auto"/>
      <w:jc w:val="center"/>
      <w:rPr>
        <w:sz w:val="20"/>
        <w:szCs w:val="20"/>
      </w:rPr>
    </w:pPr>
    <w:r w:rsidRPr="00BF56F1">
      <w:rPr>
        <w:rStyle w:val="PageNumber"/>
        <w:rFonts w:ascii="Dubai" w:hAnsi="Dubai" w:cs="Dubai"/>
      </w:rPr>
      <w:fldChar w:fldCharType="begin"/>
    </w:r>
    <w:r w:rsidRPr="00BF56F1">
      <w:rPr>
        <w:rStyle w:val="PageNumber"/>
        <w:rFonts w:ascii="Dubai" w:hAnsi="Dubai" w:cs="Dubai"/>
      </w:rPr>
      <w:instrText xml:space="preserve"> PAGE </w:instrText>
    </w:r>
    <w:r w:rsidRPr="00BF56F1">
      <w:rPr>
        <w:rStyle w:val="PageNumber"/>
        <w:rFonts w:ascii="Dubai" w:hAnsi="Dubai" w:cs="Dubai"/>
      </w:rPr>
      <w:fldChar w:fldCharType="separate"/>
    </w:r>
    <w:r w:rsidR="009635CE">
      <w:rPr>
        <w:rStyle w:val="PageNumber"/>
        <w:rFonts w:ascii="Dubai" w:hAnsi="Dubai" w:cs="Dubai"/>
        <w:noProof/>
      </w:rPr>
      <w:t>2</w:t>
    </w:r>
    <w:r w:rsidRPr="00BF56F1">
      <w:rPr>
        <w:rStyle w:val="PageNumber"/>
        <w:rFonts w:ascii="Dubai" w:hAnsi="Dubai" w:cs="Dubai"/>
      </w:rPr>
      <w:fldChar w:fldCharType="end"/>
    </w:r>
    <w:r w:rsidRPr="00BF56F1">
      <w:rPr>
        <w:rStyle w:val="PageNumber"/>
        <w:rFonts w:ascii="Dubai" w:hAnsi="Dubai" w:cs="Dubai"/>
        <w:rtl/>
      </w:rPr>
      <w:br/>
    </w:r>
    <w:r w:rsidR="004F5F29" w:rsidRPr="00BF56F1">
      <w:rPr>
        <w:rStyle w:val="PageNumber"/>
        <w:rFonts w:ascii="Dubai" w:hAnsi="Dubai" w:cs="Dubai"/>
      </w:rPr>
      <w:t>WRC</w:t>
    </w:r>
    <w:r w:rsidRPr="00BF56F1">
      <w:rPr>
        <w:rStyle w:val="PageNumber"/>
        <w:rFonts w:ascii="Dubai" w:hAnsi="Dubai" w:cs="Dubai"/>
      </w:rPr>
      <w:t>23/180-A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8F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C9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C83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091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58160598">
    <w:abstractNumId w:val="9"/>
  </w:num>
  <w:num w:numId="2" w16cid:durableId="1472988444">
    <w:abstractNumId w:val="13"/>
  </w:num>
  <w:num w:numId="3" w16cid:durableId="1381979989">
    <w:abstractNumId w:val="11"/>
  </w:num>
  <w:num w:numId="4" w16cid:durableId="1642418013">
    <w:abstractNumId w:val="14"/>
  </w:num>
  <w:num w:numId="5" w16cid:durableId="872232137">
    <w:abstractNumId w:val="7"/>
  </w:num>
  <w:num w:numId="6" w16cid:durableId="1976181746">
    <w:abstractNumId w:val="6"/>
  </w:num>
  <w:num w:numId="7" w16cid:durableId="441146785">
    <w:abstractNumId w:val="5"/>
  </w:num>
  <w:num w:numId="8" w16cid:durableId="383986992">
    <w:abstractNumId w:val="4"/>
  </w:num>
  <w:num w:numId="9" w16cid:durableId="563487502">
    <w:abstractNumId w:val="8"/>
  </w:num>
  <w:num w:numId="10" w16cid:durableId="1247494986">
    <w:abstractNumId w:val="3"/>
  </w:num>
  <w:num w:numId="11" w16cid:durableId="388118860">
    <w:abstractNumId w:val="2"/>
  </w:num>
  <w:num w:numId="12" w16cid:durableId="255601786">
    <w:abstractNumId w:val="1"/>
  </w:num>
  <w:num w:numId="13" w16cid:durableId="1342469600">
    <w:abstractNumId w:val="0"/>
  </w:num>
  <w:num w:numId="14" w16cid:durableId="1884294446">
    <w:abstractNumId w:val="10"/>
  </w:num>
  <w:num w:numId="15" w16cid:durableId="1103302706">
    <w:abstractNumId w:val="15"/>
  </w:num>
  <w:num w:numId="16" w16cid:durableId="170799978">
    <w:abstractNumId w:val="12"/>
  </w:num>
  <w:num w:numId="17" w16cid:durableId="1141927604">
    <w:abstractNumId w:val="6"/>
  </w:num>
  <w:num w:numId="18" w16cid:durableId="1982341956">
    <w:abstractNumId w:val="5"/>
  </w:num>
  <w:num w:numId="19" w16cid:durableId="41054284">
    <w:abstractNumId w:val="3"/>
  </w:num>
  <w:num w:numId="20" w16cid:durableId="302589945">
    <w:abstractNumId w:val="2"/>
  </w:num>
  <w:num w:numId="21" w16cid:durableId="1639916425">
    <w:abstractNumId w:val="6"/>
  </w:num>
  <w:num w:numId="22" w16cid:durableId="457995360">
    <w:abstractNumId w:val="5"/>
  </w:num>
  <w:num w:numId="23" w16cid:durableId="1786389977">
    <w:abstractNumId w:val="3"/>
  </w:num>
  <w:num w:numId="24" w16cid:durableId="157392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7A89"/>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D1A"/>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C7BEC"/>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2069"/>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538C"/>
    <w:rsid w:val="0061674F"/>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4B5"/>
    <w:rsid w:val="00685BF6"/>
    <w:rsid w:val="00694690"/>
    <w:rsid w:val="0069526C"/>
    <w:rsid w:val="0069734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0C50"/>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1FB2"/>
    <w:rsid w:val="00873A6F"/>
    <w:rsid w:val="008803C7"/>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D7B4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5CE"/>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2D61"/>
    <w:rsid w:val="00BE36C8"/>
    <w:rsid w:val="00BE69C3"/>
    <w:rsid w:val="00BF092B"/>
    <w:rsid w:val="00BF19B0"/>
    <w:rsid w:val="00BF279A"/>
    <w:rsid w:val="00BF56F1"/>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2C3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D41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61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pt.int/sites/default/files/Examining_the_current_assignment_and_usage_of_mobile_spectrum.pdf" TargetMode="External"/><Relationship Id="rId2" Type="http://schemas.openxmlformats.org/officeDocument/2006/relationships/hyperlink" Target="https://plumconsulting.co.uk/opportunities-for-6g-in-7-24-ghz/" TargetMode="External"/><Relationship Id="rId1" Type="http://schemas.openxmlformats.org/officeDocument/2006/relationships/hyperlink" Target="https://techblog.comsoc.org/2021/12/29/highlights-of-ciscos-internet-traffic-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eccc8c-4c5b-46ca-a043-e5f58e589244" targetNamespace="http://schemas.microsoft.com/office/2006/metadata/properties" ma:root="true" ma:fieldsID="d41af5c836d734370eb92e7ee5f83852" ns2:_="" ns3:_="">
    <xsd:import namespace="996b2e75-67fd-4955-a3b0-5ab9934cb50b"/>
    <xsd:import namespace="e0eccc8c-4c5b-46ca-a043-e5f58e5892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eccc8c-4c5b-46ca-a043-e5f58e5892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0eccc8c-4c5b-46ca-a043-e5f58e589244">DPM</DPM_x0020_Author>
    <DPM_x0020_File_x0020_name xmlns="e0eccc8c-4c5b-46ca-a043-e5f58e589244">R23-WRC23-C-0180!!MSW-A</DPM_x0020_File_x0020_name>
    <DPM_x0020_Version xmlns="e0eccc8c-4c5b-46ca-a043-e5f58e589244">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eccc8c-4c5b-46ca-a043-e5f58e589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e0eccc8c-4c5b-46ca-a043-e5f58e589244"/>
    <ds:schemaRef ds:uri="996b2e75-67fd-4955-a3b0-5ab9934cb5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CC97D2-DADD-4E5B-B2EB-6EB92FE3EA76}">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720</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R23-WRC23-C-0180!!MSW-A</vt:lpstr>
    </vt:vector>
  </TitlesOfParts>
  <Manager>General Secretariat - Pool</Manager>
  <Company>International Telecommunication Union (ITU)</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R23-WRC23-C-0180!!MSW-A</dc:title>
  <dc:creator>Documents Proposals Manager (DPM)</dc:creator>
  <cp:keywords>DPM_v2023.11.6.1_prod</cp:keywords>
  <cp:lastModifiedBy>Arabic_HD</cp:lastModifiedBy>
  <cp:revision>5</cp:revision>
  <cp:lastPrinted>2020-08-11T14:28:00Z</cp:lastPrinted>
  <dcterms:created xsi:type="dcterms:W3CDTF">2023-11-18T15:43:00Z</dcterms:created>
  <dcterms:modified xsi:type="dcterms:W3CDTF">2023-11-18T15:59:00Z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