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DA8905F" w14:textId="77777777" w:rsidTr="004C6D0B">
        <w:trPr>
          <w:cantSplit/>
        </w:trPr>
        <w:tc>
          <w:tcPr>
            <w:tcW w:w="1418" w:type="dxa"/>
            <w:vAlign w:val="center"/>
          </w:tcPr>
          <w:p w14:paraId="1D56C81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1E766A" wp14:editId="14B1CE9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546F98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EDF0AA8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4E9FDE" wp14:editId="5757BF8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BB94DA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6B74EF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15D84B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2DA438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EE4CC18" w14:textId="77777777" w:rsidR="005651C9" w:rsidRPr="00836AE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A76990C" w14:textId="77777777" w:rsidR="005651C9" w:rsidRPr="00836AE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0A0EF3" w14:paraId="2FD2E1FA" w14:textId="77777777" w:rsidTr="001226EC">
        <w:trPr>
          <w:cantSplit/>
        </w:trPr>
        <w:tc>
          <w:tcPr>
            <w:tcW w:w="6771" w:type="dxa"/>
            <w:gridSpan w:val="2"/>
          </w:tcPr>
          <w:p w14:paraId="3A5CF6D8" w14:textId="77777777" w:rsidR="005651C9" w:rsidRPr="00836AE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36AE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B7698DC" w14:textId="77777777" w:rsidR="005651C9" w:rsidRPr="00836AE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36AE1">
              <w:rPr>
                <w:rFonts w:ascii="Verdana" w:hAnsi="Verdana"/>
                <w:b/>
                <w:bCs/>
                <w:sz w:val="18"/>
                <w:szCs w:val="18"/>
              </w:rPr>
              <w:t>Документ 175</w:t>
            </w:r>
            <w:r w:rsidR="005651C9" w:rsidRPr="00836AE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36AE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14:paraId="7D5B68BD" w14:textId="77777777" w:rsidTr="001226EC">
        <w:trPr>
          <w:cantSplit/>
        </w:trPr>
        <w:tc>
          <w:tcPr>
            <w:tcW w:w="6771" w:type="dxa"/>
            <w:gridSpan w:val="2"/>
          </w:tcPr>
          <w:p w14:paraId="4833F42F" w14:textId="77777777" w:rsidR="000F33D8" w:rsidRPr="00836A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C2B8A0A" w14:textId="77777777" w:rsidR="000F33D8" w:rsidRPr="00836AE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36AE1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0A0EF3" w14:paraId="79A1DA45" w14:textId="77777777" w:rsidTr="001226EC">
        <w:trPr>
          <w:cantSplit/>
        </w:trPr>
        <w:tc>
          <w:tcPr>
            <w:tcW w:w="6771" w:type="dxa"/>
            <w:gridSpan w:val="2"/>
          </w:tcPr>
          <w:p w14:paraId="36CE02F6" w14:textId="77777777" w:rsidR="000F33D8" w:rsidRPr="00836A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8546B37" w14:textId="77777777" w:rsidR="000F33D8" w:rsidRPr="00836AE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36AE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0B1AC97E" w14:textId="77777777" w:rsidTr="00A25848">
        <w:trPr>
          <w:cantSplit/>
        </w:trPr>
        <w:tc>
          <w:tcPr>
            <w:tcW w:w="10031" w:type="dxa"/>
            <w:gridSpan w:val="4"/>
          </w:tcPr>
          <w:p w14:paraId="513F793C" w14:textId="77777777" w:rsidR="000F33D8" w:rsidRPr="00836AE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 w14:paraId="1C033073" w14:textId="77777777">
        <w:trPr>
          <w:cantSplit/>
        </w:trPr>
        <w:tc>
          <w:tcPr>
            <w:tcW w:w="10031" w:type="dxa"/>
            <w:gridSpan w:val="4"/>
          </w:tcPr>
          <w:p w14:paraId="1DB0A052" w14:textId="03E4511D" w:rsidR="000F33D8" w:rsidRPr="00C67A6E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67A6E">
              <w:rPr>
                <w:szCs w:val="26"/>
              </w:rPr>
              <w:t>Саудовская Аравия (Королевство)/Государство Ливия (Ливия)/Катар (Государство)/Самоа (Независимое Государство)/Сомали (Федеративная</w:t>
            </w:r>
            <w:r w:rsidR="009A7C9C">
              <w:rPr>
                <w:szCs w:val="26"/>
              </w:rPr>
              <w:t> </w:t>
            </w:r>
            <w:r w:rsidRPr="00C67A6E">
              <w:rPr>
                <w:szCs w:val="26"/>
              </w:rPr>
              <w:t>Республика)</w:t>
            </w:r>
          </w:p>
        </w:tc>
      </w:tr>
      <w:tr w:rsidR="000F33D8" w:rsidRPr="000A0EF3" w14:paraId="11079F47" w14:textId="77777777">
        <w:trPr>
          <w:cantSplit/>
        </w:trPr>
        <w:tc>
          <w:tcPr>
            <w:tcW w:w="10031" w:type="dxa"/>
            <w:gridSpan w:val="4"/>
          </w:tcPr>
          <w:p w14:paraId="41666A45" w14:textId="77777777" w:rsidR="000F33D8" w:rsidRPr="005651C9" w:rsidRDefault="00C67A6E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AFCEDAE" w14:textId="77777777">
        <w:trPr>
          <w:cantSplit/>
        </w:trPr>
        <w:tc>
          <w:tcPr>
            <w:tcW w:w="10031" w:type="dxa"/>
            <w:gridSpan w:val="4"/>
          </w:tcPr>
          <w:p w14:paraId="6C7621D6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68FF2B4C" w14:textId="77777777">
        <w:trPr>
          <w:cantSplit/>
        </w:trPr>
        <w:tc>
          <w:tcPr>
            <w:tcW w:w="10031" w:type="dxa"/>
            <w:gridSpan w:val="4"/>
          </w:tcPr>
          <w:p w14:paraId="2436E515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1.2 повестки дня</w:t>
            </w:r>
          </w:p>
        </w:tc>
      </w:tr>
    </w:tbl>
    <w:bookmarkEnd w:id="3"/>
    <w:p w14:paraId="202CE631" w14:textId="77777777" w:rsidR="00A25848" w:rsidRDefault="00D03ACF" w:rsidP="00C67A6E">
      <w:pPr>
        <w:pStyle w:val="Normalaftertitle"/>
      </w:pPr>
      <w:r w:rsidRPr="00B4505C">
        <w:t>1.2</w:t>
      </w:r>
      <w:r w:rsidRPr="00B4505C">
        <w:tab/>
      </w:r>
      <w:r w:rsidRPr="0022281C">
        <w:t>в соответствии с Резолюцией </w:t>
      </w:r>
      <w:r w:rsidRPr="0022281C">
        <w:rPr>
          <w:b/>
        </w:rPr>
        <w:t>245 (ВКР</w:t>
      </w:r>
      <w:r w:rsidRPr="0022281C">
        <w:rPr>
          <w:b/>
        </w:rPr>
        <w:noBreakHyphen/>
        <w:t>19)</w:t>
      </w:r>
      <w:r w:rsidRPr="0022281C">
        <w:t xml:space="preserve">, рассмотреть вопрос об определении </w:t>
      </w:r>
      <w:r w:rsidRPr="0022281C">
        <w:rPr>
          <w:rFonts w:eastAsia="MS Mincho"/>
        </w:rPr>
        <w:t>полос частот 3300−3400 МГц, 3600−3800 МГц, 6425−7025 МГц, 7025−7125 МГц и 10,0−10,5 ГГц</w:t>
      </w:r>
      <w:r w:rsidRPr="0022281C"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2281C">
        <w:rPr>
          <w:rFonts w:eastAsia="MS Mincho"/>
        </w:rPr>
        <w:t>;</w:t>
      </w:r>
    </w:p>
    <w:p w14:paraId="7587A8A2" w14:textId="77777777" w:rsidR="00C67A6E" w:rsidRPr="009D771E" w:rsidRDefault="00C67A6E" w:rsidP="00BF7ED6">
      <w:pPr>
        <w:pStyle w:val="Headingb"/>
        <w:rPr>
          <w:lang w:val="ru-RU"/>
        </w:rPr>
      </w:pPr>
      <w:r w:rsidRPr="009D771E">
        <w:rPr>
          <w:lang w:val="ru-RU"/>
        </w:rPr>
        <w:t>1</w:t>
      </w:r>
      <w:r w:rsidRPr="009D771E">
        <w:rPr>
          <w:lang w:val="ru-RU"/>
        </w:rPr>
        <w:tab/>
      </w:r>
      <w:r w:rsidR="00BF7ED6">
        <w:rPr>
          <w:lang w:val="ru-RU"/>
        </w:rPr>
        <w:t>Базовая</w:t>
      </w:r>
      <w:r w:rsidR="00BF7ED6" w:rsidRPr="009D771E">
        <w:rPr>
          <w:lang w:val="ru-RU"/>
        </w:rPr>
        <w:t xml:space="preserve"> </w:t>
      </w:r>
      <w:r w:rsidR="00BF7ED6">
        <w:rPr>
          <w:lang w:val="ru-RU"/>
        </w:rPr>
        <w:t>информация</w:t>
      </w:r>
    </w:p>
    <w:p w14:paraId="705D4FF3" w14:textId="49F38AE2" w:rsidR="007F33B4" w:rsidRPr="009D771E" w:rsidRDefault="00CB7E20" w:rsidP="00C67A6E">
      <w:pPr>
        <w:rPr>
          <w:rFonts w:eastAsia="MS Mincho"/>
          <w:iCs/>
          <w:lang w:eastAsia="ja-JP"/>
        </w:rPr>
      </w:pPr>
      <w:bookmarkStart w:id="4" w:name="lt_pId016"/>
      <w:r>
        <w:rPr>
          <w:iCs/>
        </w:rPr>
        <w:t>В</w:t>
      </w:r>
      <w:r w:rsidRPr="003C61A7">
        <w:rPr>
          <w:iCs/>
        </w:rPr>
        <w:t xml:space="preserve"> </w:t>
      </w:r>
      <w:r>
        <w:rPr>
          <w:iCs/>
        </w:rPr>
        <w:t>н</w:t>
      </w:r>
      <w:r w:rsidRPr="00CB7E20">
        <w:rPr>
          <w:iCs/>
        </w:rPr>
        <w:t>астоящем</w:t>
      </w:r>
      <w:r w:rsidRPr="003C61A7">
        <w:rPr>
          <w:iCs/>
        </w:rPr>
        <w:t xml:space="preserve"> </w:t>
      </w:r>
      <w:r w:rsidRPr="00CB7E20">
        <w:rPr>
          <w:iCs/>
        </w:rPr>
        <w:t>вкладе</w:t>
      </w:r>
      <w:r w:rsidRPr="003C61A7">
        <w:rPr>
          <w:iCs/>
        </w:rPr>
        <w:t xml:space="preserve"> </w:t>
      </w:r>
      <w:r w:rsidR="009D771E" w:rsidRPr="00005974">
        <w:rPr>
          <w:lang w:eastAsia="en-GB"/>
        </w:rPr>
        <w:t xml:space="preserve">рассматривается </w:t>
      </w:r>
      <w:r w:rsidR="009D771E">
        <w:rPr>
          <w:lang w:eastAsia="en-GB"/>
        </w:rPr>
        <w:t xml:space="preserve">вопрос о </w:t>
      </w:r>
      <w:r w:rsidR="009D771E" w:rsidRPr="00005974">
        <w:rPr>
          <w:lang w:eastAsia="en-GB"/>
        </w:rPr>
        <w:t>возможно</w:t>
      </w:r>
      <w:r w:rsidR="009D771E">
        <w:rPr>
          <w:lang w:eastAsia="en-GB"/>
        </w:rPr>
        <w:t>м</w:t>
      </w:r>
      <w:r w:rsidR="009D771E" w:rsidRPr="00005974">
        <w:rPr>
          <w:lang w:eastAsia="en-GB"/>
        </w:rPr>
        <w:t xml:space="preserve"> определени</w:t>
      </w:r>
      <w:r w:rsidR="009D771E">
        <w:rPr>
          <w:lang w:eastAsia="en-GB"/>
        </w:rPr>
        <w:t>и</w:t>
      </w:r>
      <w:r w:rsidR="009D771E" w:rsidRPr="00005974">
        <w:rPr>
          <w:lang w:eastAsia="en-GB"/>
        </w:rPr>
        <w:t xml:space="preserve"> </w:t>
      </w:r>
      <w:r w:rsidR="009D771E">
        <w:rPr>
          <w:lang w:eastAsia="en-GB"/>
        </w:rPr>
        <w:t xml:space="preserve">спектра для </w:t>
      </w:r>
      <w:r w:rsidR="003C61A7">
        <w:rPr>
          <w:iCs/>
          <w:lang w:val="en-US"/>
        </w:rPr>
        <w:t>IMT</w:t>
      </w:r>
      <w:r w:rsidR="003C61A7" w:rsidRPr="003C61A7">
        <w:rPr>
          <w:iCs/>
        </w:rPr>
        <w:t xml:space="preserve"> </w:t>
      </w:r>
      <w:r w:rsidR="003C61A7">
        <w:rPr>
          <w:rFonts w:eastAsia="MS Mincho"/>
          <w:iCs/>
          <w:lang w:eastAsia="ja-JP"/>
        </w:rPr>
        <w:t>в</w:t>
      </w:r>
      <w:r w:rsidR="003C61A7" w:rsidRPr="003C61A7">
        <w:rPr>
          <w:rFonts w:eastAsia="MS Mincho"/>
          <w:iCs/>
          <w:lang w:eastAsia="ja-JP"/>
        </w:rPr>
        <w:t xml:space="preserve"> </w:t>
      </w:r>
      <w:r w:rsidR="003C61A7">
        <w:rPr>
          <w:rFonts w:eastAsia="MS Mincho"/>
          <w:iCs/>
          <w:lang w:eastAsia="ja-JP"/>
        </w:rPr>
        <w:t>полос</w:t>
      </w:r>
      <w:r w:rsidR="009D771E">
        <w:rPr>
          <w:rFonts w:eastAsia="MS Mincho"/>
          <w:iCs/>
          <w:lang w:eastAsia="ja-JP"/>
        </w:rPr>
        <w:t>ах</w:t>
      </w:r>
      <w:r w:rsidR="003C61A7" w:rsidRPr="003C61A7">
        <w:rPr>
          <w:rFonts w:eastAsia="MS Mincho"/>
          <w:iCs/>
          <w:lang w:eastAsia="ja-JP"/>
        </w:rPr>
        <w:t xml:space="preserve"> </w:t>
      </w:r>
      <w:r w:rsidR="003C61A7">
        <w:rPr>
          <w:rFonts w:eastAsia="MS Mincho"/>
          <w:iCs/>
          <w:lang w:eastAsia="ja-JP"/>
        </w:rPr>
        <w:t>частот</w:t>
      </w:r>
      <w:r w:rsidRPr="003C61A7">
        <w:rPr>
          <w:iCs/>
        </w:rPr>
        <w:t xml:space="preserve"> </w:t>
      </w:r>
      <w:r w:rsidRPr="003C61A7">
        <w:rPr>
          <w:rFonts w:eastAsia="Times New Roman"/>
          <w:iCs/>
        </w:rPr>
        <w:t>6425</w:t>
      </w:r>
      <w:r w:rsidR="00836AE1">
        <w:rPr>
          <w:rFonts w:eastAsia="Times New Roman"/>
          <w:iCs/>
        </w:rPr>
        <w:t>−</w:t>
      </w:r>
      <w:r w:rsidRPr="003C61A7">
        <w:rPr>
          <w:rFonts w:eastAsia="Times New Roman"/>
          <w:iCs/>
        </w:rPr>
        <w:t>7025</w:t>
      </w:r>
      <w:r w:rsidRPr="00CB7E20">
        <w:rPr>
          <w:rFonts w:eastAsia="Times New Roman"/>
          <w:iCs/>
          <w:lang w:val="en-US"/>
        </w:rPr>
        <w:t> </w:t>
      </w:r>
      <w:r>
        <w:rPr>
          <w:iCs/>
        </w:rPr>
        <w:t>МГц</w:t>
      </w:r>
      <w:r w:rsidR="003C61A7" w:rsidRPr="003C61A7">
        <w:rPr>
          <w:iCs/>
        </w:rPr>
        <w:t xml:space="preserve"> (</w:t>
      </w:r>
      <w:r w:rsidR="009D771E">
        <w:rPr>
          <w:rFonts w:eastAsia="Times New Roman"/>
          <w:iCs/>
        </w:rPr>
        <w:t>п</w:t>
      </w:r>
      <w:r w:rsidR="003C61A7" w:rsidRPr="003C61A7">
        <w:rPr>
          <w:rFonts w:eastAsia="Times New Roman"/>
          <w:iCs/>
        </w:rPr>
        <w:t>олоса</w:t>
      </w:r>
      <w:r w:rsidR="00923823">
        <w:rPr>
          <w:iCs/>
        </w:rPr>
        <w:t xml:space="preserve"> </w:t>
      </w:r>
      <w:r w:rsidR="003C61A7" w:rsidRPr="003C61A7">
        <w:rPr>
          <w:rFonts w:eastAsia="Times New Roman"/>
          <w:iCs/>
        </w:rPr>
        <w:t>4</w:t>
      </w:r>
      <w:r w:rsidR="009D771E">
        <w:rPr>
          <w:rFonts w:eastAsia="Times New Roman"/>
          <w:iCs/>
        </w:rPr>
        <w:t xml:space="preserve"> для</w:t>
      </w:r>
      <w:r w:rsidR="003C61A7" w:rsidRPr="003C61A7">
        <w:rPr>
          <w:rFonts w:eastAsia="Times New Roman"/>
          <w:iCs/>
        </w:rPr>
        <w:t xml:space="preserve"> Район</w:t>
      </w:r>
      <w:r w:rsidR="009D771E">
        <w:rPr>
          <w:rFonts w:eastAsia="Times New Roman"/>
          <w:iCs/>
        </w:rPr>
        <w:t>а</w:t>
      </w:r>
      <w:r w:rsidR="003C61A7" w:rsidRPr="003C61A7">
        <w:rPr>
          <w:rFonts w:eastAsia="Times New Roman"/>
          <w:iCs/>
        </w:rPr>
        <w:t xml:space="preserve"> 1) </w:t>
      </w:r>
      <w:r w:rsidR="003C61A7">
        <w:rPr>
          <w:iCs/>
        </w:rPr>
        <w:t xml:space="preserve">и </w:t>
      </w:r>
      <w:r w:rsidR="003C61A7" w:rsidRPr="003C61A7">
        <w:rPr>
          <w:rFonts w:eastAsia="Times New Roman"/>
          <w:iCs/>
        </w:rPr>
        <w:t>7025−7125</w:t>
      </w:r>
      <w:r w:rsidR="003C61A7" w:rsidRPr="003C61A7">
        <w:rPr>
          <w:rFonts w:eastAsia="Times New Roman"/>
          <w:iCs/>
          <w:lang w:val="en-US"/>
        </w:rPr>
        <w:t> </w:t>
      </w:r>
      <w:r w:rsidR="003C61A7" w:rsidRPr="003C61A7">
        <w:rPr>
          <w:rFonts w:eastAsia="Times New Roman"/>
          <w:iCs/>
        </w:rPr>
        <w:t>МГц</w:t>
      </w:r>
      <w:r w:rsidR="00923823">
        <w:rPr>
          <w:iCs/>
        </w:rPr>
        <w:t xml:space="preserve"> (полоса 5 на глобальном уровне), как указано в Резолюции </w:t>
      </w:r>
      <w:r w:rsidR="00923823" w:rsidRPr="00923823">
        <w:rPr>
          <w:b/>
          <w:bCs/>
          <w:iCs/>
        </w:rPr>
        <w:t>245 (ВКР-19)</w:t>
      </w:r>
      <w:r w:rsidR="00BA62BB">
        <w:rPr>
          <w:rFonts w:eastAsia="MS Mincho"/>
          <w:bCs/>
          <w:iCs/>
          <w:lang w:eastAsia="ja-JP"/>
        </w:rPr>
        <w:t xml:space="preserve"> </w:t>
      </w:r>
      <w:r w:rsidR="009D771E">
        <w:rPr>
          <w:lang w:eastAsia="en-GB"/>
        </w:rPr>
        <w:t xml:space="preserve">с акцентом на возможные </w:t>
      </w:r>
      <w:r w:rsidR="009D771E" w:rsidRPr="00005974">
        <w:rPr>
          <w:lang w:eastAsia="en-GB"/>
        </w:rPr>
        <w:t>проблемы и применимость для</w:t>
      </w:r>
      <w:r w:rsidR="00923823">
        <w:rPr>
          <w:rFonts w:eastAsia="MS Mincho"/>
          <w:bCs/>
          <w:iCs/>
          <w:lang w:eastAsia="ja-JP"/>
        </w:rPr>
        <w:t xml:space="preserve"> Района 1 и Района 3 МСЭ.</w:t>
      </w:r>
      <w:bookmarkStart w:id="5" w:name="lt_pId017"/>
      <w:bookmarkEnd w:id="4"/>
    </w:p>
    <w:bookmarkEnd w:id="5"/>
    <w:p w14:paraId="46D11C48" w14:textId="55A13561" w:rsidR="007F33B4" w:rsidRPr="00836AE1" w:rsidRDefault="009D771E" w:rsidP="00C67A6E">
      <w:pPr>
        <w:rPr>
          <w:rFonts w:ascii="Segoe UI" w:hAnsi="Segoe UI" w:cs="Segoe UI"/>
          <w:sz w:val="18"/>
          <w:szCs w:val="18"/>
          <w:lang w:eastAsia="en-GB"/>
        </w:rPr>
      </w:pPr>
      <w:r w:rsidRPr="00E70E00">
        <w:rPr>
          <w:lang w:eastAsia="en-GB"/>
        </w:rPr>
        <w:t>Для начала важно отметить</w:t>
      </w:r>
      <w:r>
        <w:rPr>
          <w:lang w:eastAsia="en-GB"/>
        </w:rPr>
        <w:t xml:space="preserve">, что в настоящее время уже имеются </w:t>
      </w:r>
      <w:r w:rsidRPr="00E70E00">
        <w:rPr>
          <w:lang w:eastAsia="en-GB"/>
        </w:rPr>
        <w:t>развер</w:t>
      </w:r>
      <w:r>
        <w:rPr>
          <w:lang w:eastAsia="en-GB"/>
        </w:rPr>
        <w:t xml:space="preserve">нутые </w:t>
      </w:r>
      <w:r w:rsidRPr="00E70E00">
        <w:rPr>
          <w:lang w:eastAsia="en-GB"/>
        </w:rPr>
        <w:t>и эксплуат</w:t>
      </w:r>
      <w:r>
        <w:rPr>
          <w:lang w:eastAsia="en-GB"/>
        </w:rPr>
        <w:t>ируемые</w:t>
      </w:r>
      <w:r w:rsidRPr="00E70E00">
        <w:rPr>
          <w:lang w:eastAsia="en-GB"/>
        </w:rPr>
        <w:t xml:space="preserve"> сет</w:t>
      </w:r>
      <w:r>
        <w:rPr>
          <w:lang w:eastAsia="en-GB"/>
        </w:rPr>
        <w:t xml:space="preserve">и </w:t>
      </w:r>
      <w:r w:rsidRPr="00E70E00">
        <w:rPr>
          <w:lang w:eastAsia="en-GB"/>
        </w:rPr>
        <w:t xml:space="preserve">наземных и спутниковых систем, которые обеспечивают </w:t>
      </w:r>
      <w:r>
        <w:rPr>
          <w:lang w:eastAsia="en-GB"/>
        </w:rPr>
        <w:t xml:space="preserve">жизненно важное обслуживание в сфере </w:t>
      </w:r>
      <w:r w:rsidRPr="00E70E00">
        <w:rPr>
          <w:lang w:eastAsia="en-GB"/>
        </w:rPr>
        <w:t xml:space="preserve">национальной безопасности, связи в чрезвычайных ситуациях и в случае бедствий, </w:t>
      </w:r>
      <w:r>
        <w:rPr>
          <w:lang w:eastAsia="en-GB"/>
        </w:rPr>
        <w:t>а также</w:t>
      </w:r>
      <w:r w:rsidRPr="00E70E00">
        <w:rPr>
          <w:lang w:eastAsia="en-GB"/>
        </w:rPr>
        <w:t xml:space="preserve"> </w:t>
      </w:r>
      <w:r>
        <w:rPr>
          <w:lang w:eastAsia="en-GB"/>
        </w:rPr>
        <w:t>предоставляют услуги по</w:t>
      </w:r>
      <w:r w:rsidRPr="00E70E00">
        <w:rPr>
          <w:lang w:eastAsia="en-GB"/>
        </w:rPr>
        <w:t xml:space="preserve"> установлен</w:t>
      </w:r>
      <w:r>
        <w:rPr>
          <w:lang w:eastAsia="en-GB"/>
        </w:rPr>
        <w:t>ию</w:t>
      </w:r>
      <w:r w:rsidRPr="00E70E00">
        <w:rPr>
          <w:lang w:eastAsia="en-GB"/>
        </w:rPr>
        <w:t xml:space="preserve"> соединений </w:t>
      </w:r>
      <w:r>
        <w:rPr>
          <w:lang w:eastAsia="en-GB"/>
        </w:rPr>
        <w:t>для гражданского населения,</w:t>
      </w:r>
      <w:r w:rsidRPr="00E70E00">
        <w:rPr>
          <w:lang w:eastAsia="en-GB"/>
        </w:rPr>
        <w:t xml:space="preserve"> </w:t>
      </w:r>
      <w:r>
        <w:rPr>
          <w:lang w:eastAsia="en-GB"/>
        </w:rPr>
        <w:t>частных компаний</w:t>
      </w:r>
      <w:r w:rsidRPr="00E70E00">
        <w:rPr>
          <w:lang w:eastAsia="en-GB"/>
        </w:rPr>
        <w:t xml:space="preserve"> и правительств</w:t>
      </w:r>
      <w:r>
        <w:rPr>
          <w:lang w:eastAsia="en-GB"/>
        </w:rPr>
        <w:t>а</w:t>
      </w:r>
      <w:r w:rsidRPr="00E70E00">
        <w:rPr>
          <w:lang w:eastAsia="en-GB"/>
        </w:rPr>
        <w:t xml:space="preserve">, </w:t>
      </w:r>
      <w:r>
        <w:rPr>
          <w:lang w:eastAsia="en-GB"/>
        </w:rPr>
        <w:t>для обеспечения</w:t>
      </w:r>
      <w:r w:rsidRPr="00E70E00">
        <w:rPr>
          <w:lang w:eastAsia="en-GB"/>
        </w:rPr>
        <w:t xml:space="preserve"> безопасности </w:t>
      </w:r>
      <w:r>
        <w:rPr>
          <w:lang w:eastAsia="en-GB"/>
        </w:rPr>
        <w:t xml:space="preserve">в воздушном пространстве и </w:t>
      </w:r>
      <w:r w:rsidRPr="00E70E00">
        <w:rPr>
          <w:lang w:eastAsia="en-GB"/>
        </w:rPr>
        <w:t xml:space="preserve">на море, которые имеют решающее значение для </w:t>
      </w:r>
      <w:r>
        <w:rPr>
          <w:lang w:eastAsia="en-GB"/>
        </w:rPr>
        <w:t xml:space="preserve">соответствующих </w:t>
      </w:r>
      <w:r w:rsidRPr="00E70E00">
        <w:rPr>
          <w:lang w:eastAsia="en-GB"/>
        </w:rPr>
        <w:t xml:space="preserve">операций, </w:t>
      </w:r>
      <w:r>
        <w:rPr>
          <w:lang w:eastAsia="en-GB"/>
        </w:rPr>
        <w:t xml:space="preserve">и обеспечивают </w:t>
      </w:r>
      <w:r w:rsidRPr="00E70E00">
        <w:rPr>
          <w:lang w:eastAsia="en-GB"/>
        </w:rPr>
        <w:t xml:space="preserve">наблюдения за </w:t>
      </w:r>
      <w:r>
        <w:rPr>
          <w:lang w:eastAsia="en-GB"/>
        </w:rPr>
        <w:t>мировой</w:t>
      </w:r>
      <w:r w:rsidRPr="00E70E00">
        <w:rPr>
          <w:lang w:eastAsia="en-GB"/>
        </w:rPr>
        <w:t xml:space="preserve"> влажностью почвы, температурой поверхности моря и температурой морского льда </w:t>
      </w:r>
      <w:r>
        <w:rPr>
          <w:lang w:eastAsia="en-GB"/>
        </w:rPr>
        <w:t>в целях</w:t>
      </w:r>
      <w:r w:rsidRPr="00E70E00">
        <w:rPr>
          <w:lang w:eastAsia="en-GB"/>
        </w:rPr>
        <w:t xml:space="preserve"> прогнозирования погоды и </w:t>
      </w:r>
      <w:r>
        <w:rPr>
          <w:lang w:eastAsia="en-GB"/>
        </w:rPr>
        <w:t xml:space="preserve">мониторинга </w:t>
      </w:r>
      <w:r w:rsidRPr="00E70E00">
        <w:rPr>
          <w:lang w:eastAsia="en-GB"/>
        </w:rPr>
        <w:t>климата</w:t>
      </w:r>
      <w:r>
        <w:rPr>
          <w:lang w:eastAsia="en-GB"/>
        </w:rPr>
        <w:t xml:space="preserve"> </w:t>
      </w:r>
      <w:r w:rsidRPr="00E70E00">
        <w:rPr>
          <w:lang w:eastAsia="en-GB"/>
        </w:rPr>
        <w:t>с использованием пассивных микроволновых датчиков.</w:t>
      </w:r>
    </w:p>
    <w:p w14:paraId="5F36CB7F" w14:textId="77777777" w:rsidR="004E08BC" w:rsidRDefault="009D771E" w:rsidP="00111A5C">
      <w:r>
        <w:rPr>
          <w:lang w:eastAsia="en-GB"/>
        </w:rPr>
        <w:t>Нельзя обойти вниманием то обстоятельство</w:t>
      </w:r>
      <w:r w:rsidRPr="007067AE">
        <w:rPr>
          <w:lang w:eastAsia="en-GB"/>
        </w:rPr>
        <w:t xml:space="preserve">, </w:t>
      </w:r>
      <w:r>
        <w:rPr>
          <w:lang w:eastAsia="en-GB"/>
        </w:rPr>
        <w:t>что в этот диапазон включены</w:t>
      </w:r>
      <w:r w:rsidRPr="007067AE">
        <w:rPr>
          <w:lang w:eastAsia="en-GB"/>
        </w:rPr>
        <w:t xml:space="preserve"> непла</w:t>
      </w:r>
      <w:r>
        <w:rPr>
          <w:lang w:eastAsia="en-GB"/>
        </w:rPr>
        <w:t>новые полосы для</w:t>
      </w:r>
      <w:r w:rsidRPr="007067AE">
        <w:rPr>
          <w:lang w:eastAsia="en-GB"/>
        </w:rPr>
        <w:t xml:space="preserve"> фиксированн</w:t>
      </w:r>
      <w:r>
        <w:rPr>
          <w:lang w:eastAsia="en-GB"/>
        </w:rPr>
        <w:t>ой</w:t>
      </w:r>
      <w:r w:rsidRPr="007067AE">
        <w:rPr>
          <w:lang w:eastAsia="en-GB"/>
        </w:rPr>
        <w:t xml:space="preserve"> спутников</w:t>
      </w:r>
      <w:r>
        <w:rPr>
          <w:lang w:eastAsia="en-GB"/>
        </w:rPr>
        <w:t>ой</w:t>
      </w:r>
      <w:r w:rsidRPr="007067AE">
        <w:rPr>
          <w:lang w:eastAsia="en-GB"/>
        </w:rPr>
        <w:t xml:space="preserve"> служб</w:t>
      </w:r>
      <w:r>
        <w:rPr>
          <w:lang w:eastAsia="en-GB"/>
        </w:rPr>
        <w:t>ы</w:t>
      </w:r>
      <w:r w:rsidRPr="007067AE">
        <w:rPr>
          <w:lang w:eastAsia="en-GB"/>
        </w:rPr>
        <w:t xml:space="preserve"> (ФСС) </w:t>
      </w:r>
      <w:r>
        <w:rPr>
          <w:lang w:eastAsia="en-GB"/>
        </w:rPr>
        <w:t xml:space="preserve">с распределениями </w:t>
      </w:r>
      <w:r w:rsidRPr="007067AE">
        <w:rPr>
          <w:lang w:eastAsia="en-GB"/>
        </w:rPr>
        <w:t xml:space="preserve">на </w:t>
      </w:r>
      <w:r>
        <w:rPr>
          <w:lang w:eastAsia="en-GB"/>
        </w:rPr>
        <w:t>равной</w:t>
      </w:r>
      <w:r w:rsidRPr="007067AE">
        <w:rPr>
          <w:lang w:eastAsia="en-GB"/>
        </w:rPr>
        <w:t xml:space="preserve"> первичной основе и план</w:t>
      </w:r>
      <w:r>
        <w:rPr>
          <w:lang w:eastAsia="en-GB"/>
        </w:rPr>
        <w:t>овая</w:t>
      </w:r>
      <w:r w:rsidRPr="007067AE">
        <w:rPr>
          <w:lang w:eastAsia="en-GB"/>
        </w:rPr>
        <w:t xml:space="preserve"> полос</w:t>
      </w:r>
      <w:r>
        <w:rPr>
          <w:lang w:eastAsia="en-GB"/>
        </w:rPr>
        <w:t>а</w:t>
      </w:r>
      <w:r w:rsidRPr="007067AE">
        <w:rPr>
          <w:lang w:eastAsia="en-GB"/>
        </w:rPr>
        <w:t xml:space="preserve"> </w:t>
      </w:r>
      <w:r>
        <w:rPr>
          <w:lang w:eastAsia="en-GB"/>
        </w:rPr>
        <w:t>с</w:t>
      </w:r>
      <w:r w:rsidRPr="007067AE">
        <w:rPr>
          <w:lang w:eastAsia="en-GB"/>
        </w:rPr>
        <w:t>огласно Приложению</w:t>
      </w:r>
      <w:r w:rsidRPr="007067AE">
        <w:rPr>
          <w:b/>
          <w:bCs/>
          <w:lang w:eastAsia="en-GB"/>
        </w:rPr>
        <w:t xml:space="preserve"> 30B </w:t>
      </w:r>
      <w:r w:rsidRPr="007067AE">
        <w:rPr>
          <w:lang w:eastAsia="en-GB"/>
        </w:rPr>
        <w:t xml:space="preserve">к Регламенту радиосвязи </w:t>
      </w:r>
      <w:r>
        <w:rPr>
          <w:lang w:eastAsia="en-GB"/>
        </w:rPr>
        <w:t xml:space="preserve">(РР) </w:t>
      </w:r>
      <w:r w:rsidRPr="007067AE">
        <w:rPr>
          <w:lang w:eastAsia="en-GB"/>
        </w:rPr>
        <w:t xml:space="preserve">в верхней части </w:t>
      </w:r>
      <w:r>
        <w:rPr>
          <w:lang w:eastAsia="en-GB"/>
        </w:rPr>
        <w:t xml:space="preserve">полосы </w:t>
      </w:r>
      <w:r w:rsidRPr="007067AE">
        <w:rPr>
          <w:lang w:eastAsia="en-GB"/>
        </w:rPr>
        <w:t>(6725</w:t>
      </w:r>
      <w:r w:rsidRPr="007067AE">
        <w:rPr>
          <w:rFonts w:eastAsia="MS Mincho"/>
        </w:rPr>
        <w:t>−</w:t>
      </w:r>
      <w:r w:rsidRPr="007067AE">
        <w:rPr>
          <w:lang w:eastAsia="en-GB"/>
        </w:rPr>
        <w:t>7025</w:t>
      </w:r>
      <w:r>
        <w:rPr>
          <w:lang w:val="en-GB" w:eastAsia="en-GB"/>
        </w:rPr>
        <w:t> </w:t>
      </w:r>
      <w:r>
        <w:rPr>
          <w:lang w:eastAsia="en-GB"/>
        </w:rPr>
        <w:t xml:space="preserve">МГц), предусмотренная для практического обеспечения </w:t>
      </w:r>
      <w:r w:rsidRPr="007067AE">
        <w:rPr>
          <w:lang w:eastAsia="en-GB"/>
        </w:rPr>
        <w:t>все</w:t>
      </w:r>
      <w:r>
        <w:rPr>
          <w:lang w:eastAsia="en-GB"/>
        </w:rPr>
        <w:t>м</w:t>
      </w:r>
      <w:r w:rsidRPr="007067AE">
        <w:rPr>
          <w:lang w:eastAsia="en-GB"/>
        </w:rPr>
        <w:t xml:space="preserve"> стран</w:t>
      </w:r>
      <w:r>
        <w:rPr>
          <w:lang w:eastAsia="en-GB"/>
        </w:rPr>
        <w:t>ам</w:t>
      </w:r>
      <w:r w:rsidRPr="007067AE">
        <w:rPr>
          <w:lang w:eastAsia="en-GB"/>
        </w:rPr>
        <w:t xml:space="preserve"> </w:t>
      </w:r>
      <w:r>
        <w:rPr>
          <w:lang w:eastAsia="en-GB"/>
        </w:rPr>
        <w:t xml:space="preserve">возможности </w:t>
      </w:r>
      <w:r w:rsidRPr="007067AE">
        <w:rPr>
          <w:lang w:eastAsia="en-GB"/>
        </w:rPr>
        <w:t>эффективно использова</w:t>
      </w:r>
      <w:r>
        <w:rPr>
          <w:lang w:eastAsia="en-GB"/>
        </w:rPr>
        <w:t>ть</w:t>
      </w:r>
      <w:r w:rsidRPr="007067AE">
        <w:rPr>
          <w:lang w:eastAsia="en-GB"/>
        </w:rPr>
        <w:t xml:space="preserve"> геостационарн</w:t>
      </w:r>
      <w:r>
        <w:rPr>
          <w:lang w:eastAsia="en-GB"/>
        </w:rPr>
        <w:t>ую</w:t>
      </w:r>
      <w:r w:rsidRPr="007067AE">
        <w:rPr>
          <w:lang w:eastAsia="en-GB"/>
        </w:rPr>
        <w:t xml:space="preserve"> спутников</w:t>
      </w:r>
      <w:r>
        <w:rPr>
          <w:lang w:eastAsia="en-GB"/>
        </w:rPr>
        <w:t>ую</w:t>
      </w:r>
      <w:r w:rsidRPr="007067AE">
        <w:rPr>
          <w:lang w:eastAsia="en-GB"/>
        </w:rPr>
        <w:t xml:space="preserve"> орбит</w:t>
      </w:r>
      <w:r>
        <w:rPr>
          <w:lang w:eastAsia="en-GB"/>
        </w:rPr>
        <w:t>у</w:t>
      </w:r>
      <w:r w:rsidRPr="007067AE">
        <w:rPr>
          <w:lang w:eastAsia="en-GB"/>
        </w:rPr>
        <w:t xml:space="preserve"> и </w:t>
      </w:r>
      <w:r>
        <w:rPr>
          <w:lang w:eastAsia="en-GB"/>
        </w:rPr>
        <w:t xml:space="preserve">иметь </w:t>
      </w:r>
      <w:r w:rsidRPr="007067AE">
        <w:rPr>
          <w:lang w:eastAsia="en-GB"/>
        </w:rPr>
        <w:t>доступ к ней</w:t>
      </w:r>
      <w:r>
        <w:rPr>
          <w:lang w:eastAsia="en-GB"/>
        </w:rPr>
        <w:t xml:space="preserve"> на справедливой основе</w:t>
      </w:r>
      <w:r w:rsidRPr="007067AE">
        <w:rPr>
          <w:lang w:eastAsia="en-GB"/>
        </w:rPr>
        <w:t xml:space="preserve">. Разработка </w:t>
      </w:r>
      <w:r>
        <w:rPr>
          <w:lang w:eastAsia="en-GB"/>
        </w:rPr>
        <w:t xml:space="preserve">Плана </w:t>
      </w:r>
      <w:r w:rsidRPr="007067AE">
        <w:rPr>
          <w:lang w:eastAsia="en-GB"/>
        </w:rPr>
        <w:t>Приложени</w:t>
      </w:r>
      <w:r>
        <w:rPr>
          <w:lang w:eastAsia="en-GB"/>
        </w:rPr>
        <w:t>я</w:t>
      </w:r>
      <w:r w:rsidRPr="007067AE">
        <w:rPr>
          <w:b/>
          <w:bCs/>
          <w:lang w:eastAsia="en-GB"/>
        </w:rPr>
        <w:t xml:space="preserve"> 30B </w:t>
      </w:r>
      <w:r w:rsidRPr="007067AE">
        <w:rPr>
          <w:lang w:eastAsia="en-GB"/>
        </w:rPr>
        <w:t xml:space="preserve">РР </w:t>
      </w:r>
      <w:r>
        <w:rPr>
          <w:lang w:eastAsia="en-GB"/>
        </w:rPr>
        <w:t>включала</w:t>
      </w:r>
      <w:r w:rsidRPr="007067AE">
        <w:rPr>
          <w:lang w:eastAsia="en-GB"/>
        </w:rPr>
        <w:t xml:space="preserve"> международные усилия по обеспечению </w:t>
      </w:r>
      <w:r>
        <w:rPr>
          <w:lang w:eastAsia="en-GB"/>
        </w:rPr>
        <w:t xml:space="preserve">для администраций </w:t>
      </w:r>
      <w:r w:rsidRPr="007067AE">
        <w:rPr>
          <w:lang w:eastAsia="en-GB"/>
        </w:rPr>
        <w:t>справедливо</w:t>
      </w:r>
      <w:r>
        <w:rPr>
          <w:lang w:eastAsia="en-GB"/>
        </w:rPr>
        <w:t xml:space="preserve">го подхода к </w:t>
      </w:r>
      <w:r w:rsidRPr="007067AE">
        <w:rPr>
          <w:lang w:eastAsia="en-GB"/>
        </w:rPr>
        <w:t>развити</w:t>
      </w:r>
      <w:r>
        <w:rPr>
          <w:lang w:eastAsia="en-GB"/>
        </w:rPr>
        <w:t>ю</w:t>
      </w:r>
      <w:r w:rsidRPr="007067AE">
        <w:rPr>
          <w:lang w:eastAsia="en-GB"/>
        </w:rPr>
        <w:t xml:space="preserve"> спутниковой связи и </w:t>
      </w:r>
      <w:r>
        <w:rPr>
          <w:lang w:eastAsia="en-GB"/>
        </w:rPr>
        <w:t>была нацелена на</w:t>
      </w:r>
      <w:r w:rsidRPr="007067AE">
        <w:rPr>
          <w:lang w:eastAsia="en-GB"/>
        </w:rPr>
        <w:t xml:space="preserve"> содействи</w:t>
      </w:r>
      <w:r>
        <w:rPr>
          <w:lang w:eastAsia="en-GB"/>
        </w:rPr>
        <w:t>е</w:t>
      </w:r>
      <w:r w:rsidRPr="007067AE">
        <w:rPr>
          <w:lang w:eastAsia="en-GB"/>
        </w:rPr>
        <w:t xml:space="preserve"> </w:t>
      </w:r>
      <w:r>
        <w:rPr>
          <w:lang w:eastAsia="en-GB"/>
        </w:rPr>
        <w:t xml:space="preserve">в </w:t>
      </w:r>
      <w:r w:rsidRPr="007067AE">
        <w:rPr>
          <w:lang w:eastAsia="en-GB"/>
        </w:rPr>
        <w:t>предоставлени</w:t>
      </w:r>
      <w:r>
        <w:rPr>
          <w:lang w:eastAsia="en-GB"/>
        </w:rPr>
        <w:t>и</w:t>
      </w:r>
      <w:r w:rsidRPr="007067AE">
        <w:rPr>
          <w:lang w:eastAsia="en-GB"/>
        </w:rPr>
        <w:t xml:space="preserve"> спутниковых услуг на национальных территориях, что делает этот вопрос критически важным для развивающихся стран.</w:t>
      </w:r>
    </w:p>
    <w:p w14:paraId="5429C311" w14:textId="2AB3A6E7" w:rsidR="0090444B" w:rsidRPr="009D771E" w:rsidRDefault="00F060A3" w:rsidP="00C67A6E">
      <w:r>
        <w:lastRenderedPageBreak/>
        <w:t xml:space="preserve">В частности, в Районе 1 существует значительное разнообразие территорий и природных ресурсов. Вместе с тем </w:t>
      </w:r>
      <w:r w:rsidR="002C4194">
        <w:t>одним из природных ресурсов, имеющим</w:t>
      </w:r>
      <w:r>
        <w:t>ся у всех стран Района 1 и использ</w:t>
      </w:r>
      <w:r w:rsidR="002C4194">
        <w:t xml:space="preserve">уемым ими на благо </w:t>
      </w:r>
      <w:r w:rsidR="007226C8">
        <w:rPr>
          <w:rFonts w:eastAsia="MS Mincho"/>
          <w:lang w:eastAsia="ja-JP"/>
        </w:rPr>
        <w:t xml:space="preserve">своего </w:t>
      </w:r>
      <w:r w:rsidR="002C4194">
        <w:t xml:space="preserve">общества и экономики, является радиоэлектрический спектр. В этих условиях разнообразие данного Района </w:t>
      </w:r>
      <w:r w:rsidR="009D771E">
        <w:t>сопряжено с</w:t>
      </w:r>
      <w:r w:rsidR="002C4194">
        <w:t xml:space="preserve"> ряд</w:t>
      </w:r>
      <w:r w:rsidR="009D771E">
        <w:t>ом</w:t>
      </w:r>
      <w:r w:rsidR="002C4194">
        <w:t xml:space="preserve"> трудностей в развитии новых сетей связи ввиду важности защиты ранее разв</w:t>
      </w:r>
      <w:r w:rsidR="00A54069">
        <w:t>е</w:t>
      </w:r>
      <w:r w:rsidR="002C4194">
        <w:t xml:space="preserve">рнутых систем. Таким образом, необходимо обеспечить проведение точного </w:t>
      </w:r>
      <w:r w:rsidR="0090444B">
        <w:t>анализа разв</w:t>
      </w:r>
      <w:r w:rsidR="00A54069">
        <w:t>е</w:t>
      </w:r>
      <w:r w:rsidR="0090444B">
        <w:t>ртываний сетей и технологических потребностей.</w:t>
      </w:r>
    </w:p>
    <w:p w14:paraId="612D4DA6" w14:textId="44CA5A8A" w:rsidR="0090444B" w:rsidRPr="0090444B" w:rsidRDefault="0090444B" w:rsidP="00C67A6E">
      <w:r>
        <w:t>К примеру</w:t>
      </w:r>
      <w:r w:rsidRPr="0090444B">
        <w:t xml:space="preserve">, </w:t>
      </w:r>
      <w:r>
        <w:rPr>
          <w:rFonts w:eastAsia="MS Mincho"/>
          <w:lang w:eastAsia="ja-JP"/>
        </w:rPr>
        <w:t>в р</w:t>
      </w:r>
      <w:r>
        <w:t>егионе</w:t>
      </w:r>
      <w:r w:rsidRPr="0090444B">
        <w:t xml:space="preserve"> арабских государств</w:t>
      </w:r>
      <w:r>
        <w:t xml:space="preserve"> </w:t>
      </w:r>
      <w:r w:rsidR="00B24BC3">
        <w:t>важную</w:t>
      </w:r>
      <w:r w:rsidR="00B24BC3">
        <w:rPr>
          <w:rFonts w:eastAsia="MS Mincho"/>
          <w:lang w:eastAsia="ja-JP"/>
        </w:rPr>
        <w:t xml:space="preserve"> составляющую</w:t>
      </w:r>
      <w:r w:rsidR="003E337A">
        <w:t xml:space="preserve"> </w:t>
      </w:r>
      <w:r w:rsidRPr="0090444B">
        <w:t xml:space="preserve">их национальной инфраструктуры </w:t>
      </w:r>
      <w:r w:rsidR="009D771E">
        <w:t xml:space="preserve">электросвязи представляют собой спутниковые системы в </w:t>
      </w:r>
      <w:r w:rsidR="009D771E" w:rsidRPr="0090444B">
        <w:t>диапазоне</w:t>
      </w:r>
      <w:r w:rsidR="009D771E">
        <w:t xml:space="preserve"> С</w:t>
      </w:r>
      <w:r w:rsidR="00760AB6">
        <w:t>:</w:t>
      </w:r>
      <w:r w:rsidR="009D771E">
        <w:t xml:space="preserve"> </w:t>
      </w:r>
      <w:r w:rsidR="00760AB6">
        <w:t>они обладают</w:t>
      </w:r>
      <w:r w:rsidR="009D771E">
        <w:t xml:space="preserve"> </w:t>
      </w:r>
      <w:r w:rsidR="00760AB6">
        <w:t xml:space="preserve">уникальной особенностью </w:t>
      </w:r>
      <w:r w:rsidR="00E15A12">
        <w:t xml:space="preserve">– </w:t>
      </w:r>
      <w:r w:rsidR="00760AB6">
        <w:t>широким покрытием</w:t>
      </w:r>
      <w:r w:rsidR="00E15A12">
        <w:t>,</w:t>
      </w:r>
      <w:r w:rsidRPr="0090444B">
        <w:t xml:space="preserve"> необходим</w:t>
      </w:r>
      <w:r w:rsidR="00760AB6">
        <w:t>ым</w:t>
      </w:r>
      <w:r w:rsidRPr="0090444B">
        <w:t xml:space="preserve"> для о</w:t>
      </w:r>
      <w:r w:rsidR="00E15A12">
        <w:t xml:space="preserve">беспечения связи </w:t>
      </w:r>
      <w:r w:rsidR="00760AB6">
        <w:t xml:space="preserve">районах, обслуживаемых в недостаточной степени, </w:t>
      </w:r>
      <w:r w:rsidR="00E15A12">
        <w:t xml:space="preserve">и </w:t>
      </w:r>
      <w:r w:rsidR="003E337A">
        <w:t xml:space="preserve">предоставления </w:t>
      </w:r>
      <w:r w:rsidR="00D80067">
        <w:t xml:space="preserve">соединения </w:t>
      </w:r>
      <w:r w:rsidR="003E337A">
        <w:t>в удал</w:t>
      </w:r>
      <w:r w:rsidR="00A54069">
        <w:t>е</w:t>
      </w:r>
      <w:r w:rsidR="003E337A">
        <w:t xml:space="preserve">нных </w:t>
      </w:r>
      <w:r w:rsidR="00760AB6">
        <w:t>регионах</w:t>
      </w:r>
      <w:r w:rsidR="003E337A">
        <w:t xml:space="preserve">, где </w:t>
      </w:r>
      <w:r w:rsidRPr="0090444B">
        <w:t>развертывание наземных сетей связи</w:t>
      </w:r>
      <w:r w:rsidR="00377AA9">
        <w:t xml:space="preserve"> представляется</w:t>
      </w:r>
      <w:r w:rsidR="003E337A">
        <w:t xml:space="preserve"> невозможным или затруднительным в силу естественных условий.</w:t>
      </w:r>
    </w:p>
    <w:p w14:paraId="2208B76B" w14:textId="77777777" w:rsidR="00D80067" w:rsidRPr="00760AB6" w:rsidRDefault="00D80067" w:rsidP="00C67A6E">
      <w:pPr>
        <w:rPr>
          <w:rFonts w:eastAsia="MS Mincho"/>
          <w:lang w:eastAsia="ja-JP"/>
        </w:rPr>
      </w:pPr>
      <w:bookmarkStart w:id="6" w:name="lt_pId025"/>
      <w:r>
        <w:t>Для</w:t>
      </w:r>
      <w:r w:rsidRPr="005A3C62">
        <w:t xml:space="preserve"> </w:t>
      </w:r>
      <w:r>
        <w:t>Африки</w:t>
      </w:r>
      <w:r w:rsidRPr="005A3C62">
        <w:t xml:space="preserve"> </w:t>
      </w:r>
      <w:r>
        <w:t>эксплуатируемые</w:t>
      </w:r>
      <w:r w:rsidRPr="005A3C62">
        <w:t xml:space="preserve"> </w:t>
      </w:r>
      <w:r>
        <w:t>в</w:t>
      </w:r>
      <w:r w:rsidRPr="005A3C62">
        <w:t xml:space="preserve"> </w:t>
      </w:r>
      <w:r>
        <w:t>диапазоне</w:t>
      </w:r>
      <w:r w:rsidRPr="005A3C62">
        <w:t xml:space="preserve"> </w:t>
      </w:r>
      <w:r>
        <w:t>С</w:t>
      </w:r>
      <w:r w:rsidRPr="005A3C62">
        <w:t xml:space="preserve"> </w:t>
      </w:r>
      <w:r>
        <w:t>спутниковые</w:t>
      </w:r>
      <w:r w:rsidRPr="005A3C62">
        <w:t xml:space="preserve"> </w:t>
      </w:r>
      <w:r>
        <w:t>системы</w:t>
      </w:r>
      <w:r w:rsidRPr="005A3C62">
        <w:t xml:space="preserve"> </w:t>
      </w:r>
      <w:r>
        <w:t>широко</w:t>
      </w:r>
      <w:r w:rsidRPr="005A3C62">
        <w:t xml:space="preserve"> </w:t>
      </w:r>
      <w:r>
        <w:t>используются</w:t>
      </w:r>
      <w:r w:rsidRPr="005A3C62">
        <w:t xml:space="preserve"> </w:t>
      </w:r>
      <w:r w:rsidR="00760AB6">
        <w:t xml:space="preserve">в </w:t>
      </w:r>
      <w:r w:rsidR="005A3C62">
        <w:t>вещании</w:t>
      </w:r>
      <w:r w:rsidR="005A3C62" w:rsidRPr="005A3C62">
        <w:t xml:space="preserve">, </w:t>
      </w:r>
      <w:r w:rsidR="007226C8">
        <w:t>при</w:t>
      </w:r>
      <w:r w:rsidR="005A3C62" w:rsidRPr="005A3C62">
        <w:t xml:space="preserve"> </w:t>
      </w:r>
      <w:r w:rsidR="003E337A">
        <w:t>оказании</w:t>
      </w:r>
      <w:r w:rsidR="005A3C62" w:rsidRPr="005A3C62">
        <w:t xml:space="preserve"> </w:t>
      </w:r>
      <w:r w:rsidR="005A3C62">
        <w:t>критически</w:t>
      </w:r>
      <w:r w:rsidR="005A3C62" w:rsidRPr="005A3C62">
        <w:t xml:space="preserve"> </w:t>
      </w:r>
      <w:r w:rsidR="005A3C62">
        <w:t>важных</w:t>
      </w:r>
      <w:r w:rsidR="005A3C62" w:rsidRPr="005A3C62">
        <w:t xml:space="preserve"> </w:t>
      </w:r>
      <w:r w:rsidR="005A3C62">
        <w:t>услуг</w:t>
      </w:r>
      <w:r w:rsidR="00760AB6">
        <w:t xml:space="preserve"> </w:t>
      </w:r>
      <w:r w:rsidR="003E337A">
        <w:t>обеспечени</w:t>
      </w:r>
      <w:r w:rsidR="00760AB6">
        <w:t>я</w:t>
      </w:r>
      <w:r w:rsidR="005A3C62" w:rsidRPr="005A3C62">
        <w:t xml:space="preserve"> безопасности человеческой жизни</w:t>
      </w:r>
      <w:r w:rsidR="005A3C62">
        <w:t xml:space="preserve">, </w:t>
      </w:r>
      <w:r w:rsidR="005A3C62" w:rsidRPr="005A3C62">
        <w:t>в банковской и финансовой сферах</w:t>
      </w:r>
      <w:r w:rsidR="005A3C62">
        <w:t xml:space="preserve">, </w:t>
      </w:r>
      <w:r w:rsidR="00760AB6">
        <w:rPr>
          <w:rFonts w:eastAsia="MS Mincho"/>
          <w:lang w:eastAsia="ja-JP"/>
        </w:rPr>
        <w:t>энергетике</w:t>
      </w:r>
      <w:r w:rsidR="005A3C62">
        <w:rPr>
          <w:rFonts w:eastAsia="MS Mincho"/>
          <w:lang w:eastAsia="ja-JP"/>
        </w:rPr>
        <w:t xml:space="preserve">, гражданской авиации, </w:t>
      </w:r>
      <w:r w:rsidR="002C07B5">
        <w:rPr>
          <w:rFonts w:eastAsia="MS Mincho"/>
          <w:lang w:eastAsia="ja-JP"/>
        </w:rPr>
        <w:t>государственном</w:t>
      </w:r>
      <w:r w:rsidR="007226C8">
        <w:rPr>
          <w:rFonts w:eastAsia="MS Mincho"/>
          <w:lang w:eastAsia="ja-JP"/>
        </w:rPr>
        <w:t xml:space="preserve"> управления, а также </w:t>
      </w:r>
      <w:r w:rsidR="00760AB6">
        <w:rPr>
          <w:rFonts w:eastAsia="MS Mincho"/>
          <w:lang w:eastAsia="ja-JP"/>
        </w:rPr>
        <w:t>для</w:t>
      </w:r>
      <w:r w:rsidR="007226C8">
        <w:rPr>
          <w:rFonts w:eastAsia="MS Mincho"/>
          <w:lang w:eastAsia="ja-JP"/>
        </w:rPr>
        <w:t xml:space="preserve"> </w:t>
      </w:r>
      <w:r w:rsidR="005A3C62">
        <w:rPr>
          <w:rFonts w:eastAsia="MS Mincho"/>
          <w:lang w:eastAsia="ja-JP"/>
        </w:rPr>
        <w:t>обеспечения связи в сельских районах.</w:t>
      </w:r>
      <w:r w:rsidR="00760AB6">
        <w:rPr>
          <w:rFonts w:eastAsia="MS Mincho"/>
          <w:lang w:eastAsia="ja-JP"/>
        </w:rPr>
        <w:t xml:space="preserve"> </w:t>
      </w:r>
      <w:r w:rsidR="005A3C62">
        <w:rPr>
          <w:rFonts w:eastAsia="MS Mincho"/>
          <w:lang w:eastAsia="ja-JP"/>
        </w:rPr>
        <w:t>В этой связи</w:t>
      </w:r>
      <w:r w:rsidR="00760AB6">
        <w:rPr>
          <w:rFonts w:eastAsia="MS Mincho"/>
          <w:lang w:eastAsia="ja-JP"/>
        </w:rPr>
        <w:t>,</w:t>
      </w:r>
      <w:r w:rsidR="005A3C62" w:rsidRPr="005A3C62">
        <w:rPr>
          <w:rFonts w:eastAsia="MS Mincho"/>
          <w:lang w:eastAsia="ja-JP"/>
        </w:rPr>
        <w:t xml:space="preserve"> </w:t>
      </w:r>
      <w:r w:rsidR="00760AB6">
        <w:rPr>
          <w:rFonts w:eastAsia="MS Mincho"/>
          <w:lang w:eastAsia="ja-JP"/>
        </w:rPr>
        <w:t>учитывая размеры Африки, ее погодные условия, топографию</w:t>
      </w:r>
      <w:r w:rsidR="00760AB6" w:rsidRPr="005A3C62">
        <w:rPr>
          <w:rFonts w:eastAsia="MS Mincho"/>
          <w:lang w:eastAsia="ja-JP"/>
        </w:rPr>
        <w:t xml:space="preserve"> </w:t>
      </w:r>
      <w:r w:rsidR="00760AB6">
        <w:rPr>
          <w:rFonts w:eastAsia="MS Mincho"/>
          <w:lang w:eastAsia="ja-JP"/>
        </w:rPr>
        <w:t xml:space="preserve">и распределение населения, </w:t>
      </w:r>
      <w:r w:rsidR="005E547A">
        <w:rPr>
          <w:rFonts w:eastAsia="MS Mincho"/>
          <w:lang w:eastAsia="ja-JP"/>
        </w:rPr>
        <w:t>использование спутниковой связи, ввиду</w:t>
      </w:r>
      <w:r w:rsidR="001D26DD">
        <w:rPr>
          <w:rFonts w:eastAsia="MS Mincho"/>
          <w:lang w:eastAsia="ja-JP"/>
        </w:rPr>
        <w:t xml:space="preserve"> ее устойчивости</w:t>
      </w:r>
      <w:r w:rsidR="001D26DD" w:rsidRPr="001D26DD">
        <w:rPr>
          <w:rFonts w:eastAsia="MS Mincho"/>
          <w:lang w:eastAsia="ja-JP"/>
        </w:rPr>
        <w:t xml:space="preserve"> к замира</w:t>
      </w:r>
      <w:r w:rsidR="001D26DD">
        <w:rPr>
          <w:rFonts w:eastAsia="MS Mincho"/>
          <w:lang w:eastAsia="ja-JP"/>
        </w:rPr>
        <w:t xml:space="preserve">ниям сигнала при </w:t>
      </w:r>
      <w:r w:rsidR="001D26DD" w:rsidRPr="001D26DD">
        <w:rPr>
          <w:rFonts w:eastAsia="MS Mincho"/>
          <w:lang w:eastAsia="ja-JP"/>
        </w:rPr>
        <w:t>дожде</w:t>
      </w:r>
      <w:r w:rsidR="005E547A">
        <w:rPr>
          <w:rFonts w:eastAsia="MS Mincho"/>
          <w:lang w:eastAsia="ja-JP"/>
        </w:rPr>
        <w:t xml:space="preserve"> и широкого охвата, становится критически важным вопросом.</w:t>
      </w:r>
      <w:bookmarkEnd w:id="6"/>
    </w:p>
    <w:p w14:paraId="43713CBE" w14:textId="2229A0DF" w:rsidR="00271683" w:rsidRPr="006E2B08" w:rsidRDefault="002E0FCA" w:rsidP="00C67A6E">
      <w:bookmarkStart w:id="7" w:name="lt_pId027"/>
      <w:r>
        <w:t>В Европе данные, собираемые</w:t>
      </w:r>
      <w:r w:rsidR="002C07B5" w:rsidRPr="002C07B5">
        <w:t xml:space="preserve"> сп</w:t>
      </w:r>
      <w:r w:rsidR="0004797C">
        <w:t xml:space="preserve">утниковыми системами в </w:t>
      </w:r>
      <w:r w:rsidR="0004797C">
        <w:rPr>
          <w:rFonts w:eastAsia="MS Mincho"/>
          <w:lang w:val="kk-KZ" w:eastAsia="ja-JP"/>
        </w:rPr>
        <w:t>полосе</w:t>
      </w:r>
      <w:r w:rsidR="002C07B5" w:rsidRPr="002C07B5">
        <w:t xml:space="preserve"> частот 6 ГГц, используются для прогнозирования погоды и мониторинга климата.</w:t>
      </w:r>
      <w:r w:rsidR="00760AB6">
        <w:t xml:space="preserve"> </w:t>
      </w:r>
      <w:r w:rsidR="0004797C">
        <w:t>Т</w:t>
      </w:r>
      <w:r w:rsidR="002C07B5" w:rsidRPr="002C07B5">
        <w:t xml:space="preserve">акже </w:t>
      </w:r>
      <w:r w:rsidR="0004797C">
        <w:rPr>
          <w:lang w:val="kk-KZ"/>
        </w:rPr>
        <w:t xml:space="preserve">рассматривается возможность их использования </w:t>
      </w:r>
      <w:r w:rsidR="0004797C">
        <w:t>в проекте</w:t>
      </w:r>
      <w:r w:rsidR="002C07B5" w:rsidRPr="002C07B5">
        <w:t xml:space="preserve"> </w:t>
      </w:r>
      <w:r w:rsidR="006E2B08">
        <w:t>"</w:t>
      </w:r>
      <w:r w:rsidR="002C07B5" w:rsidRPr="002C07B5">
        <w:t>Европейск</w:t>
      </w:r>
      <w:r w:rsidR="006E2B08">
        <w:t>ая</w:t>
      </w:r>
      <w:r w:rsidR="002C07B5" w:rsidRPr="002C07B5">
        <w:t xml:space="preserve"> систем</w:t>
      </w:r>
      <w:r w:rsidR="006E2B08">
        <w:t>а</w:t>
      </w:r>
      <w:r w:rsidR="002C07B5" w:rsidRPr="002C07B5">
        <w:t xml:space="preserve"> безопасной космической свя</w:t>
      </w:r>
      <w:r>
        <w:t>зи</w:t>
      </w:r>
      <w:r w:rsidR="006E2B08">
        <w:t>"</w:t>
      </w:r>
      <w:r>
        <w:t xml:space="preserve"> (ESSCS), котор</w:t>
      </w:r>
      <w:r w:rsidR="006E2B08">
        <w:t>ый</w:t>
      </w:r>
      <w:r>
        <w:t xml:space="preserve"> запланирован</w:t>
      </w:r>
      <w:r w:rsidR="002C07B5" w:rsidRPr="002C07B5">
        <w:t xml:space="preserve"> как инициатива Европейского </w:t>
      </w:r>
      <w:r w:rsidR="00760AB6">
        <w:t>с</w:t>
      </w:r>
      <w:r w:rsidR="002C07B5" w:rsidRPr="002C07B5">
        <w:t>оюза (ЕС), направленная на обеспечение надежной, безоп</w:t>
      </w:r>
      <w:r>
        <w:t>асной и экономичной</w:t>
      </w:r>
      <w:r w:rsidR="002C07B5" w:rsidRPr="002C07B5">
        <w:t xml:space="preserve"> связи</w:t>
      </w:r>
      <w:r w:rsidR="00760AB6">
        <w:t xml:space="preserve"> государственного значения</w:t>
      </w:r>
      <w:r w:rsidR="002C07B5" w:rsidRPr="002C07B5">
        <w:t xml:space="preserve">, </w:t>
      </w:r>
      <w:r w:rsidR="00760AB6">
        <w:t xml:space="preserve">крайне </w:t>
      </w:r>
      <w:r w:rsidR="002C07B5" w:rsidRPr="002C07B5">
        <w:t xml:space="preserve">необходимой для </w:t>
      </w:r>
      <w:r>
        <w:t xml:space="preserve">обеспечения </w:t>
      </w:r>
      <w:r w:rsidR="002C07B5" w:rsidRPr="002C07B5">
        <w:t>за</w:t>
      </w:r>
      <w:r>
        <w:t>щиты критической инфраструктуры энергети</w:t>
      </w:r>
      <w:r w:rsidR="00760AB6">
        <w:t>ческого сектора,</w:t>
      </w:r>
      <w:r>
        <w:t xml:space="preserve"> правительства, </w:t>
      </w:r>
      <w:r w:rsidR="00760AB6">
        <w:t xml:space="preserve">обеспечения </w:t>
      </w:r>
      <w:r>
        <w:t>безопасности жизни</w:t>
      </w:r>
      <w:r w:rsidR="007226C8">
        <w:t xml:space="preserve"> людей</w:t>
      </w:r>
      <w:r>
        <w:t>, здравоохранения, морской и авиационной безопасности, а также сектор</w:t>
      </w:r>
      <w:r>
        <w:rPr>
          <w:rFonts w:eastAsia="MS Mincho"/>
          <w:lang w:eastAsia="ja-JP"/>
        </w:rPr>
        <w:t>ов</w:t>
      </w:r>
      <w:r>
        <w:t xml:space="preserve"> связи во</w:t>
      </w:r>
      <w:r w:rsidR="002C07B5" w:rsidRPr="002C07B5">
        <w:t xml:space="preserve"> всей Европе.</w:t>
      </w:r>
      <w:r w:rsidR="00760AB6">
        <w:t xml:space="preserve"> </w:t>
      </w:r>
      <w:r w:rsidR="002C07B5" w:rsidRPr="002C07B5">
        <w:t>Более того</w:t>
      </w:r>
      <w:r w:rsidR="002C07B5" w:rsidRPr="00BA62BB">
        <w:t>, он</w:t>
      </w:r>
      <w:r w:rsidR="006E2B08">
        <w:t>а</w:t>
      </w:r>
      <w:r w:rsidR="00BA62BB">
        <w:t xml:space="preserve"> представляет собой</w:t>
      </w:r>
      <w:r w:rsidR="007226C8">
        <w:rPr>
          <w:rFonts w:eastAsia="MS Mincho"/>
          <w:lang w:eastAsia="ja-JP"/>
        </w:rPr>
        <w:t xml:space="preserve"> </w:t>
      </w:r>
      <w:r w:rsidR="00BA62BB">
        <w:rPr>
          <w:rFonts w:eastAsia="MS Mincho"/>
          <w:lang w:eastAsia="ja-JP"/>
        </w:rPr>
        <w:t>третий основной компонент</w:t>
      </w:r>
      <w:r w:rsidR="002C07B5" w:rsidRPr="002C07B5">
        <w:t xml:space="preserve"> космической программы ЕС, дополняя </w:t>
      </w:r>
      <w:r w:rsidR="00BA62BB">
        <w:t xml:space="preserve">собой </w:t>
      </w:r>
      <w:r w:rsidR="002C07B5" w:rsidRPr="002C07B5">
        <w:t>сп</w:t>
      </w:r>
      <w:r w:rsidR="00271683">
        <w:t xml:space="preserve">утниковую навигационную систему </w:t>
      </w:r>
      <w:r w:rsidR="006E2B08" w:rsidRPr="00C67A6E">
        <w:rPr>
          <w:lang w:val="en-GB"/>
        </w:rPr>
        <w:t>Galileo</w:t>
      </w:r>
      <w:r w:rsidR="006E2B08" w:rsidRPr="006E2B08">
        <w:t>/</w:t>
      </w:r>
      <w:r w:rsidR="006E2B08" w:rsidRPr="00C67A6E">
        <w:rPr>
          <w:lang w:val="en-GB"/>
        </w:rPr>
        <w:t>EGNOS</w:t>
      </w:r>
      <w:r w:rsidR="00271683">
        <w:t xml:space="preserve">, </w:t>
      </w:r>
      <w:r w:rsidR="00D16BDD">
        <w:rPr>
          <w:rFonts w:eastAsia="MS Mincho"/>
          <w:lang w:eastAsia="ja-JP"/>
        </w:rPr>
        <w:t>а </w:t>
      </w:r>
      <w:r w:rsidR="00271683">
        <w:rPr>
          <w:rFonts w:eastAsia="MS Mincho"/>
          <w:lang w:eastAsia="ja-JP"/>
        </w:rPr>
        <w:t xml:space="preserve">также программу </w:t>
      </w:r>
      <w:r w:rsidR="006E2B08">
        <w:rPr>
          <w:rFonts w:eastAsia="MS Mincho"/>
          <w:lang w:eastAsia="ja-JP"/>
        </w:rPr>
        <w:t xml:space="preserve">наблюдения </w:t>
      </w:r>
      <w:r w:rsidR="00271683">
        <w:rPr>
          <w:rFonts w:eastAsia="MS Mincho"/>
          <w:lang w:eastAsia="ja-JP"/>
        </w:rPr>
        <w:t xml:space="preserve">Земли </w:t>
      </w:r>
      <w:r w:rsidR="006E2B08" w:rsidRPr="00C67A6E">
        <w:rPr>
          <w:lang w:val="en-GB"/>
        </w:rPr>
        <w:t>Copernicus</w:t>
      </w:r>
      <w:r w:rsidR="006E2B08">
        <w:t>.</w:t>
      </w:r>
      <w:bookmarkEnd w:id="7"/>
    </w:p>
    <w:p w14:paraId="6A3419B1" w14:textId="26258193" w:rsidR="00271683" w:rsidRPr="006E2B08" w:rsidRDefault="00271683" w:rsidP="00C67A6E">
      <w:pPr>
        <w:rPr>
          <w:rFonts w:eastAsia="MS Mincho"/>
          <w:lang w:eastAsia="ja-JP"/>
        </w:rPr>
      </w:pPr>
      <w:r w:rsidRPr="00271683">
        <w:t xml:space="preserve">Таким образом, ввиду важности спутниковой связи в полосе частот 6 ГГц </w:t>
      </w:r>
      <w:r w:rsidR="00D16BDD">
        <w:t>5</w:t>
      </w:r>
      <w:r w:rsidR="00D16BDD">
        <w:noBreakHyphen/>
      </w:r>
      <w:r>
        <w:t>й Исследовательской комиссией</w:t>
      </w:r>
      <w:r w:rsidRPr="00271683">
        <w:t> </w:t>
      </w:r>
      <w:r>
        <w:t>проведены</w:t>
      </w:r>
      <w:r w:rsidRPr="00271683">
        <w:t xml:space="preserve"> исс</w:t>
      </w:r>
      <w:r>
        <w:t>ледования, касающиеся возможности</w:t>
      </w:r>
      <w:r w:rsidR="0075379E">
        <w:t xml:space="preserve"> использования наземного сегмента IMT в целях</w:t>
      </w:r>
      <w:r>
        <w:t xml:space="preserve"> </w:t>
      </w:r>
      <w:r w:rsidR="0075379E">
        <w:t>обеспечения</w:t>
      </w:r>
      <w:r w:rsidRPr="00271683">
        <w:t xml:space="preserve"> за</w:t>
      </w:r>
      <w:r>
        <w:t>щиты служб, которым</w:t>
      </w:r>
      <w:r w:rsidRPr="00271683">
        <w:t xml:space="preserve"> </w:t>
      </w:r>
      <w:r w:rsidR="006E2B08">
        <w:t xml:space="preserve">эта </w:t>
      </w:r>
      <w:r w:rsidRPr="00271683">
        <w:t xml:space="preserve">полоса частот </w:t>
      </w:r>
      <w:r>
        <w:t>распределена на первичной основе</w:t>
      </w:r>
      <w:r w:rsidRPr="00271683">
        <w:t>.</w:t>
      </w:r>
      <w:r>
        <w:t xml:space="preserve"> Вместе с тем согласие по поводу параметров, которые предполагалось использовать в исследованиях, отсутствовало, и </w:t>
      </w:r>
      <w:r w:rsidR="00F90FB6">
        <w:t xml:space="preserve">какого-либо вывода представлено не было. Представленные </w:t>
      </w:r>
      <w:r w:rsidR="00F90FB6">
        <w:rPr>
          <w:rFonts w:eastAsia="MS Mincho"/>
          <w:lang w:eastAsia="ja-JP"/>
        </w:rPr>
        <w:t xml:space="preserve">заинтересованными сторонами </w:t>
      </w:r>
      <w:r w:rsidR="00F90FB6">
        <w:t xml:space="preserve">результаты и условия лишь отражали подход, в котором </w:t>
      </w:r>
      <w:r w:rsidR="006E2B08">
        <w:rPr>
          <w:rFonts w:eastAsia="MS Mincho"/>
          <w:lang w:eastAsia="ja-JP"/>
        </w:rPr>
        <w:t>не учитываются</w:t>
      </w:r>
      <w:r w:rsidR="006E2B08">
        <w:t xml:space="preserve"> </w:t>
      </w:r>
      <w:r w:rsidR="00F90FB6">
        <w:t>надлежащие условия для разв</w:t>
      </w:r>
      <w:r w:rsidR="00A54069">
        <w:t>е</w:t>
      </w:r>
      <w:r w:rsidR="00F90FB6">
        <w:t xml:space="preserve">ртывания сетей </w:t>
      </w:r>
      <w:r w:rsidR="00F90FB6">
        <w:rPr>
          <w:lang w:val="en-US"/>
        </w:rPr>
        <w:t>IMT</w:t>
      </w:r>
      <w:r w:rsidR="00F90FB6">
        <w:rPr>
          <w:rFonts w:eastAsia="MS Mincho"/>
          <w:lang w:eastAsia="ja-JP"/>
        </w:rPr>
        <w:t xml:space="preserve">, что способно сказаться на текущем использовании и дальнейшем развитии ФСС и </w:t>
      </w:r>
      <w:r w:rsidR="00B002CA">
        <w:rPr>
          <w:rFonts w:eastAsia="MS Mincho"/>
          <w:lang w:eastAsia="ja-JP"/>
        </w:rPr>
        <w:t xml:space="preserve">фиксированной службы ФС; более того, </w:t>
      </w:r>
      <w:r w:rsidR="0075379E">
        <w:rPr>
          <w:rFonts w:eastAsia="MS Mincho"/>
          <w:lang w:eastAsia="ja-JP"/>
        </w:rPr>
        <w:t>данное обстоятельство</w:t>
      </w:r>
      <w:r w:rsidR="00B002CA">
        <w:rPr>
          <w:rFonts w:eastAsia="MS Mincho"/>
          <w:lang w:eastAsia="ja-JP"/>
        </w:rPr>
        <w:t xml:space="preserve"> способно воспрепятствовать разв</w:t>
      </w:r>
      <w:r w:rsidR="00A54069">
        <w:rPr>
          <w:rFonts w:eastAsia="MS Mincho"/>
          <w:lang w:eastAsia="ja-JP"/>
        </w:rPr>
        <w:t>е</w:t>
      </w:r>
      <w:r w:rsidR="00B002CA">
        <w:rPr>
          <w:rFonts w:eastAsia="MS Mincho"/>
          <w:lang w:eastAsia="ja-JP"/>
        </w:rPr>
        <w:t>ртыванию других тех</w:t>
      </w:r>
      <w:r w:rsidR="00B002CA" w:rsidRPr="00B002CA">
        <w:rPr>
          <w:rFonts w:eastAsia="MS Mincho"/>
          <w:lang w:eastAsia="ja-JP"/>
        </w:rPr>
        <w:t>нологий подвижной связи, котор</w:t>
      </w:r>
      <w:r w:rsidR="0075379E">
        <w:rPr>
          <w:rFonts w:eastAsia="MS Mincho"/>
          <w:lang w:eastAsia="ja-JP"/>
        </w:rPr>
        <w:t>ые также могут</w:t>
      </w:r>
      <w:r w:rsidR="00956261">
        <w:rPr>
          <w:rFonts w:eastAsia="MS Mincho"/>
          <w:lang w:eastAsia="ja-JP"/>
        </w:rPr>
        <w:t xml:space="preserve"> исполь</w:t>
      </w:r>
      <w:r w:rsidR="0075379E">
        <w:rPr>
          <w:rFonts w:eastAsia="MS Mincho"/>
          <w:lang w:eastAsia="ja-JP"/>
        </w:rPr>
        <w:t xml:space="preserve">зоваться в рамках </w:t>
      </w:r>
      <w:r w:rsidR="00956261">
        <w:rPr>
          <w:rFonts w:eastAsia="MS Mincho"/>
          <w:lang w:eastAsia="ja-JP"/>
        </w:rPr>
        <w:t>распределения</w:t>
      </w:r>
      <w:r w:rsidR="00956261" w:rsidRPr="00956261">
        <w:rPr>
          <w:rFonts w:eastAsia="MS Mincho"/>
          <w:lang w:eastAsia="ja-JP"/>
        </w:rPr>
        <w:t xml:space="preserve"> </w:t>
      </w:r>
      <w:r w:rsidR="0075379E">
        <w:rPr>
          <w:rFonts w:eastAsia="MS Mincho"/>
          <w:lang w:eastAsia="ja-JP"/>
        </w:rPr>
        <w:t xml:space="preserve">подвижной службе </w:t>
      </w:r>
      <w:r w:rsidR="00956261" w:rsidRPr="00956261">
        <w:rPr>
          <w:rFonts w:eastAsia="MS Mincho"/>
          <w:lang w:eastAsia="ja-JP"/>
        </w:rPr>
        <w:t>на равной первичной основе</w:t>
      </w:r>
      <w:r w:rsidR="00956261">
        <w:rPr>
          <w:rFonts w:eastAsia="MS Mincho"/>
          <w:lang w:eastAsia="ja-JP"/>
        </w:rPr>
        <w:t>.</w:t>
      </w:r>
    </w:p>
    <w:p w14:paraId="6BCA7EE1" w14:textId="4E790185" w:rsidR="00C67A6E" w:rsidRPr="006E2B08" w:rsidRDefault="006E2B08" w:rsidP="00EB5505">
      <w:bookmarkStart w:id="8" w:name="lt_pId033"/>
      <w:r>
        <w:rPr>
          <w:lang w:eastAsia="en-GB"/>
        </w:rPr>
        <w:t>Помимо</w:t>
      </w:r>
      <w:r w:rsidRPr="002F3B42">
        <w:rPr>
          <w:lang w:eastAsia="en-GB"/>
        </w:rPr>
        <w:t xml:space="preserve"> того, в начале раздела 1/1.2/3.2 </w:t>
      </w:r>
      <w:r>
        <w:rPr>
          <w:lang w:eastAsia="en-GB"/>
        </w:rPr>
        <w:t>"</w:t>
      </w:r>
      <w:r w:rsidRPr="000A0DC6">
        <w:rPr>
          <w:lang w:eastAsia="en-GB"/>
        </w:rPr>
        <w:t>Исследования совместного использования и совместимости</w:t>
      </w:r>
      <w:r>
        <w:rPr>
          <w:lang w:eastAsia="en-GB"/>
        </w:rPr>
        <w:t>"</w:t>
      </w:r>
      <w:r w:rsidRPr="000A0DC6">
        <w:rPr>
          <w:lang w:eastAsia="en-GB"/>
        </w:rPr>
        <w:t xml:space="preserve"> </w:t>
      </w:r>
      <w:r w:rsidRPr="002F3B42">
        <w:rPr>
          <w:lang w:eastAsia="en-GB"/>
        </w:rPr>
        <w:t xml:space="preserve">Отчета ПСК отмечается, что информация и материалы резюме результатов исследований, показанные в сравнительных таблицах, предназначены для </w:t>
      </w:r>
      <w:r>
        <w:rPr>
          <w:lang w:eastAsia="en-GB"/>
        </w:rPr>
        <w:t xml:space="preserve">предоставления </w:t>
      </w:r>
      <w:r w:rsidRPr="002F3B42">
        <w:rPr>
          <w:lang w:eastAsia="en-GB"/>
        </w:rPr>
        <w:t>информации, основанной на следующем:</w:t>
      </w:r>
      <w:bookmarkStart w:id="9" w:name="lt_pId034"/>
      <w:bookmarkEnd w:id="8"/>
      <w:r>
        <w:t xml:space="preserve"> </w:t>
      </w:r>
      <w:r w:rsidR="00BF7ED6" w:rsidRPr="006E2B08">
        <w:t>"</w:t>
      </w:r>
      <w:r w:rsidR="00C67A6E" w:rsidRPr="006E2B08">
        <w:rPr>
          <w:i/>
          <w:iCs/>
        </w:rPr>
        <w:t xml:space="preserve">(…) </w:t>
      </w:r>
      <w:r w:rsidR="00A7059B" w:rsidRPr="00A7059B">
        <w:rPr>
          <w:i/>
          <w:iCs/>
        </w:rPr>
        <w:t>Справочный характер таблицы объясняется тем, что допущения, входные параметры и критерии помех и в том числе использование действующих Рекомендаций и Отчетов МСЭ-</w:t>
      </w:r>
      <w:r w:rsidR="00A7059B" w:rsidRPr="00A7059B">
        <w:rPr>
          <w:i/>
          <w:iCs/>
          <w:lang w:val="en-GB"/>
        </w:rPr>
        <w:t>R</w:t>
      </w:r>
      <w:r w:rsidR="00A7059B" w:rsidRPr="00A7059B">
        <w:rPr>
          <w:i/>
          <w:iCs/>
        </w:rPr>
        <w:t xml:space="preserve"> в целом разнятся, не репрезентативны и, что важно, не согласованы МСЭ-</w:t>
      </w:r>
      <w:r w:rsidR="00A7059B" w:rsidRPr="00A7059B">
        <w:rPr>
          <w:i/>
          <w:iCs/>
          <w:lang w:val="en-GB"/>
        </w:rPr>
        <w:t>R</w:t>
      </w:r>
      <w:r w:rsidR="00A7059B" w:rsidRPr="00A7059B">
        <w:rPr>
          <w:i/>
          <w:iCs/>
        </w:rPr>
        <w:t xml:space="preserve">, несмотря на Решения КГР и ПСК, а всего лишь приняты членом, представившим эти исследования. </w:t>
      </w:r>
      <w:r w:rsidR="00BF7ED6" w:rsidRPr="00FE7B30">
        <w:rPr>
          <w:i/>
          <w:iCs/>
        </w:rPr>
        <w:t>(…)</w:t>
      </w:r>
      <w:r w:rsidR="00BF7ED6" w:rsidRPr="00FE7B30">
        <w:rPr>
          <w:iCs/>
        </w:rPr>
        <w:t>"</w:t>
      </w:r>
      <w:r w:rsidR="00C67A6E" w:rsidRPr="00FE7B30">
        <w:rPr>
          <w:i/>
          <w:iCs/>
        </w:rPr>
        <w:t xml:space="preserve"> </w:t>
      </w:r>
      <w:r w:rsidR="00D16BDD">
        <w:rPr>
          <w:i/>
          <w:iCs/>
        </w:rPr>
        <w:t>и</w:t>
      </w:r>
      <w:r w:rsidR="00C67A6E" w:rsidRPr="00FE7B30">
        <w:t xml:space="preserve"> </w:t>
      </w:r>
      <w:r w:rsidR="00BF7ED6" w:rsidRPr="00FE7B30">
        <w:rPr>
          <w:iCs/>
        </w:rPr>
        <w:t>"</w:t>
      </w:r>
      <w:r w:rsidR="00C67A6E" w:rsidRPr="00FE7B30">
        <w:rPr>
          <w:i/>
          <w:iCs/>
        </w:rPr>
        <w:t xml:space="preserve">(…) </w:t>
      </w:r>
      <w:bookmarkEnd w:id="9"/>
      <w:r w:rsidR="00EB5505" w:rsidRPr="00FE7B30">
        <w:rPr>
          <w:i/>
          <w:iCs/>
        </w:rPr>
        <w:t>Таким образом, с учетом приведенных выше аргументов и объяснений не ожидается, что по результатам исследований, представленным в разных столбцах таблицы (таблиц), будут сделаны определенные или общие выводы.</w:t>
      </w:r>
      <w:r w:rsidR="00150B7A">
        <w:rPr>
          <w:i/>
          <w:iCs/>
        </w:rPr>
        <w:t xml:space="preserve"> </w:t>
      </w:r>
      <w:r w:rsidR="00EB5505" w:rsidRPr="00EB5505">
        <w:rPr>
          <w:i/>
          <w:iCs/>
        </w:rPr>
        <w:t xml:space="preserve">Индивидуальным членам и региональным организациям электросвязи предлагается провести собственный анализ исследований и сделать собственные </w:t>
      </w:r>
      <w:r w:rsidR="00EB5505" w:rsidRPr="00EB5505">
        <w:rPr>
          <w:i/>
          <w:iCs/>
        </w:rPr>
        <w:lastRenderedPageBreak/>
        <w:t>выводы, принимая во внимание существующие обстоятельства и условия помех, а также другие условия в их странах/регионах, которые они сочтут целесообразными и обоснованными.</w:t>
      </w:r>
      <w:r w:rsidR="00BF7ED6" w:rsidRPr="00EB5505">
        <w:rPr>
          <w:iCs/>
        </w:rPr>
        <w:t>"</w:t>
      </w:r>
    </w:p>
    <w:p w14:paraId="527266F0" w14:textId="4D33DC9C" w:rsidR="005045D9" w:rsidRPr="009661A4" w:rsidRDefault="00956261" w:rsidP="00C67A6E">
      <w:pPr>
        <w:rPr>
          <w:rFonts w:eastAsia="MS Mincho"/>
          <w:lang w:eastAsia="ja-JP"/>
        </w:rPr>
      </w:pPr>
      <w:bookmarkStart w:id="10" w:name="lt_pId036"/>
      <w:r>
        <w:t xml:space="preserve">Помимо </w:t>
      </w:r>
      <w:r w:rsidR="00377AA9">
        <w:rPr>
          <w:rFonts w:eastAsia="MS Mincho"/>
          <w:lang w:eastAsia="ja-JP"/>
        </w:rPr>
        <w:t>выше</w:t>
      </w:r>
      <w:r w:rsidR="00377AA9">
        <w:t>сказанного</w:t>
      </w:r>
      <w:r>
        <w:t xml:space="preserve">, полосы частот </w:t>
      </w:r>
      <w:r w:rsidRPr="00956261">
        <w:t>6425−7025</w:t>
      </w:r>
      <w:r w:rsidRPr="00956261">
        <w:rPr>
          <w:lang w:val="en-US"/>
        </w:rPr>
        <w:t> </w:t>
      </w:r>
      <w:r w:rsidRPr="00956261">
        <w:t>МГц и 7025−7125</w:t>
      </w:r>
      <w:r w:rsidRPr="00956261">
        <w:rPr>
          <w:lang w:val="en-GB"/>
        </w:rPr>
        <w:t> </w:t>
      </w:r>
      <w:r w:rsidRPr="00956261">
        <w:t>МГц</w:t>
      </w:r>
      <w:r>
        <w:t xml:space="preserve"> либо их части уже </w:t>
      </w:r>
      <w:r w:rsidR="005F274B">
        <w:t>задействуются</w:t>
      </w:r>
      <w:r>
        <w:t xml:space="preserve"> во вс</w:t>
      </w:r>
      <w:r w:rsidR="00A54069">
        <w:t>е</w:t>
      </w:r>
      <w:r>
        <w:t xml:space="preserve">м мире </w:t>
      </w:r>
      <w:r w:rsidR="005F274B">
        <w:t>для нелицензируемого</w:t>
      </w:r>
      <w:r w:rsidR="00377AA9">
        <w:t xml:space="preserve"> использован</w:t>
      </w:r>
      <w:r w:rsidR="0075379E">
        <w:t xml:space="preserve">ия, </w:t>
      </w:r>
      <w:r w:rsidR="005F274B">
        <w:t>включая</w:t>
      </w:r>
      <w:r>
        <w:t xml:space="preserve"> </w:t>
      </w:r>
      <w:r w:rsidRPr="00956261">
        <w:rPr>
          <w:lang w:val="en-GB"/>
        </w:rPr>
        <w:t>WAS</w:t>
      </w:r>
      <w:r w:rsidRPr="00956261">
        <w:t>/</w:t>
      </w:r>
      <w:r w:rsidRPr="00956261">
        <w:rPr>
          <w:lang w:val="en-GB"/>
        </w:rPr>
        <w:t>RLAN</w:t>
      </w:r>
      <w:r>
        <w:t xml:space="preserve">, </w:t>
      </w:r>
      <w:r w:rsidR="00A13EDA">
        <w:rPr>
          <w:rFonts w:eastAsia="MS Mincho"/>
          <w:lang w:eastAsia="ja-JP"/>
        </w:rPr>
        <w:t xml:space="preserve">в рамках существующего распределения подвижной службе на первичной основе. Подобное </w:t>
      </w:r>
      <w:r w:rsidR="00377AA9">
        <w:rPr>
          <w:rFonts w:eastAsia="MS Mincho"/>
          <w:lang w:eastAsia="ja-JP"/>
        </w:rPr>
        <w:t>использование соответствует</w:t>
      </w:r>
      <w:r w:rsidR="005045D9">
        <w:rPr>
          <w:rFonts w:eastAsia="MS Mincho"/>
          <w:lang w:eastAsia="ja-JP"/>
        </w:rPr>
        <w:t xml:space="preserve"> </w:t>
      </w:r>
      <w:r w:rsidR="00A13EDA">
        <w:rPr>
          <w:rFonts w:eastAsia="MS Mincho"/>
          <w:lang w:eastAsia="ja-JP"/>
        </w:rPr>
        <w:t xml:space="preserve">необходимости </w:t>
      </w:r>
      <w:r w:rsidR="005045D9">
        <w:rPr>
          <w:rFonts w:eastAsia="MS Mincho"/>
          <w:lang w:eastAsia="ja-JP"/>
        </w:rPr>
        <w:t>преодоления</w:t>
      </w:r>
      <w:r w:rsidR="00A13EDA" w:rsidRPr="00A13EDA">
        <w:rPr>
          <w:rFonts w:eastAsia="MS Mincho"/>
          <w:lang w:eastAsia="ja-JP"/>
        </w:rPr>
        <w:t xml:space="preserve"> цифрового разрыва</w:t>
      </w:r>
      <w:r w:rsidR="005045D9">
        <w:rPr>
          <w:rFonts w:eastAsia="MS Mincho"/>
          <w:lang w:eastAsia="ja-JP"/>
        </w:rPr>
        <w:t>, удовлетворяет</w:t>
      </w:r>
      <w:r w:rsidR="00A13EDA" w:rsidRPr="00A13EDA">
        <w:rPr>
          <w:rFonts w:eastAsia="MS Mincho"/>
          <w:lang w:eastAsia="ja-JP"/>
        </w:rPr>
        <w:t xml:space="preserve"> расту</w:t>
      </w:r>
      <w:r w:rsidR="005045D9">
        <w:rPr>
          <w:rFonts w:eastAsia="MS Mincho"/>
          <w:lang w:eastAsia="ja-JP"/>
        </w:rPr>
        <w:t>щий спрос на трафик</w:t>
      </w:r>
      <w:r w:rsidR="00A13EDA">
        <w:rPr>
          <w:rFonts w:eastAsia="MS Mincho"/>
          <w:lang w:eastAsia="ja-JP"/>
        </w:rPr>
        <w:t>,</w:t>
      </w:r>
      <w:r w:rsidR="005F274B">
        <w:rPr>
          <w:rFonts w:eastAsia="MS Mincho"/>
          <w:lang w:eastAsia="ja-JP"/>
        </w:rPr>
        <w:t xml:space="preserve"> </w:t>
      </w:r>
      <w:r w:rsidR="005045D9">
        <w:rPr>
          <w:rFonts w:eastAsia="MS Mincho"/>
          <w:lang w:eastAsia="ja-JP"/>
        </w:rPr>
        <w:t>спрос на возможность</w:t>
      </w:r>
      <w:r w:rsidR="00A13EDA" w:rsidRPr="00A13EDA">
        <w:rPr>
          <w:rFonts w:eastAsia="MS Mincho"/>
          <w:lang w:eastAsia="ja-JP"/>
        </w:rPr>
        <w:t xml:space="preserve"> установления</w:t>
      </w:r>
      <w:r w:rsidR="0075379E">
        <w:rPr>
          <w:rFonts w:eastAsia="MS Mincho"/>
          <w:lang w:eastAsia="ja-JP"/>
        </w:rPr>
        <w:t xml:space="preserve"> соединения</w:t>
      </w:r>
      <w:r w:rsidR="00A13EDA">
        <w:rPr>
          <w:rFonts w:eastAsia="MS Mincho"/>
          <w:lang w:eastAsia="ja-JP"/>
        </w:rPr>
        <w:t xml:space="preserve"> в </w:t>
      </w:r>
      <w:r w:rsidR="005045D9" w:rsidRPr="005045D9">
        <w:rPr>
          <w:rFonts w:eastAsia="MS Mincho"/>
          <w:lang w:eastAsia="ja-JP"/>
        </w:rPr>
        <w:t>обслуживаемых в недостаточной степени регионах</w:t>
      </w:r>
      <w:r w:rsidR="005045D9">
        <w:rPr>
          <w:rFonts w:eastAsia="MS Mincho"/>
          <w:lang w:eastAsia="ja-JP"/>
        </w:rPr>
        <w:t xml:space="preserve">, а также </w:t>
      </w:r>
      <w:r w:rsidR="005F274B">
        <w:rPr>
          <w:rFonts w:eastAsia="MS Mincho"/>
          <w:lang w:eastAsia="ja-JP"/>
        </w:rPr>
        <w:t>объясняется д</w:t>
      </w:r>
      <w:r w:rsidR="0075379E">
        <w:rPr>
          <w:rFonts w:eastAsia="MS Mincho"/>
          <w:lang w:eastAsia="ja-JP"/>
        </w:rPr>
        <w:t>оступност</w:t>
      </w:r>
      <w:r w:rsidR="005F274B">
        <w:rPr>
          <w:rFonts w:eastAsia="MS Mincho"/>
          <w:lang w:eastAsia="ja-JP"/>
        </w:rPr>
        <w:t>ью</w:t>
      </w:r>
      <w:r w:rsidR="0075379E">
        <w:rPr>
          <w:rFonts w:eastAsia="MS Mincho"/>
          <w:lang w:eastAsia="ja-JP"/>
        </w:rPr>
        <w:t xml:space="preserve"> </w:t>
      </w:r>
      <w:r w:rsidR="005045D9" w:rsidRPr="005045D9">
        <w:rPr>
          <w:rFonts w:eastAsia="MS Mincho"/>
          <w:lang w:eastAsia="ja-JP"/>
        </w:rPr>
        <w:t>устройств WAS/RLAN</w:t>
      </w:r>
      <w:r w:rsidR="0075379E">
        <w:rPr>
          <w:rFonts w:eastAsia="MS Mincho"/>
          <w:lang w:eastAsia="ja-JP"/>
        </w:rPr>
        <w:t xml:space="preserve"> в настоящий момент на рынке.</w:t>
      </w:r>
      <w:bookmarkEnd w:id="10"/>
    </w:p>
    <w:p w14:paraId="09E3DFEE" w14:textId="66537B5E" w:rsidR="008D3A1C" w:rsidRPr="009D771E" w:rsidRDefault="00377AA9" w:rsidP="00C67A6E">
      <w:bookmarkStart w:id="11" w:name="lt_pId038"/>
      <w:r>
        <w:t>В частности, в Районе</w:t>
      </w:r>
      <w:r w:rsidRPr="00377AA9">
        <w:t xml:space="preserve"> 3 МСЭ использование</w:t>
      </w:r>
      <w:r w:rsidR="00DE5620">
        <w:t xml:space="preserve"> технологий WAS/RLAN выиграет </w:t>
      </w:r>
      <w:r w:rsidR="00DE5620">
        <w:rPr>
          <w:rFonts w:eastAsia="MS Mincho"/>
          <w:lang w:eastAsia="ja-JP"/>
        </w:rPr>
        <w:t>за сч</w:t>
      </w:r>
      <w:r w:rsidR="00A54069">
        <w:rPr>
          <w:rFonts w:eastAsia="MS Mincho"/>
          <w:lang w:eastAsia="ja-JP"/>
        </w:rPr>
        <w:t>е</w:t>
      </w:r>
      <w:r w:rsidR="00DE5620">
        <w:rPr>
          <w:rFonts w:eastAsia="MS Mincho"/>
          <w:lang w:eastAsia="ja-JP"/>
        </w:rPr>
        <w:t>т</w:t>
      </w:r>
      <w:r w:rsidRPr="00377AA9">
        <w:t xml:space="preserve"> разгрузки мобильной связи и </w:t>
      </w:r>
      <w:r w:rsidR="00C051B2">
        <w:t xml:space="preserve">будет способствовать предотвращению растущей </w:t>
      </w:r>
      <w:r w:rsidR="005F274B">
        <w:t>перегруженности</w:t>
      </w:r>
      <w:r w:rsidR="00C051B2">
        <w:t>, наблюдаемой</w:t>
      </w:r>
      <w:r w:rsidRPr="00377AA9">
        <w:t xml:space="preserve"> в </w:t>
      </w:r>
      <w:r w:rsidR="00C051B2">
        <w:t xml:space="preserve">диапазонах 2,4 ГГц и 5 ГГц, где </w:t>
      </w:r>
      <w:r w:rsidR="005F274B">
        <w:t xml:space="preserve">перегруженность </w:t>
      </w:r>
      <w:r w:rsidR="008D3A1C">
        <w:t>полосы влияет на</w:t>
      </w:r>
      <w:r w:rsidR="00C051B2">
        <w:t xml:space="preserve"> </w:t>
      </w:r>
      <w:r w:rsidR="008D3A1C">
        <w:t>качество</w:t>
      </w:r>
      <w:r w:rsidRPr="00377AA9">
        <w:t xml:space="preserve"> обслуживания.</w:t>
      </w:r>
      <w:bookmarkStart w:id="12" w:name="lt_pId039"/>
      <w:bookmarkEnd w:id="11"/>
      <w:r w:rsidR="005F274B">
        <w:t xml:space="preserve"> </w:t>
      </w:r>
      <w:r w:rsidR="006F3A42">
        <w:t>Также</w:t>
      </w:r>
      <w:r w:rsidR="006F3A42" w:rsidRPr="006F3A42">
        <w:t xml:space="preserve"> технологии WAS/RLAN могут использоваться для разработки и использования </w:t>
      </w:r>
      <w:r w:rsidR="00DE5620">
        <w:t>таких новых приложений, требующих мало</w:t>
      </w:r>
      <w:r w:rsidR="00DE5620">
        <w:tab/>
        <w:t xml:space="preserve">й задержки и более широких каналов, </w:t>
      </w:r>
      <w:r w:rsidR="006F3A42" w:rsidRPr="006F3A42">
        <w:t>как</w:t>
      </w:r>
      <w:r w:rsidR="00DE5620">
        <w:t>, например,</w:t>
      </w:r>
      <w:r w:rsidR="006F3A42" w:rsidRPr="006F3A42">
        <w:t xml:space="preserve"> дополненная, виртуальная и расширенная реальность (AR/VR/XR), а также </w:t>
      </w:r>
      <w:r w:rsidR="006F3A42">
        <w:t xml:space="preserve">способствовать расширению </w:t>
      </w:r>
      <w:r w:rsidR="005F274B">
        <w:t xml:space="preserve">масштабов ее </w:t>
      </w:r>
      <w:r w:rsidR="006F3A42" w:rsidRPr="006F3A42">
        <w:t xml:space="preserve">использования </w:t>
      </w:r>
      <w:r w:rsidR="00BA62BB">
        <w:t>и преимуществ для сферы</w:t>
      </w:r>
      <w:r w:rsidR="006F3A42" w:rsidRPr="006F3A42">
        <w:t xml:space="preserve"> развлечений, навигации, здравоохранения, корпоративного и п</w:t>
      </w:r>
      <w:r w:rsidR="006F3A42">
        <w:t xml:space="preserve">ромышленного применения, </w:t>
      </w:r>
      <w:r w:rsidR="006F3A42">
        <w:rPr>
          <w:rFonts w:eastAsia="MS Mincho"/>
          <w:lang w:eastAsia="ja-JP"/>
        </w:rPr>
        <w:t>разработк</w:t>
      </w:r>
      <w:r w:rsidR="00BA62BB">
        <w:rPr>
          <w:rFonts w:eastAsia="MS Mincho"/>
          <w:lang w:eastAsia="ja-JP"/>
        </w:rPr>
        <w:t>и</w:t>
      </w:r>
      <w:r w:rsidR="006F3A42" w:rsidRPr="006F3A42">
        <w:t xml:space="preserve"> </w:t>
      </w:r>
      <w:r w:rsidR="00500128">
        <w:t>продуктов</w:t>
      </w:r>
      <w:r w:rsidR="006F3A42" w:rsidRPr="006F3A42">
        <w:t>, здравоохра</w:t>
      </w:r>
      <w:r w:rsidR="008D3A1C">
        <w:t>нения и государственного управления</w:t>
      </w:r>
      <w:r w:rsidR="006F3A42" w:rsidRPr="006F3A42">
        <w:t>.</w:t>
      </w:r>
      <w:bookmarkStart w:id="13" w:name="lt_pId040"/>
      <w:bookmarkEnd w:id="12"/>
    </w:p>
    <w:p w14:paraId="06125FAB" w14:textId="3C4085DF" w:rsidR="008D3A1C" w:rsidRPr="009D771E" w:rsidRDefault="00500128" w:rsidP="00500128">
      <w:pPr>
        <w:jc w:val="both"/>
      </w:pPr>
      <w:r>
        <w:rPr>
          <w:lang w:eastAsia="en-GB"/>
        </w:rPr>
        <w:t>С</w:t>
      </w:r>
      <w:r w:rsidRPr="00051FC3">
        <w:rPr>
          <w:lang w:eastAsia="en-GB"/>
        </w:rPr>
        <w:t>ледует отметить</w:t>
      </w:r>
      <w:r w:rsidRPr="00B80342">
        <w:rPr>
          <w:lang w:eastAsia="en-GB"/>
        </w:rPr>
        <w:t xml:space="preserve"> </w:t>
      </w:r>
      <w:r>
        <w:rPr>
          <w:lang w:eastAsia="en-GB"/>
        </w:rPr>
        <w:t xml:space="preserve">крайнюю важность соблюдения </w:t>
      </w:r>
      <w:r w:rsidRPr="00051FC3">
        <w:rPr>
          <w:lang w:eastAsia="en-GB"/>
        </w:rPr>
        <w:t xml:space="preserve">условий </w:t>
      </w:r>
      <w:r>
        <w:rPr>
          <w:lang w:eastAsia="en-GB"/>
        </w:rPr>
        <w:t>о</w:t>
      </w:r>
      <w:r w:rsidRPr="00051FC3">
        <w:rPr>
          <w:lang w:eastAsia="en-GB"/>
        </w:rPr>
        <w:t xml:space="preserve"> </w:t>
      </w:r>
      <w:r>
        <w:rPr>
          <w:lang w:eastAsia="en-GB"/>
        </w:rPr>
        <w:t>недопущении помех</w:t>
      </w:r>
      <w:r w:rsidRPr="00051FC3">
        <w:rPr>
          <w:lang w:eastAsia="en-GB"/>
        </w:rPr>
        <w:t xml:space="preserve"> </w:t>
      </w:r>
      <w:r>
        <w:rPr>
          <w:lang w:eastAsia="en-GB"/>
        </w:rPr>
        <w:t xml:space="preserve">при использовании </w:t>
      </w:r>
      <w:r>
        <w:rPr>
          <w:lang w:val="en-GB" w:eastAsia="en-GB"/>
        </w:rPr>
        <w:t>IMT</w:t>
      </w:r>
      <w:r w:rsidRPr="00051FC3">
        <w:rPr>
          <w:lang w:eastAsia="en-GB"/>
        </w:rPr>
        <w:t xml:space="preserve"> и </w:t>
      </w:r>
      <w:r>
        <w:rPr>
          <w:lang w:val="en-GB" w:eastAsia="en-GB"/>
        </w:rPr>
        <w:t>WAS</w:t>
      </w:r>
      <w:r w:rsidRPr="00051FC3">
        <w:rPr>
          <w:lang w:eastAsia="en-GB"/>
        </w:rPr>
        <w:t>/</w:t>
      </w:r>
      <w:r>
        <w:rPr>
          <w:lang w:val="en-GB" w:eastAsia="en-GB"/>
        </w:rPr>
        <w:t>RLAN</w:t>
      </w:r>
      <w:r w:rsidRPr="00051FC3">
        <w:rPr>
          <w:lang w:eastAsia="en-GB"/>
        </w:rPr>
        <w:t xml:space="preserve"> в полосе частот </w:t>
      </w:r>
      <w:r>
        <w:rPr>
          <w:lang w:eastAsia="en-GB"/>
        </w:rPr>
        <w:t>6 Гц ввиду</w:t>
      </w:r>
      <w:r w:rsidRPr="00051FC3">
        <w:rPr>
          <w:lang w:eastAsia="en-GB"/>
        </w:rPr>
        <w:t xml:space="preserve"> преимуществ, которые уже предоставляют ФСС и ФС, </w:t>
      </w:r>
      <w:r>
        <w:rPr>
          <w:lang w:eastAsia="en-GB"/>
        </w:rPr>
        <w:t>в связи с чем</w:t>
      </w:r>
      <w:r w:rsidRPr="00051FC3">
        <w:rPr>
          <w:lang w:eastAsia="en-GB"/>
        </w:rPr>
        <w:t xml:space="preserve"> любое регулирование должно осуществляться</w:t>
      </w:r>
      <w:r>
        <w:rPr>
          <w:lang w:eastAsia="en-GB"/>
        </w:rPr>
        <w:t xml:space="preserve"> таким образом, чтобы не создавать </w:t>
      </w:r>
      <w:r w:rsidRPr="00051FC3">
        <w:rPr>
          <w:lang w:eastAsia="en-GB"/>
        </w:rPr>
        <w:t>ограничений для уже используемых служб. Следует также отметить, что одн</w:t>
      </w:r>
      <w:r>
        <w:rPr>
          <w:lang w:eastAsia="en-GB"/>
        </w:rPr>
        <w:t>и</w:t>
      </w:r>
      <w:r w:rsidRPr="00051FC3">
        <w:rPr>
          <w:lang w:eastAsia="en-GB"/>
        </w:rPr>
        <w:t xml:space="preserve"> администраци</w:t>
      </w:r>
      <w:r>
        <w:rPr>
          <w:lang w:eastAsia="en-GB"/>
        </w:rPr>
        <w:t>и</w:t>
      </w:r>
      <w:r w:rsidRPr="00051FC3">
        <w:rPr>
          <w:lang w:eastAsia="en-GB"/>
        </w:rPr>
        <w:t xml:space="preserve"> принял</w:t>
      </w:r>
      <w:r>
        <w:rPr>
          <w:lang w:eastAsia="en-GB"/>
        </w:rPr>
        <w:t>и</w:t>
      </w:r>
      <w:r w:rsidRPr="00051FC3">
        <w:rPr>
          <w:lang w:eastAsia="en-GB"/>
        </w:rPr>
        <w:t xml:space="preserve"> решение внедрить </w:t>
      </w:r>
      <w:r>
        <w:rPr>
          <w:lang w:eastAsia="en-GB"/>
        </w:rPr>
        <w:t xml:space="preserve">в </w:t>
      </w:r>
      <w:r w:rsidRPr="00051FC3">
        <w:rPr>
          <w:lang w:eastAsia="en-GB"/>
        </w:rPr>
        <w:t>эт</w:t>
      </w:r>
      <w:r>
        <w:rPr>
          <w:lang w:eastAsia="en-GB"/>
        </w:rPr>
        <w:t xml:space="preserve">ой </w:t>
      </w:r>
      <w:r w:rsidRPr="00051FC3">
        <w:rPr>
          <w:lang w:eastAsia="en-GB"/>
        </w:rPr>
        <w:t>полос</w:t>
      </w:r>
      <w:r>
        <w:rPr>
          <w:lang w:eastAsia="en-GB"/>
        </w:rPr>
        <w:t>е</w:t>
      </w:r>
      <w:r w:rsidRPr="00051FC3">
        <w:rPr>
          <w:lang w:eastAsia="en-GB"/>
        </w:rPr>
        <w:t xml:space="preserve"> </w:t>
      </w:r>
      <w:r>
        <w:rPr>
          <w:lang w:val="en-GB" w:eastAsia="en-GB"/>
        </w:rPr>
        <w:t>IMT</w:t>
      </w:r>
      <w:r w:rsidRPr="00051FC3">
        <w:rPr>
          <w:lang w:eastAsia="en-GB"/>
        </w:rPr>
        <w:t xml:space="preserve">, </w:t>
      </w:r>
      <w:r>
        <w:rPr>
          <w:lang w:eastAsia="en-GB"/>
        </w:rPr>
        <w:t>а</w:t>
      </w:r>
      <w:r w:rsidRPr="00051FC3">
        <w:rPr>
          <w:lang w:eastAsia="en-GB"/>
        </w:rPr>
        <w:t xml:space="preserve"> дру</w:t>
      </w:r>
      <w:r>
        <w:rPr>
          <w:lang w:eastAsia="en-GB"/>
        </w:rPr>
        <w:t>гие</w:t>
      </w:r>
      <w:r w:rsidRPr="00051FC3">
        <w:rPr>
          <w:lang w:eastAsia="en-GB"/>
        </w:rPr>
        <w:t xml:space="preserve"> администраци</w:t>
      </w:r>
      <w:r>
        <w:rPr>
          <w:lang w:eastAsia="en-GB"/>
        </w:rPr>
        <w:t xml:space="preserve">и </w:t>
      </w:r>
      <w:r w:rsidRPr="00051FC3">
        <w:rPr>
          <w:lang w:eastAsia="en-GB"/>
        </w:rPr>
        <w:t>решил</w:t>
      </w:r>
      <w:r>
        <w:rPr>
          <w:lang w:eastAsia="en-GB"/>
        </w:rPr>
        <w:t>и</w:t>
      </w:r>
      <w:r w:rsidRPr="00051FC3">
        <w:rPr>
          <w:lang w:eastAsia="en-GB"/>
        </w:rPr>
        <w:t xml:space="preserve"> использовать </w:t>
      </w:r>
      <w:r>
        <w:rPr>
          <w:lang w:eastAsia="en-GB"/>
        </w:rPr>
        <w:t xml:space="preserve">ее </w:t>
      </w:r>
      <w:r w:rsidRPr="00051FC3">
        <w:rPr>
          <w:lang w:eastAsia="en-GB"/>
        </w:rPr>
        <w:t xml:space="preserve">для </w:t>
      </w:r>
      <w:r>
        <w:rPr>
          <w:lang w:val="en-GB" w:eastAsia="en-GB"/>
        </w:rPr>
        <w:t>WAS</w:t>
      </w:r>
      <w:r w:rsidRPr="00051FC3">
        <w:rPr>
          <w:lang w:eastAsia="en-GB"/>
        </w:rPr>
        <w:t>/</w:t>
      </w:r>
      <w:r>
        <w:rPr>
          <w:lang w:val="en-GB" w:eastAsia="en-GB"/>
        </w:rPr>
        <w:t>RLAN</w:t>
      </w:r>
      <w:r w:rsidRPr="00051FC3">
        <w:rPr>
          <w:lang w:eastAsia="en-GB"/>
        </w:rPr>
        <w:t xml:space="preserve">. </w:t>
      </w:r>
      <w:r>
        <w:t>Вместе с тем</w:t>
      </w:r>
      <w:r w:rsidR="00293AD2">
        <w:t xml:space="preserve"> </w:t>
      </w:r>
      <w:r>
        <w:t>основополагающий</w:t>
      </w:r>
      <w:r w:rsidR="00293AD2" w:rsidRPr="00293AD2">
        <w:t xml:space="preserve"> </w:t>
      </w:r>
      <w:r w:rsidR="00B84363">
        <w:t>принцип использования технологи</w:t>
      </w:r>
      <w:r w:rsidR="00B84363">
        <w:rPr>
          <w:rFonts w:eastAsia="MS Mincho"/>
          <w:lang w:eastAsia="ja-JP"/>
        </w:rPr>
        <w:t xml:space="preserve">и нелицензированной подвижной связи </w:t>
      </w:r>
      <w:r w:rsidR="00293AD2" w:rsidRPr="00293AD2">
        <w:t>заключается в том, что они</w:t>
      </w:r>
      <w:r w:rsidR="00B84363" w:rsidRPr="00B84363">
        <w:t xml:space="preserve"> </w:t>
      </w:r>
      <w:r w:rsidR="00B84363">
        <w:rPr>
          <w:rFonts w:eastAsia="MS Mincho"/>
          <w:lang w:eastAsia="ja-JP"/>
        </w:rPr>
        <w:t>должны</w:t>
      </w:r>
      <w:r w:rsidR="00293AD2" w:rsidRPr="00293AD2">
        <w:t xml:space="preserve"> </w:t>
      </w:r>
      <w:r w:rsidR="00B84363">
        <w:t xml:space="preserve">работать без </w:t>
      </w:r>
      <w:r>
        <w:t>создания</w:t>
      </w:r>
      <w:r w:rsidR="00B84363">
        <w:t xml:space="preserve"> </w:t>
      </w:r>
      <w:r w:rsidR="00293AD2" w:rsidRPr="00293AD2">
        <w:t xml:space="preserve">каких-либо ограничений или вредных помех </w:t>
      </w:r>
      <w:r w:rsidR="00B84363">
        <w:t>в отношении первичных служб</w:t>
      </w:r>
      <w:r w:rsidR="00293AD2" w:rsidRPr="00293AD2">
        <w:t>, т.</w:t>
      </w:r>
      <w:r w:rsidR="00BF747D">
        <w:t> </w:t>
      </w:r>
      <w:r w:rsidR="00B84363">
        <w:t>е. ФСС, ФС, что</w:t>
      </w:r>
      <w:r>
        <w:t xml:space="preserve"> в свою очередь </w:t>
      </w:r>
      <w:r w:rsidR="00293AD2" w:rsidRPr="00293AD2">
        <w:t>соответствует принципам, изложенным в Регламенте радиосвязи (РР).</w:t>
      </w:r>
      <w:bookmarkEnd w:id="13"/>
    </w:p>
    <w:p w14:paraId="09ECCB10" w14:textId="23474D98" w:rsidR="00B84363" w:rsidRPr="0054557A" w:rsidRDefault="0054557A" w:rsidP="00B84363">
      <w:bookmarkStart w:id="14" w:name="lt_pId044"/>
      <w:r>
        <w:t xml:space="preserve">Таким образом, </w:t>
      </w:r>
      <w:r w:rsidR="004C74BD" w:rsidRPr="00051FC3">
        <w:rPr>
          <w:lang w:eastAsia="en-GB"/>
        </w:rPr>
        <w:t>в целях рассмотрения</w:t>
      </w:r>
      <w:r w:rsidR="004C74BD" w:rsidRPr="00B80342">
        <w:rPr>
          <w:lang w:eastAsia="en-GB"/>
        </w:rPr>
        <w:t xml:space="preserve"> </w:t>
      </w:r>
      <w:r w:rsidR="004C74BD" w:rsidRPr="00051FC3">
        <w:rPr>
          <w:lang w:eastAsia="en-GB"/>
        </w:rPr>
        <w:t xml:space="preserve">на ВКР-23 </w:t>
      </w:r>
      <w:r w:rsidR="00B84363" w:rsidRPr="00B84363">
        <w:t>н</w:t>
      </w:r>
      <w:r w:rsidR="001B0A59">
        <w:t xml:space="preserve">аилучшего подхода к </w:t>
      </w:r>
      <w:r w:rsidR="001B0A59">
        <w:rPr>
          <w:rFonts w:eastAsia="MS Mincho"/>
          <w:lang w:eastAsia="ja-JP"/>
        </w:rPr>
        <w:t>текущему</w:t>
      </w:r>
      <w:r w:rsidR="00B84363" w:rsidRPr="00B84363">
        <w:t xml:space="preserve"> и будущ</w:t>
      </w:r>
      <w:r w:rsidR="001B0A59">
        <w:t xml:space="preserve">ему использованию </w:t>
      </w:r>
      <w:r w:rsidR="00500128">
        <w:t>этой</w:t>
      </w:r>
      <w:r>
        <w:t xml:space="preserve"> </w:t>
      </w:r>
      <w:r w:rsidR="001B0A59">
        <w:t xml:space="preserve">полосы частот и </w:t>
      </w:r>
      <w:r w:rsidR="00500128">
        <w:t xml:space="preserve">обеспечения </w:t>
      </w:r>
      <w:r w:rsidR="00B84363" w:rsidRPr="00B84363">
        <w:t xml:space="preserve">каждой администрации </w:t>
      </w:r>
      <w:r w:rsidR="001B0A59">
        <w:t xml:space="preserve">возможности </w:t>
      </w:r>
      <w:r w:rsidR="00500128">
        <w:t>выбора</w:t>
      </w:r>
      <w:r w:rsidR="001B0A59">
        <w:t xml:space="preserve"> </w:t>
      </w:r>
      <w:r w:rsidR="00B84363" w:rsidRPr="00B84363">
        <w:t xml:space="preserve">при развертывании </w:t>
      </w:r>
      <w:r w:rsidR="00500128">
        <w:t>нескольких</w:t>
      </w:r>
      <w:r w:rsidR="00B84363" w:rsidRPr="00B84363">
        <w:t xml:space="preserve"> техн</w:t>
      </w:r>
      <w:r w:rsidR="001B0A59">
        <w:t xml:space="preserve">ологий, </w:t>
      </w:r>
      <w:r w:rsidR="00B84363" w:rsidRPr="00B84363">
        <w:t xml:space="preserve">правильным подходом </w:t>
      </w:r>
      <w:r w:rsidR="004C74BD">
        <w:t>для</w:t>
      </w:r>
      <w:r w:rsidR="001B0A59" w:rsidRPr="001B0A59">
        <w:t xml:space="preserve"> </w:t>
      </w:r>
      <w:r w:rsidR="001B0A59">
        <w:t>полос</w:t>
      </w:r>
      <w:r w:rsidR="001B0A59" w:rsidRPr="001B0A59">
        <w:t xml:space="preserve"> частот 6425−7025 МГц и 7025−7125 МГц</w:t>
      </w:r>
      <w:r w:rsidR="004C74BD">
        <w:t xml:space="preserve"> </w:t>
      </w:r>
      <w:r w:rsidR="001B0A59">
        <w:t xml:space="preserve">представляется позиция </w:t>
      </w:r>
      <w:r w:rsidR="00D16BDD">
        <w:t>"</w:t>
      </w:r>
      <w:r w:rsidR="001B0A59">
        <w:t>Без изменений</w:t>
      </w:r>
      <w:r w:rsidR="00D16BDD">
        <w:t>"</w:t>
      </w:r>
      <w:r w:rsidR="00B84363" w:rsidRPr="00B84363">
        <w:t xml:space="preserve">. </w:t>
      </w:r>
    </w:p>
    <w:p w14:paraId="5C36D12B" w14:textId="46E10AE8" w:rsidR="00BA62BB" w:rsidRDefault="0054557A" w:rsidP="00C67A6E">
      <w:pPr>
        <w:rPr>
          <w:rFonts w:eastAsia="Calibri"/>
        </w:rPr>
      </w:pPr>
      <w:bookmarkStart w:id="15" w:name="lt_pId045"/>
      <w:bookmarkEnd w:id="14"/>
      <w:r>
        <w:t>В</w:t>
      </w:r>
      <w:r w:rsidRPr="0054557A">
        <w:t xml:space="preserve"> </w:t>
      </w:r>
      <w:r w:rsidR="009661A4">
        <w:t>эт</w:t>
      </w:r>
      <w:r w:rsidR="004C74BD">
        <w:t>ой связи</w:t>
      </w:r>
      <w:r w:rsidRPr="0054557A">
        <w:t xml:space="preserve"> </w:t>
      </w:r>
      <w:r w:rsidR="004C74BD">
        <w:rPr>
          <w:rFonts w:eastAsia="BatangChe"/>
          <w:lang w:eastAsia="ko-KR"/>
        </w:rPr>
        <w:t>подписавшие настоящий вклад</w:t>
      </w:r>
      <w:r w:rsidR="004C74BD" w:rsidRPr="00DB62D2">
        <w:rPr>
          <w:rFonts w:eastAsia="BatangChe"/>
          <w:lang w:eastAsia="ko-KR"/>
        </w:rPr>
        <w:t xml:space="preserve"> администрации</w:t>
      </w:r>
      <w:r w:rsidR="004C74BD" w:rsidRPr="00DB62D2">
        <w:rPr>
          <w:rFonts w:eastAsia="Calibri"/>
        </w:rPr>
        <w:t xml:space="preserve"> </w:t>
      </w:r>
      <w:r w:rsidR="004C74BD">
        <w:rPr>
          <w:rFonts w:eastAsia="Calibri"/>
        </w:rPr>
        <w:t>принимали к рассмотрению целый ряд</w:t>
      </w:r>
      <w:r w:rsidR="004C74BD" w:rsidRPr="00DB62D2">
        <w:rPr>
          <w:rFonts w:eastAsia="Calibri"/>
        </w:rPr>
        <w:t xml:space="preserve"> факторов, </w:t>
      </w:r>
      <w:r w:rsidR="004C74BD">
        <w:rPr>
          <w:rFonts w:eastAsia="Calibri"/>
        </w:rPr>
        <w:t>включая</w:t>
      </w:r>
      <w:r w:rsidR="004C74BD" w:rsidRPr="00DB62D2">
        <w:rPr>
          <w:rFonts w:eastAsia="Calibri"/>
        </w:rPr>
        <w:t xml:space="preserve"> следующие:</w:t>
      </w:r>
    </w:p>
    <w:p w14:paraId="3E034CD7" w14:textId="77777777" w:rsidR="00AE61DA" w:rsidRPr="00A643A8" w:rsidRDefault="004C74BD" w:rsidP="004C74BD">
      <w:pPr>
        <w:ind w:left="1134" w:hanging="1134"/>
        <w:rPr>
          <w:rStyle w:val="enumlev1Char"/>
        </w:rPr>
      </w:pPr>
      <w:r>
        <w:rPr>
          <w:rFonts w:eastAsia="Calibri"/>
        </w:rPr>
        <w:t>1)</w:t>
      </w:r>
      <w:bookmarkEnd w:id="15"/>
      <w:r>
        <w:rPr>
          <w:rFonts w:eastAsia="Calibri"/>
        </w:rPr>
        <w:tab/>
      </w:r>
      <w:r w:rsidRPr="00A643A8">
        <w:rPr>
          <w:rStyle w:val="enumlev1Char"/>
        </w:rPr>
        <w:t>При проведении исследований, касающихся возможного внедрения наземного сегмента IMT в полосе частот 6425−7125 МГц, использовались разнообразные допущения, входные параметры и критерии помех, которые варьировались от исследования к исследованию. В связи с большим диапазоном различий, которые рассматривались в каждом исследовании, к консенсусу или выводу прийти не удалось.</w:t>
      </w:r>
    </w:p>
    <w:p w14:paraId="1FA7B55D" w14:textId="77777777" w:rsidR="00A25848" w:rsidRPr="004C74BD" w:rsidRDefault="00C67A6E" w:rsidP="004C74BD">
      <w:pPr>
        <w:pStyle w:val="enumlev1"/>
        <w:rPr>
          <w:rFonts w:eastAsia="Batang"/>
        </w:rPr>
      </w:pPr>
      <w:r w:rsidRPr="00E66007">
        <w:t>2)</w:t>
      </w:r>
      <w:r w:rsidRPr="00E66007">
        <w:tab/>
      </w:r>
      <w:r w:rsidR="004C74BD">
        <w:rPr>
          <w:rFonts w:eastAsia="Batang"/>
        </w:rPr>
        <w:t>С</w:t>
      </w:r>
      <w:r w:rsidR="004C74BD" w:rsidRPr="00CE05C6">
        <w:rPr>
          <w:rFonts w:eastAsia="Batang"/>
        </w:rPr>
        <w:t xml:space="preserve">огласно Отчету ПСК </w:t>
      </w:r>
      <w:r w:rsidR="004C74BD">
        <w:rPr>
          <w:rFonts w:eastAsia="Batang"/>
        </w:rPr>
        <w:t xml:space="preserve">в </w:t>
      </w:r>
      <w:r w:rsidR="004C74BD" w:rsidRPr="00CE05C6">
        <w:rPr>
          <w:rFonts w:eastAsia="Batang"/>
        </w:rPr>
        <w:t xml:space="preserve">выводах по результатам исследований, проведенных в течение этого цикла, использовались предположения относительно параметров, </w:t>
      </w:r>
      <w:r w:rsidR="004C74BD">
        <w:rPr>
          <w:rFonts w:eastAsia="Batang"/>
        </w:rPr>
        <w:t xml:space="preserve">в </w:t>
      </w:r>
      <w:r w:rsidR="004C74BD" w:rsidRPr="00CE05C6">
        <w:rPr>
          <w:rFonts w:eastAsia="Batang"/>
        </w:rPr>
        <w:t>которы</w:t>
      </w:r>
      <w:r w:rsidR="004C74BD">
        <w:rPr>
          <w:rFonts w:eastAsia="Batang"/>
        </w:rPr>
        <w:t>х</w:t>
      </w:r>
      <w:r w:rsidR="004C74BD" w:rsidRPr="00CE05C6">
        <w:rPr>
          <w:rFonts w:eastAsia="Batang"/>
        </w:rPr>
        <w:t xml:space="preserve"> недооценивают</w:t>
      </w:r>
      <w:r w:rsidR="004C74BD">
        <w:rPr>
          <w:rFonts w:eastAsia="Batang"/>
        </w:rPr>
        <w:t>ся</w:t>
      </w:r>
      <w:r w:rsidR="004C74BD" w:rsidRPr="00CE05C6">
        <w:rPr>
          <w:rFonts w:eastAsia="Batang"/>
        </w:rPr>
        <w:t xml:space="preserve"> помехи приемникам ФСС</w:t>
      </w:r>
      <w:r w:rsidR="004C74BD">
        <w:rPr>
          <w:rFonts w:eastAsia="Batang"/>
        </w:rPr>
        <w:t xml:space="preserve"> со стороны </w:t>
      </w:r>
      <w:r w:rsidR="004C74BD">
        <w:rPr>
          <w:rFonts w:eastAsia="Batang"/>
          <w:lang w:val="en-GB"/>
        </w:rPr>
        <w:t>IMT</w:t>
      </w:r>
      <w:r w:rsidR="004C74BD" w:rsidRPr="00CE05C6">
        <w:rPr>
          <w:rFonts w:eastAsia="Batang"/>
        </w:rPr>
        <w:t xml:space="preserve">. В некоторых исследованиях, </w:t>
      </w:r>
      <w:r w:rsidR="004C74BD">
        <w:rPr>
          <w:rFonts w:eastAsia="Batang"/>
        </w:rPr>
        <w:t xml:space="preserve">в </w:t>
      </w:r>
      <w:r w:rsidR="004C74BD" w:rsidRPr="00CE05C6">
        <w:rPr>
          <w:rFonts w:eastAsia="Batang"/>
        </w:rPr>
        <w:t>которы</w:t>
      </w:r>
      <w:r w:rsidR="004C74BD">
        <w:rPr>
          <w:rFonts w:eastAsia="Batang"/>
        </w:rPr>
        <w:t>х</w:t>
      </w:r>
      <w:r w:rsidR="004C74BD" w:rsidRPr="00CE05C6">
        <w:rPr>
          <w:rFonts w:eastAsia="Batang"/>
        </w:rPr>
        <w:t xml:space="preserve"> </w:t>
      </w:r>
      <w:r w:rsidR="004C74BD">
        <w:rPr>
          <w:rFonts w:eastAsia="Batang"/>
        </w:rPr>
        <w:t>демонстрируется возможность</w:t>
      </w:r>
      <w:r w:rsidR="004C74BD" w:rsidRPr="00CE05C6">
        <w:rPr>
          <w:rFonts w:eastAsia="Batang"/>
        </w:rPr>
        <w:t xml:space="preserve"> сосуществования ФСС и </w:t>
      </w:r>
      <w:r w:rsidR="004C74BD">
        <w:rPr>
          <w:rFonts w:eastAsia="Batang"/>
          <w:lang w:val="en-GB"/>
        </w:rPr>
        <w:t>IMT</w:t>
      </w:r>
      <w:r w:rsidR="004C74BD" w:rsidRPr="00CE05C6">
        <w:rPr>
          <w:rFonts w:eastAsia="Batang"/>
        </w:rPr>
        <w:t>, использовались параметры или поправочные коэффициенты, которые не согласованы рабочими группами МСЭ-</w:t>
      </w:r>
      <w:r w:rsidR="004C74BD">
        <w:rPr>
          <w:rFonts w:eastAsia="Batang"/>
          <w:lang w:val="en-GB"/>
        </w:rPr>
        <w:t>R</w:t>
      </w:r>
      <w:r w:rsidR="004C74BD" w:rsidRPr="00CE05C6">
        <w:rPr>
          <w:rFonts w:eastAsia="Batang"/>
        </w:rPr>
        <w:t xml:space="preserve">. </w:t>
      </w:r>
      <w:r w:rsidR="004C74BD">
        <w:rPr>
          <w:rFonts w:eastAsia="Batang"/>
        </w:rPr>
        <w:t>При э</w:t>
      </w:r>
      <w:r w:rsidR="004C74BD" w:rsidRPr="00CE05C6">
        <w:rPr>
          <w:rFonts w:eastAsia="Batang"/>
        </w:rPr>
        <w:t>ти</w:t>
      </w:r>
      <w:r w:rsidR="004C74BD">
        <w:rPr>
          <w:rFonts w:eastAsia="Batang"/>
        </w:rPr>
        <w:t>х</w:t>
      </w:r>
      <w:r w:rsidR="004C74BD" w:rsidRPr="00CE05C6">
        <w:rPr>
          <w:rFonts w:eastAsia="Batang"/>
        </w:rPr>
        <w:t xml:space="preserve"> допущения</w:t>
      </w:r>
      <w:r w:rsidR="004C74BD">
        <w:rPr>
          <w:rFonts w:eastAsia="Batang"/>
        </w:rPr>
        <w:t>х</w:t>
      </w:r>
      <w:r w:rsidR="004C74BD" w:rsidRPr="00CE05C6">
        <w:rPr>
          <w:rFonts w:eastAsia="Batang"/>
        </w:rPr>
        <w:t xml:space="preserve"> </w:t>
      </w:r>
      <w:r w:rsidR="004C74BD" w:rsidRPr="00CE05C6">
        <w:t xml:space="preserve">не рассматриваются реалистичные сценарии развертывания сети </w:t>
      </w:r>
      <w:r w:rsidR="004C74BD">
        <w:rPr>
          <w:lang w:val="en-GB"/>
        </w:rPr>
        <w:t>IMT</w:t>
      </w:r>
      <w:r w:rsidR="004C74BD" w:rsidRPr="00CE05C6">
        <w:t xml:space="preserve"> и показаны </w:t>
      </w:r>
      <w:r w:rsidR="004C74BD">
        <w:t xml:space="preserve">необъективные </w:t>
      </w:r>
      <w:r w:rsidR="004C74BD" w:rsidRPr="00CE05C6">
        <w:t>результаты</w:t>
      </w:r>
      <w:r w:rsidR="004C74BD">
        <w:t xml:space="preserve">, свидетельствующие в пользу </w:t>
      </w:r>
      <w:r w:rsidR="004C74BD" w:rsidRPr="00CE05C6">
        <w:t>совместимости.</w:t>
      </w:r>
    </w:p>
    <w:p w14:paraId="7FE581C7" w14:textId="77777777" w:rsidR="00D150E7" w:rsidRPr="004C74BD" w:rsidRDefault="00C67A6E" w:rsidP="004C74BD">
      <w:pPr>
        <w:pStyle w:val="enumlev1"/>
        <w:rPr>
          <w:rFonts w:eastAsia="Batang"/>
        </w:rPr>
      </w:pPr>
      <w:r w:rsidRPr="009B64D4">
        <w:t>3)</w:t>
      </w:r>
      <w:r w:rsidRPr="009B64D4">
        <w:tab/>
      </w:r>
      <w:bookmarkStart w:id="16" w:name="lt_pId054"/>
      <w:r w:rsidR="009B64D4">
        <w:rPr>
          <w:rFonts w:eastAsia="MS Mincho"/>
          <w:lang w:eastAsia="ja-JP"/>
        </w:rPr>
        <w:t xml:space="preserve">В </w:t>
      </w:r>
      <w:r w:rsidR="009B64D4">
        <w:t>результатах</w:t>
      </w:r>
      <w:r w:rsidR="009B64D4" w:rsidRPr="009B64D4">
        <w:t xml:space="preserve"> исследова</w:t>
      </w:r>
      <w:r w:rsidR="009B64D4">
        <w:t xml:space="preserve">ний, </w:t>
      </w:r>
      <w:r w:rsidR="00E66007">
        <w:t xml:space="preserve">проведенных в течение </w:t>
      </w:r>
      <w:r w:rsidR="00E66007">
        <w:rPr>
          <w:rFonts w:eastAsia="MS Mincho"/>
          <w:lang w:eastAsia="ja-JP"/>
        </w:rPr>
        <w:t>данного</w:t>
      </w:r>
      <w:r w:rsidR="009B64D4" w:rsidRPr="009B64D4">
        <w:t xml:space="preserve"> цикла</w:t>
      </w:r>
      <w:r w:rsidR="009B64D4">
        <w:t xml:space="preserve"> исследований</w:t>
      </w:r>
      <w:r w:rsidR="009B64D4" w:rsidRPr="009B64D4">
        <w:t>,</w:t>
      </w:r>
      <w:r w:rsidR="009B64D4">
        <w:t xml:space="preserve"> </w:t>
      </w:r>
      <w:r w:rsidR="00E66007">
        <w:t>указывается</w:t>
      </w:r>
      <w:r w:rsidR="009B64D4">
        <w:t xml:space="preserve">, </w:t>
      </w:r>
      <w:r w:rsidR="004C74BD">
        <w:rPr>
          <w:rFonts w:eastAsia="Batang"/>
        </w:rPr>
        <w:t xml:space="preserve">что </w:t>
      </w:r>
      <w:r w:rsidR="004C74BD" w:rsidRPr="007F43AB">
        <w:rPr>
          <w:rFonts w:eastAsia="Batang"/>
        </w:rPr>
        <w:t xml:space="preserve">для защиты ФС необходимо рассмотреть </w:t>
      </w:r>
      <w:r w:rsidR="004C74BD">
        <w:rPr>
          <w:rFonts w:eastAsia="Batang"/>
        </w:rPr>
        <w:t xml:space="preserve">возможность проведения </w:t>
      </w:r>
      <w:r w:rsidR="004C74BD" w:rsidRPr="007F43AB">
        <w:rPr>
          <w:rFonts w:eastAsia="Batang"/>
        </w:rPr>
        <w:t>анализ</w:t>
      </w:r>
      <w:r w:rsidR="004C74BD">
        <w:rPr>
          <w:rFonts w:eastAsia="Batang"/>
        </w:rPr>
        <w:t>а</w:t>
      </w:r>
      <w:r w:rsidR="004C74BD" w:rsidRPr="007F43AB">
        <w:rPr>
          <w:rFonts w:eastAsia="Batang"/>
        </w:rPr>
        <w:t xml:space="preserve"> каждого </w:t>
      </w:r>
      <w:r w:rsidR="004C74BD">
        <w:rPr>
          <w:rFonts w:eastAsia="Batang"/>
        </w:rPr>
        <w:t>отдельного</w:t>
      </w:r>
      <w:r w:rsidR="004C74BD" w:rsidRPr="007F43AB">
        <w:rPr>
          <w:rFonts w:eastAsia="Batang"/>
        </w:rPr>
        <w:t xml:space="preserve"> случая, </w:t>
      </w:r>
      <w:r w:rsidR="004C74BD">
        <w:rPr>
          <w:rFonts w:eastAsia="Batang"/>
        </w:rPr>
        <w:t>поскольку</w:t>
      </w:r>
      <w:r w:rsidR="004C74BD" w:rsidRPr="007F43AB">
        <w:rPr>
          <w:rFonts w:eastAsia="Batang"/>
        </w:rPr>
        <w:t xml:space="preserve"> зона защиты может </w:t>
      </w:r>
      <w:r w:rsidR="004C74BD">
        <w:rPr>
          <w:rFonts w:eastAsia="Batang"/>
        </w:rPr>
        <w:t>варьироваться</w:t>
      </w:r>
      <w:r w:rsidR="004C74BD" w:rsidRPr="007F43AB">
        <w:rPr>
          <w:rFonts w:eastAsia="Batang"/>
        </w:rPr>
        <w:t xml:space="preserve"> от десятков до сотен километров. Исходя из этих допущений, основа защиты</w:t>
      </w:r>
      <w:r w:rsidR="004C74BD">
        <w:rPr>
          <w:rFonts w:eastAsia="Batang"/>
        </w:rPr>
        <w:t xml:space="preserve"> не гарантирована</w:t>
      </w:r>
      <w:r w:rsidR="004C74BD" w:rsidRPr="007F43AB">
        <w:rPr>
          <w:rFonts w:eastAsia="Batang"/>
        </w:rPr>
        <w:t xml:space="preserve">, что создает неопределенность в отношении возможных вредных помех, создаваемых развертыванием сетей </w:t>
      </w:r>
      <w:r w:rsidR="004C74BD">
        <w:rPr>
          <w:rFonts w:eastAsia="Batang"/>
          <w:lang w:val="en-GB"/>
        </w:rPr>
        <w:t>IMT</w:t>
      </w:r>
      <w:r w:rsidR="004C74BD" w:rsidRPr="007F43AB">
        <w:rPr>
          <w:rFonts w:eastAsia="Batang"/>
        </w:rPr>
        <w:t>.</w:t>
      </w:r>
      <w:bookmarkEnd w:id="16"/>
    </w:p>
    <w:p w14:paraId="22B0BD0F" w14:textId="77777777" w:rsidR="00D150E7" w:rsidRDefault="00C67A6E" w:rsidP="004C74BD">
      <w:pPr>
        <w:pStyle w:val="enumlev1"/>
      </w:pPr>
      <w:r w:rsidRPr="00D150E7">
        <w:lastRenderedPageBreak/>
        <w:t>4)</w:t>
      </w:r>
      <w:r w:rsidRPr="00D150E7">
        <w:tab/>
      </w:r>
      <w:bookmarkStart w:id="17" w:name="lt_pId057"/>
      <w:r w:rsidR="004C74BD" w:rsidRPr="00F53C22">
        <w:rPr>
          <w:rFonts w:eastAsia="Batang"/>
        </w:rPr>
        <w:t>Сценарий</w:t>
      </w:r>
      <w:r w:rsidR="004C74BD">
        <w:rPr>
          <w:rFonts w:eastAsia="Batang"/>
        </w:rPr>
        <w:t>, при котором</w:t>
      </w:r>
      <w:r w:rsidR="004C74BD" w:rsidRPr="00F53C22">
        <w:rPr>
          <w:rFonts w:eastAsia="Batang"/>
        </w:rPr>
        <w:t xml:space="preserve"> кажд</w:t>
      </w:r>
      <w:r w:rsidR="004C74BD">
        <w:rPr>
          <w:rFonts w:eastAsia="Batang"/>
        </w:rPr>
        <w:t>ый</w:t>
      </w:r>
      <w:r w:rsidR="004C74BD" w:rsidRPr="00F53C22">
        <w:rPr>
          <w:rFonts w:eastAsia="Batang"/>
        </w:rPr>
        <w:t xml:space="preserve"> случа</w:t>
      </w:r>
      <w:r w:rsidR="004C74BD">
        <w:rPr>
          <w:rFonts w:eastAsia="Batang"/>
        </w:rPr>
        <w:t>й рассматривается отдельно,</w:t>
      </w:r>
      <w:r w:rsidR="004C74BD" w:rsidRPr="00F53C22">
        <w:rPr>
          <w:rFonts w:eastAsia="Batang"/>
        </w:rPr>
        <w:t xml:space="preserve"> </w:t>
      </w:r>
      <w:r w:rsidR="004C74BD">
        <w:rPr>
          <w:rFonts w:eastAsia="Batang"/>
        </w:rPr>
        <w:t xml:space="preserve">станет дополнительным </w:t>
      </w:r>
      <w:r w:rsidR="004C74BD" w:rsidRPr="00F53C22">
        <w:rPr>
          <w:rFonts w:eastAsia="Batang"/>
        </w:rPr>
        <w:t>регламентарн</w:t>
      </w:r>
      <w:r w:rsidR="004C74BD">
        <w:rPr>
          <w:rFonts w:eastAsia="Batang"/>
        </w:rPr>
        <w:t>ым</w:t>
      </w:r>
      <w:r w:rsidR="004C74BD" w:rsidRPr="00F53C22">
        <w:rPr>
          <w:rFonts w:eastAsia="Batang"/>
        </w:rPr>
        <w:t xml:space="preserve"> бремен</w:t>
      </w:r>
      <w:r w:rsidR="004C74BD">
        <w:rPr>
          <w:rFonts w:eastAsia="Batang"/>
        </w:rPr>
        <w:t>ем</w:t>
      </w:r>
      <w:r w:rsidR="004C74BD" w:rsidRPr="00F53C22">
        <w:rPr>
          <w:rFonts w:eastAsia="Batang"/>
        </w:rPr>
        <w:t xml:space="preserve"> для администраций, поскольку многим странам придется адаптировать свою </w:t>
      </w:r>
      <w:r w:rsidR="004C74BD">
        <w:rPr>
          <w:rFonts w:eastAsia="Batang"/>
        </w:rPr>
        <w:t>регламентарную</w:t>
      </w:r>
      <w:r w:rsidR="004C74BD" w:rsidRPr="00F53C22">
        <w:rPr>
          <w:rFonts w:eastAsia="Batang"/>
        </w:rPr>
        <w:t xml:space="preserve"> базу </w:t>
      </w:r>
      <w:r w:rsidR="004C74BD">
        <w:rPr>
          <w:rFonts w:eastAsia="Batang"/>
        </w:rPr>
        <w:t>таким образом, чтобы</w:t>
      </w:r>
      <w:r w:rsidR="004C74BD" w:rsidRPr="00F53C22">
        <w:rPr>
          <w:rFonts w:eastAsia="Batang"/>
        </w:rPr>
        <w:t xml:space="preserve"> </w:t>
      </w:r>
      <w:r w:rsidR="004C74BD">
        <w:rPr>
          <w:rFonts w:eastAsia="Batang"/>
        </w:rPr>
        <w:t xml:space="preserve">учитывать все </w:t>
      </w:r>
      <w:r w:rsidR="004C74BD" w:rsidRPr="00F53C22">
        <w:rPr>
          <w:rFonts w:eastAsia="Batang"/>
        </w:rPr>
        <w:t>возможны</w:t>
      </w:r>
      <w:r w:rsidR="004C74BD">
        <w:rPr>
          <w:rFonts w:eastAsia="Batang"/>
        </w:rPr>
        <w:t>е</w:t>
      </w:r>
      <w:r w:rsidR="004C74BD" w:rsidRPr="00F53C22">
        <w:rPr>
          <w:rFonts w:eastAsia="Batang"/>
        </w:rPr>
        <w:t xml:space="preserve"> сценари</w:t>
      </w:r>
      <w:r w:rsidR="004C74BD">
        <w:rPr>
          <w:rFonts w:eastAsia="Batang"/>
        </w:rPr>
        <w:t>и</w:t>
      </w:r>
      <w:r w:rsidR="004C74BD" w:rsidRPr="00F53C22">
        <w:rPr>
          <w:rFonts w:eastAsia="Batang"/>
        </w:rPr>
        <w:t xml:space="preserve"> помех </w:t>
      </w:r>
      <w:r w:rsidR="004C74BD">
        <w:rPr>
          <w:rFonts w:eastAsia="Batang"/>
        </w:rPr>
        <w:t>в целях</w:t>
      </w:r>
      <w:r w:rsidR="004C74BD" w:rsidRPr="00F53C22">
        <w:rPr>
          <w:rFonts w:eastAsia="Batang"/>
        </w:rPr>
        <w:t xml:space="preserve"> защиты своих действующих служб. Анализ включает координацию между их системами и системами, используемыми соседними с ними странами. Этот процесс приведет к появлению дополнительного бремени </w:t>
      </w:r>
      <w:r w:rsidR="004C74BD">
        <w:rPr>
          <w:rFonts w:eastAsia="Batang"/>
        </w:rPr>
        <w:t xml:space="preserve">в виде </w:t>
      </w:r>
      <w:r w:rsidR="004C74BD" w:rsidRPr="00F53C22">
        <w:rPr>
          <w:rFonts w:eastAsia="Batang"/>
        </w:rPr>
        <w:t>времен</w:t>
      </w:r>
      <w:r w:rsidR="004C74BD">
        <w:rPr>
          <w:rFonts w:eastAsia="Batang"/>
        </w:rPr>
        <w:t>ных</w:t>
      </w:r>
      <w:r w:rsidR="004C74BD" w:rsidRPr="00F53C22">
        <w:rPr>
          <w:rFonts w:eastAsia="Batang"/>
        </w:rPr>
        <w:t xml:space="preserve"> и</w:t>
      </w:r>
      <w:r w:rsidR="004C74BD">
        <w:rPr>
          <w:rFonts w:eastAsia="Batang"/>
        </w:rPr>
        <w:t xml:space="preserve"> денежных издержек</w:t>
      </w:r>
      <w:r w:rsidR="004C74BD" w:rsidRPr="00F53C22">
        <w:rPr>
          <w:rFonts w:eastAsia="Batang"/>
        </w:rPr>
        <w:t xml:space="preserve"> в зависимости от технических сценариев, не говоря уже о необходимости дальнейшего планирования спектра, </w:t>
      </w:r>
      <w:r w:rsidR="004C74BD">
        <w:rPr>
          <w:rFonts w:eastAsia="Batang"/>
        </w:rPr>
        <w:t>с тем чтобы</w:t>
      </w:r>
      <w:r w:rsidR="004C74BD" w:rsidRPr="00F53C22">
        <w:rPr>
          <w:rFonts w:eastAsia="Batang"/>
        </w:rPr>
        <w:t xml:space="preserve"> избежать ограничений для будущего развития сетей ФСС и ФС.</w:t>
      </w:r>
    </w:p>
    <w:bookmarkEnd w:id="17"/>
    <w:p w14:paraId="7151B566" w14:textId="6A112CF9" w:rsidR="003B46C4" w:rsidRDefault="00C67A6E" w:rsidP="00E718D2">
      <w:pPr>
        <w:pStyle w:val="enumlev1"/>
      </w:pPr>
      <w:r w:rsidRPr="00275DA2">
        <w:t>5)</w:t>
      </w:r>
      <w:r w:rsidRPr="00275DA2">
        <w:tab/>
      </w:r>
      <w:bookmarkStart w:id="18" w:name="lt_pId061"/>
      <w:r w:rsidR="004C74BD" w:rsidRPr="00D559E2">
        <w:rPr>
          <w:rFonts w:eastAsia="Batang"/>
        </w:rPr>
        <w:t xml:space="preserve">Признание важности </w:t>
      </w:r>
      <w:r w:rsidR="004C74BD">
        <w:rPr>
          <w:rFonts w:eastAsia="Batang"/>
        </w:rPr>
        <w:t xml:space="preserve">Приложения </w:t>
      </w:r>
      <w:r w:rsidR="004C74BD" w:rsidRPr="00D559E2">
        <w:rPr>
          <w:rFonts w:eastAsia="Batang"/>
          <w:b/>
          <w:bCs/>
        </w:rPr>
        <w:t>30</w:t>
      </w:r>
      <w:r w:rsidR="004C74BD">
        <w:rPr>
          <w:rFonts w:eastAsia="Batang"/>
          <w:b/>
          <w:bCs/>
          <w:lang w:val="en-GB"/>
        </w:rPr>
        <w:t>B</w:t>
      </w:r>
      <w:r w:rsidR="004C74BD" w:rsidRPr="00D559E2">
        <w:rPr>
          <w:rFonts w:eastAsia="Batang"/>
        </w:rPr>
        <w:t xml:space="preserve"> и </w:t>
      </w:r>
      <w:r w:rsidR="004C74BD">
        <w:rPr>
          <w:rFonts w:eastAsia="Batang"/>
        </w:rPr>
        <w:t>его</w:t>
      </w:r>
      <w:r w:rsidR="004C74BD" w:rsidRPr="00D559E2">
        <w:rPr>
          <w:rFonts w:eastAsia="Batang"/>
        </w:rPr>
        <w:t xml:space="preserve"> защита рассматрива</w:t>
      </w:r>
      <w:r w:rsidR="004C74BD">
        <w:rPr>
          <w:rFonts w:eastAsia="Batang"/>
        </w:rPr>
        <w:t>ю</w:t>
      </w:r>
      <w:r w:rsidR="004C74BD" w:rsidRPr="00D559E2">
        <w:rPr>
          <w:rFonts w:eastAsia="Batang"/>
        </w:rPr>
        <w:t xml:space="preserve">тся в качестве одного из основных </w:t>
      </w:r>
      <w:r w:rsidR="004C74BD">
        <w:rPr>
          <w:rFonts w:eastAsia="Batang"/>
        </w:rPr>
        <w:t>факторов</w:t>
      </w:r>
      <w:r w:rsidR="004C74BD" w:rsidRPr="00D559E2">
        <w:rPr>
          <w:rFonts w:eastAsia="Batang"/>
        </w:rPr>
        <w:t xml:space="preserve">, позволяющих использовать новые технологии в полосе частот </w:t>
      </w:r>
      <w:r w:rsidR="004C74BD" w:rsidRPr="00D559E2">
        <w:rPr>
          <w:rFonts w:eastAsia="BatangChe"/>
          <w:szCs w:val="24"/>
        </w:rPr>
        <w:t>6725−7025</w:t>
      </w:r>
      <w:r w:rsidR="004C74BD">
        <w:rPr>
          <w:rFonts w:eastAsia="BatangChe"/>
          <w:szCs w:val="24"/>
          <w:lang w:val="en-GB"/>
        </w:rPr>
        <w:t> </w:t>
      </w:r>
      <w:r w:rsidR="004C74BD">
        <w:rPr>
          <w:rFonts w:eastAsia="BatangChe"/>
          <w:szCs w:val="24"/>
        </w:rPr>
        <w:t>МГц</w:t>
      </w:r>
      <w:r w:rsidR="004C74BD" w:rsidRPr="00D559E2">
        <w:rPr>
          <w:rFonts w:eastAsia="Batang"/>
        </w:rPr>
        <w:t xml:space="preserve">. Несмотря на то что сторонники </w:t>
      </w:r>
      <w:r w:rsidR="004C74BD">
        <w:rPr>
          <w:rFonts w:eastAsia="Batang"/>
          <w:lang w:val="en-GB"/>
        </w:rPr>
        <w:t>IMT</w:t>
      </w:r>
      <w:r w:rsidR="004C74BD" w:rsidRPr="00D559E2">
        <w:rPr>
          <w:rFonts w:eastAsia="Batang"/>
        </w:rPr>
        <w:t xml:space="preserve"> </w:t>
      </w:r>
      <w:r w:rsidR="004C74BD">
        <w:rPr>
          <w:rFonts w:eastAsia="Batang"/>
        </w:rPr>
        <w:t>подчеркивают преимущества</w:t>
      </w:r>
      <w:r w:rsidR="004C74BD" w:rsidRPr="00D559E2">
        <w:rPr>
          <w:rFonts w:eastAsia="Batang"/>
        </w:rPr>
        <w:t xml:space="preserve"> </w:t>
      </w:r>
      <w:r w:rsidR="004C74BD">
        <w:rPr>
          <w:rFonts w:eastAsia="Batang"/>
          <w:lang w:val="en-GB"/>
        </w:rPr>
        <w:t>IMT</w:t>
      </w:r>
      <w:r w:rsidR="004C74BD" w:rsidRPr="00D559E2">
        <w:rPr>
          <w:rFonts w:eastAsia="Batang"/>
        </w:rPr>
        <w:t xml:space="preserve">, </w:t>
      </w:r>
      <w:r w:rsidR="004C74BD">
        <w:rPr>
          <w:rFonts w:eastAsia="Batang"/>
        </w:rPr>
        <w:t xml:space="preserve">при этом </w:t>
      </w:r>
      <w:r w:rsidR="004C74BD" w:rsidRPr="00D559E2">
        <w:rPr>
          <w:rFonts w:eastAsia="Batang"/>
        </w:rPr>
        <w:t>защита ФСС не гарантируется</w:t>
      </w:r>
      <w:r w:rsidR="004C74BD">
        <w:rPr>
          <w:rFonts w:eastAsia="Batang"/>
        </w:rPr>
        <w:t>, что</w:t>
      </w:r>
      <w:r w:rsidR="004C74BD" w:rsidRPr="00D559E2">
        <w:rPr>
          <w:rFonts w:eastAsia="Batang"/>
        </w:rPr>
        <w:t xml:space="preserve"> </w:t>
      </w:r>
      <w:r w:rsidR="004C74BD">
        <w:rPr>
          <w:rFonts w:eastAsia="Batang"/>
        </w:rPr>
        <w:t xml:space="preserve">может </w:t>
      </w:r>
      <w:r w:rsidR="004C74BD" w:rsidRPr="00D559E2">
        <w:rPr>
          <w:rFonts w:eastAsia="Batang"/>
        </w:rPr>
        <w:t>поставит</w:t>
      </w:r>
      <w:r w:rsidR="004C74BD">
        <w:rPr>
          <w:rFonts w:eastAsia="Batang"/>
        </w:rPr>
        <w:t>ь</w:t>
      </w:r>
      <w:r w:rsidR="004C74BD" w:rsidRPr="00D559E2">
        <w:rPr>
          <w:rFonts w:eastAsia="Batang"/>
        </w:rPr>
        <w:t xml:space="preserve"> под угрозу международные усилия по обеспечению надежн</w:t>
      </w:r>
      <w:r w:rsidR="004C74BD">
        <w:rPr>
          <w:rFonts w:eastAsia="Batang"/>
        </w:rPr>
        <w:t>ого обслуживания</w:t>
      </w:r>
      <w:r w:rsidR="004C74BD" w:rsidRPr="00D559E2">
        <w:rPr>
          <w:rFonts w:eastAsia="Batang"/>
        </w:rPr>
        <w:t>, позволяюще</w:t>
      </w:r>
      <w:r w:rsidR="004C74BD">
        <w:rPr>
          <w:rFonts w:eastAsia="Batang"/>
        </w:rPr>
        <w:t>го</w:t>
      </w:r>
      <w:r w:rsidR="004C74BD" w:rsidRPr="00D559E2">
        <w:rPr>
          <w:rFonts w:eastAsia="Batang"/>
        </w:rPr>
        <w:t xml:space="preserve"> </w:t>
      </w:r>
      <w:r w:rsidR="004C74BD">
        <w:rPr>
          <w:rFonts w:eastAsia="Batang"/>
        </w:rPr>
        <w:t xml:space="preserve">внедрять </w:t>
      </w:r>
      <w:r w:rsidR="004C74BD" w:rsidRPr="00D559E2">
        <w:rPr>
          <w:rFonts w:eastAsia="Batang"/>
        </w:rPr>
        <w:t>важнейшие применения, которые не могут быть заменены полосами более высоких частот, более чувствительны</w:t>
      </w:r>
      <w:r w:rsidR="004C74BD">
        <w:rPr>
          <w:rFonts w:eastAsia="Batang"/>
        </w:rPr>
        <w:t>х</w:t>
      </w:r>
      <w:r w:rsidR="004C74BD" w:rsidRPr="00D559E2">
        <w:rPr>
          <w:rFonts w:eastAsia="Batang"/>
        </w:rPr>
        <w:t xml:space="preserve"> к затуханию в атмосфере из-за дождя, </w:t>
      </w:r>
      <w:r w:rsidR="004C74BD" w:rsidRPr="00D559E2">
        <w:rPr>
          <w:rFonts w:eastAsia="Calibri"/>
          <w:iCs/>
          <w:szCs w:val="24"/>
        </w:rPr>
        <w:t xml:space="preserve">и </w:t>
      </w:r>
      <w:r w:rsidR="004C74BD" w:rsidRPr="00D559E2">
        <w:rPr>
          <w:rFonts w:eastAsia="Batang"/>
        </w:rPr>
        <w:t>используе</w:t>
      </w:r>
      <w:r w:rsidR="004C74BD">
        <w:rPr>
          <w:rFonts w:eastAsia="Batang"/>
        </w:rPr>
        <w:t>мого</w:t>
      </w:r>
      <w:r w:rsidR="004C74BD" w:rsidRPr="00D559E2">
        <w:rPr>
          <w:rFonts w:eastAsia="Batang"/>
        </w:rPr>
        <w:t xml:space="preserve"> для обеспечения возможности установления соединений не только для городских и пригородных, но и для сельских районов, где услуги связи являются важнейшим </w:t>
      </w:r>
      <w:r w:rsidR="004C74BD">
        <w:rPr>
          <w:rFonts w:eastAsia="Batang"/>
        </w:rPr>
        <w:t xml:space="preserve">трансформационным </w:t>
      </w:r>
      <w:r w:rsidR="004C74BD" w:rsidRPr="00D559E2">
        <w:rPr>
          <w:rFonts w:eastAsia="Batang"/>
        </w:rPr>
        <w:t xml:space="preserve">инструментом для создания сценариев, </w:t>
      </w:r>
      <w:r w:rsidR="004C74BD">
        <w:rPr>
          <w:rFonts w:eastAsia="Batang"/>
        </w:rPr>
        <w:t>приносящих пользу</w:t>
      </w:r>
      <w:r w:rsidR="004C74BD" w:rsidRPr="00D559E2">
        <w:rPr>
          <w:rFonts w:eastAsia="Batang"/>
        </w:rPr>
        <w:t xml:space="preserve"> сельским обществам.</w:t>
      </w:r>
    </w:p>
    <w:bookmarkEnd w:id="18"/>
    <w:p w14:paraId="66A8F8CC" w14:textId="77777777" w:rsidR="00C67A6E" w:rsidRPr="004C74BD" w:rsidRDefault="00C67A6E" w:rsidP="004C74BD">
      <w:pPr>
        <w:pStyle w:val="enumlev1"/>
        <w:rPr>
          <w:rFonts w:eastAsia="Calibri"/>
          <w:iCs/>
          <w:szCs w:val="24"/>
        </w:rPr>
      </w:pPr>
      <w:r w:rsidRPr="00FC7667">
        <w:t>6)</w:t>
      </w:r>
      <w:r w:rsidRPr="00FC7667">
        <w:tab/>
      </w:r>
      <w:bookmarkStart w:id="19" w:name="lt_pId064"/>
      <w:r w:rsidR="004C74BD" w:rsidRPr="00910384">
        <w:rPr>
          <w:rFonts w:eastAsia="Calibri"/>
          <w:iCs/>
          <w:szCs w:val="24"/>
        </w:rPr>
        <w:t xml:space="preserve">Измерения температуры поверхности </w:t>
      </w:r>
      <w:r w:rsidR="004C74BD">
        <w:rPr>
          <w:rFonts w:eastAsia="Calibri"/>
          <w:iCs/>
          <w:szCs w:val="24"/>
        </w:rPr>
        <w:t xml:space="preserve">моря </w:t>
      </w:r>
      <w:r w:rsidR="004C74BD" w:rsidRPr="00910384">
        <w:rPr>
          <w:rFonts w:eastAsia="Calibri"/>
          <w:iCs/>
          <w:szCs w:val="24"/>
        </w:rPr>
        <w:t xml:space="preserve">оказывают </w:t>
      </w:r>
      <w:r w:rsidR="004C74BD">
        <w:rPr>
          <w:rFonts w:eastAsia="Calibri"/>
          <w:iCs/>
          <w:szCs w:val="24"/>
        </w:rPr>
        <w:t>большое</w:t>
      </w:r>
      <w:r w:rsidR="004C74BD" w:rsidRPr="00910384">
        <w:rPr>
          <w:rFonts w:eastAsia="Calibri"/>
          <w:iCs/>
          <w:szCs w:val="24"/>
        </w:rPr>
        <w:t xml:space="preserve"> </w:t>
      </w:r>
      <w:r w:rsidR="004C74BD">
        <w:rPr>
          <w:rFonts w:eastAsia="Calibri"/>
          <w:iCs/>
          <w:szCs w:val="24"/>
        </w:rPr>
        <w:t>влияние</w:t>
      </w:r>
      <w:r w:rsidR="004C74BD" w:rsidRPr="00910384">
        <w:rPr>
          <w:rFonts w:eastAsia="Calibri"/>
          <w:iCs/>
          <w:szCs w:val="24"/>
        </w:rPr>
        <w:t xml:space="preserve"> на метеорологические измерения, </w:t>
      </w:r>
      <w:r w:rsidR="004C74BD">
        <w:rPr>
          <w:rFonts w:eastAsia="Calibri"/>
          <w:iCs/>
          <w:szCs w:val="24"/>
        </w:rPr>
        <w:t>необходимые</w:t>
      </w:r>
      <w:r w:rsidR="004C74BD" w:rsidRPr="00910384">
        <w:rPr>
          <w:rFonts w:eastAsia="Calibri"/>
          <w:iCs/>
          <w:szCs w:val="24"/>
        </w:rPr>
        <w:t xml:space="preserve"> для </w:t>
      </w:r>
      <w:r w:rsidR="004C74BD">
        <w:rPr>
          <w:rFonts w:eastAsia="Calibri"/>
          <w:iCs/>
          <w:szCs w:val="24"/>
        </w:rPr>
        <w:t xml:space="preserve">обеспечения </w:t>
      </w:r>
      <w:r w:rsidR="004C74BD" w:rsidRPr="00910384">
        <w:rPr>
          <w:rFonts w:eastAsia="Calibri"/>
          <w:iCs/>
          <w:szCs w:val="24"/>
        </w:rPr>
        <w:t xml:space="preserve">защиты человеческой жизни </w:t>
      </w:r>
      <w:r w:rsidR="004C74BD">
        <w:rPr>
          <w:rFonts w:eastAsia="Calibri"/>
          <w:iCs/>
          <w:szCs w:val="24"/>
        </w:rPr>
        <w:t>в случае</w:t>
      </w:r>
      <w:r w:rsidR="004C74BD" w:rsidRPr="00910384">
        <w:rPr>
          <w:rFonts w:eastAsia="Calibri"/>
          <w:iCs/>
          <w:szCs w:val="24"/>
        </w:rPr>
        <w:t xml:space="preserve"> </w:t>
      </w:r>
      <w:r w:rsidR="004C74BD">
        <w:rPr>
          <w:rFonts w:eastAsia="Calibri"/>
          <w:iCs/>
          <w:szCs w:val="24"/>
        </w:rPr>
        <w:t>опасных</w:t>
      </w:r>
      <w:r w:rsidR="004C74BD" w:rsidRPr="00910384">
        <w:rPr>
          <w:rFonts w:eastAsia="Calibri"/>
          <w:iCs/>
          <w:szCs w:val="24"/>
        </w:rPr>
        <w:t xml:space="preserve"> климатических явлений. Развертывание </w:t>
      </w:r>
      <w:r w:rsidR="004C74BD">
        <w:rPr>
          <w:rFonts w:eastAsia="Calibri"/>
          <w:iCs/>
          <w:szCs w:val="24"/>
          <w:lang w:val="en-US"/>
        </w:rPr>
        <w:t>IMT</w:t>
      </w:r>
      <w:r w:rsidR="004C74BD" w:rsidRPr="00910384">
        <w:rPr>
          <w:rFonts w:eastAsia="Calibri"/>
          <w:iCs/>
          <w:szCs w:val="24"/>
        </w:rPr>
        <w:t xml:space="preserve"> </w:t>
      </w:r>
      <w:r w:rsidR="004C74BD">
        <w:rPr>
          <w:rFonts w:eastAsia="Calibri"/>
          <w:iCs/>
          <w:szCs w:val="24"/>
        </w:rPr>
        <w:t>серьезным образом скажется</w:t>
      </w:r>
      <w:r w:rsidR="004C74BD" w:rsidRPr="00910384">
        <w:rPr>
          <w:rFonts w:eastAsia="Calibri"/>
          <w:iCs/>
          <w:szCs w:val="24"/>
        </w:rPr>
        <w:t xml:space="preserve"> на эти</w:t>
      </w:r>
      <w:r w:rsidR="004C74BD">
        <w:rPr>
          <w:rFonts w:eastAsia="Calibri"/>
          <w:iCs/>
          <w:szCs w:val="24"/>
        </w:rPr>
        <w:t>х</w:t>
      </w:r>
      <w:r w:rsidR="004C74BD" w:rsidRPr="00910384">
        <w:rPr>
          <w:rFonts w:eastAsia="Calibri"/>
          <w:iCs/>
          <w:szCs w:val="24"/>
        </w:rPr>
        <w:t xml:space="preserve"> измерения</w:t>
      </w:r>
      <w:r w:rsidR="004C74BD">
        <w:rPr>
          <w:rFonts w:eastAsia="Calibri"/>
          <w:iCs/>
          <w:szCs w:val="24"/>
        </w:rPr>
        <w:t>х</w:t>
      </w:r>
      <w:r w:rsidR="004C74BD" w:rsidRPr="00910384">
        <w:rPr>
          <w:rFonts w:eastAsia="Calibri"/>
          <w:iCs/>
          <w:szCs w:val="24"/>
        </w:rPr>
        <w:t xml:space="preserve"> в местах, расположенных на расстояни</w:t>
      </w:r>
      <w:r w:rsidR="004C74BD">
        <w:rPr>
          <w:rFonts w:eastAsia="Calibri"/>
          <w:iCs/>
          <w:szCs w:val="24"/>
        </w:rPr>
        <w:t xml:space="preserve">и вплоть </w:t>
      </w:r>
      <w:r w:rsidR="004C74BD" w:rsidRPr="00910384">
        <w:rPr>
          <w:rFonts w:eastAsia="Calibri"/>
          <w:iCs/>
          <w:szCs w:val="24"/>
        </w:rPr>
        <w:t xml:space="preserve">до нескольких тысяч километров от побережья. Следовательно, в первую очередь следует изучить альтернативные полосы для </w:t>
      </w:r>
      <w:r w:rsidR="004C74BD">
        <w:rPr>
          <w:rFonts w:eastAsia="Calibri"/>
          <w:iCs/>
          <w:szCs w:val="24"/>
        </w:rPr>
        <w:t xml:space="preserve">измерения </w:t>
      </w:r>
      <w:r w:rsidR="004C74BD" w:rsidRPr="00910384">
        <w:rPr>
          <w:rFonts w:eastAsia="Calibri"/>
          <w:iCs/>
          <w:szCs w:val="24"/>
        </w:rPr>
        <w:t xml:space="preserve">температуры поверхности моря, которые будут </w:t>
      </w:r>
      <w:r w:rsidR="004C74BD">
        <w:rPr>
          <w:rFonts w:eastAsia="Calibri"/>
          <w:iCs/>
          <w:szCs w:val="24"/>
        </w:rPr>
        <w:t>обладать</w:t>
      </w:r>
      <w:r w:rsidR="004C74BD" w:rsidRPr="00910384">
        <w:rPr>
          <w:rFonts w:eastAsia="Calibri"/>
          <w:iCs/>
          <w:szCs w:val="24"/>
        </w:rPr>
        <w:t xml:space="preserve"> лучшими </w:t>
      </w:r>
      <w:r w:rsidR="004C74BD">
        <w:rPr>
          <w:rFonts w:eastAsia="Calibri"/>
          <w:iCs/>
          <w:szCs w:val="24"/>
        </w:rPr>
        <w:t>характеристиками</w:t>
      </w:r>
      <w:r w:rsidR="004C74BD" w:rsidRPr="00910384">
        <w:rPr>
          <w:rFonts w:eastAsia="Calibri"/>
          <w:iCs/>
          <w:szCs w:val="24"/>
        </w:rPr>
        <w:t xml:space="preserve"> сосуществования.</w:t>
      </w:r>
      <w:bookmarkEnd w:id="19"/>
    </w:p>
    <w:p w14:paraId="7B5D95EE" w14:textId="6CD8DBA3" w:rsidR="008F5607" w:rsidRPr="008F5607" w:rsidRDefault="00C67A6E" w:rsidP="008F5607">
      <w:pPr>
        <w:pStyle w:val="enumlev1"/>
      </w:pPr>
      <w:r w:rsidRPr="008F5607">
        <w:t>7)</w:t>
      </w:r>
      <w:r w:rsidRPr="008F5607">
        <w:tab/>
      </w:r>
      <w:bookmarkStart w:id="20" w:name="lt_pId068"/>
      <w:r w:rsidR="008F5607">
        <w:t xml:space="preserve">Что </w:t>
      </w:r>
      <w:r w:rsidR="004C74BD">
        <w:rPr>
          <w:rFonts w:eastAsia="Calibri"/>
          <w:iCs/>
          <w:szCs w:val="24"/>
        </w:rPr>
        <w:t>в позиции</w:t>
      </w:r>
      <w:r w:rsidR="004C74BD" w:rsidRPr="008E66E0">
        <w:rPr>
          <w:rFonts w:eastAsia="Calibri"/>
          <w:iCs/>
          <w:szCs w:val="24"/>
        </w:rPr>
        <w:t xml:space="preserve"> ИКАО в отношении использования</w:t>
      </w:r>
      <w:r w:rsidR="004C74BD" w:rsidRPr="008E66E0">
        <w:rPr>
          <w:rFonts w:eastAsia="Batang"/>
        </w:rPr>
        <w:t xml:space="preserve"> </w:t>
      </w:r>
      <w:r w:rsidR="004C74BD">
        <w:rPr>
          <w:lang w:eastAsia="en-GB"/>
        </w:rPr>
        <w:t>полосы частот</w:t>
      </w:r>
      <w:r w:rsidR="004C74BD" w:rsidRPr="008E66E0">
        <w:rPr>
          <w:lang w:eastAsia="en-GB"/>
        </w:rPr>
        <w:t xml:space="preserve"> </w:t>
      </w:r>
      <w:r w:rsidR="004C74BD" w:rsidRPr="008E66E0">
        <w:rPr>
          <w:rFonts w:eastAsia="Calibri"/>
          <w:iCs/>
          <w:szCs w:val="24"/>
        </w:rPr>
        <w:t>6425–6575</w:t>
      </w:r>
      <w:r w:rsidR="004C74BD">
        <w:rPr>
          <w:rFonts w:eastAsia="Calibri"/>
          <w:iCs/>
          <w:szCs w:val="24"/>
          <w:lang w:val="en-GB"/>
        </w:rPr>
        <w:t> </w:t>
      </w:r>
      <w:r w:rsidR="004C74BD">
        <w:rPr>
          <w:rFonts w:eastAsia="Calibri"/>
          <w:iCs/>
          <w:szCs w:val="24"/>
        </w:rPr>
        <w:t>МГц</w:t>
      </w:r>
      <w:r w:rsidR="00A643A8">
        <w:rPr>
          <w:rFonts w:eastAsia="Calibri"/>
          <w:iCs/>
          <w:szCs w:val="24"/>
        </w:rPr>
        <w:t xml:space="preserve"> в </w:t>
      </w:r>
      <w:r w:rsidR="004C74BD" w:rsidRPr="008E66E0">
        <w:rPr>
          <w:rFonts w:eastAsia="Calibri"/>
          <w:iCs/>
          <w:szCs w:val="24"/>
        </w:rPr>
        <w:t xml:space="preserve">Районе 1 </w:t>
      </w:r>
      <w:r w:rsidR="004C74BD">
        <w:rPr>
          <w:rFonts w:eastAsia="Calibri"/>
          <w:iCs/>
          <w:szCs w:val="24"/>
        </w:rPr>
        <w:t>указывается</w:t>
      </w:r>
      <w:r w:rsidR="004C74BD" w:rsidRPr="008E66E0">
        <w:rPr>
          <w:rFonts w:eastAsia="Calibri"/>
          <w:iCs/>
          <w:szCs w:val="24"/>
        </w:rPr>
        <w:t xml:space="preserve"> </w:t>
      </w:r>
      <w:r w:rsidR="004C74BD">
        <w:rPr>
          <w:rFonts w:eastAsia="Calibri"/>
          <w:iCs/>
          <w:szCs w:val="24"/>
        </w:rPr>
        <w:t>на</w:t>
      </w:r>
      <w:r w:rsidR="004C74BD" w:rsidRPr="008E66E0">
        <w:rPr>
          <w:rFonts w:eastAsia="Calibri"/>
          <w:iCs/>
          <w:szCs w:val="24"/>
        </w:rPr>
        <w:t xml:space="preserve"> необходимост</w:t>
      </w:r>
      <w:r w:rsidR="004C74BD">
        <w:rPr>
          <w:rFonts w:eastAsia="Calibri"/>
          <w:iCs/>
          <w:szCs w:val="24"/>
        </w:rPr>
        <w:t>ь внедрения</w:t>
      </w:r>
      <w:r w:rsidR="004C74BD" w:rsidRPr="008E66E0">
        <w:rPr>
          <w:rFonts w:eastAsia="Calibri"/>
          <w:iCs/>
          <w:szCs w:val="24"/>
        </w:rPr>
        <w:t xml:space="preserve"> регламентарных положений для защиты линий вверх ФСС, с тем чтобы продолжать использование сетей ГСО ФСС для предоставления </w:t>
      </w:r>
      <w:r w:rsidR="004C74BD">
        <w:rPr>
          <w:rFonts w:eastAsia="Calibri"/>
          <w:iCs/>
          <w:szCs w:val="24"/>
        </w:rPr>
        <w:t>авиационного обслуживания</w:t>
      </w:r>
      <w:r w:rsidR="004C74BD" w:rsidRPr="008E66E0">
        <w:rPr>
          <w:rFonts w:eastAsia="Calibri"/>
          <w:iCs/>
          <w:szCs w:val="24"/>
        </w:rPr>
        <w:t xml:space="preserve">, </w:t>
      </w:r>
      <w:r w:rsidR="004C74BD">
        <w:rPr>
          <w:rFonts w:eastAsia="Calibri"/>
          <w:iCs/>
          <w:szCs w:val="24"/>
        </w:rPr>
        <w:t xml:space="preserve">так </w:t>
      </w:r>
      <w:r w:rsidR="004C74BD" w:rsidRPr="008E66E0">
        <w:rPr>
          <w:rFonts w:eastAsia="Calibri"/>
          <w:iCs/>
          <w:szCs w:val="24"/>
        </w:rPr>
        <w:t xml:space="preserve">как любые помехи фидерным линиям вверх ПСС в </w:t>
      </w:r>
      <w:r w:rsidR="004C74BD">
        <w:rPr>
          <w:rFonts w:eastAsia="Calibri"/>
          <w:iCs/>
          <w:szCs w:val="24"/>
        </w:rPr>
        <w:t>п</w:t>
      </w:r>
      <w:r w:rsidR="004C74BD" w:rsidRPr="008E66E0">
        <w:rPr>
          <w:rFonts w:eastAsia="Calibri"/>
          <w:iCs/>
          <w:szCs w:val="24"/>
        </w:rPr>
        <w:t>олосе частот 6425−6575</w:t>
      </w:r>
      <w:r w:rsidR="004C74BD">
        <w:rPr>
          <w:rFonts w:eastAsia="Calibri"/>
          <w:iCs/>
          <w:szCs w:val="24"/>
          <w:lang w:val="en-GB"/>
        </w:rPr>
        <w:t> </w:t>
      </w:r>
      <w:r w:rsidR="004C74BD">
        <w:rPr>
          <w:rFonts w:eastAsia="Calibri"/>
          <w:iCs/>
          <w:szCs w:val="24"/>
        </w:rPr>
        <w:t>МГц</w:t>
      </w:r>
      <w:r w:rsidR="004C74BD" w:rsidRPr="008E66E0">
        <w:rPr>
          <w:rFonts w:eastAsia="Calibri"/>
          <w:iCs/>
          <w:szCs w:val="24"/>
        </w:rPr>
        <w:t xml:space="preserve"> мо</w:t>
      </w:r>
      <w:r w:rsidR="004C74BD">
        <w:rPr>
          <w:rFonts w:eastAsia="Calibri"/>
          <w:iCs/>
          <w:szCs w:val="24"/>
        </w:rPr>
        <w:t>гут</w:t>
      </w:r>
      <w:r w:rsidR="004C74BD" w:rsidRPr="008E66E0">
        <w:rPr>
          <w:rFonts w:eastAsia="Calibri"/>
          <w:iCs/>
          <w:szCs w:val="24"/>
        </w:rPr>
        <w:t xml:space="preserve"> поставить под угрозу </w:t>
      </w:r>
      <w:r w:rsidR="004C74BD">
        <w:rPr>
          <w:rFonts w:eastAsia="Calibri"/>
          <w:iCs/>
          <w:szCs w:val="24"/>
        </w:rPr>
        <w:t xml:space="preserve">производство полетов </w:t>
      </w:r>
      <w:r w:rsidR="004C74BD" w:rsidRPr="008E66E0">
        <w:rPr>
          <w:rFonts w:eastAsia="Calibri"/>
          <w:iCs/>
          <w:szCs w:val="24"/>
        </w:rPr>
        <w:t>воздушных судов. Администрации, подпис</w:t>
      </w:r>
      <w:r w:rsidR="004C74BD">
        <w:rPr>
          <w:rFonts w:eastAsia="Calibri"/>
          <w:iCs/>
          <w:szCs w:val="24"/>
        </w:rPr>
        <w:t xml:space="preserve">авшие настоящий вклад, </w:t>
      </w:r>
      <w:r w:rsidR="004C74BD" w:rsidRPr="008E66E0">
        <w:rPr>
          <w:rFonts w:eastAsia="Calibri"/>
          <w:iCs/>
          <w:szCs w:val="24"/>
        </w:rPr>
        <w:t xml:space="preserve">и другие администрации считают, что системы ФСС, используемые для национальных чрезвычайных ситуаций и </w:t>
      </w:r>
      <w:r w:rsidR="004C74BD">
        <w:rPr>
          <w:rFonts w:eastAsia="Calibri"/>
          <w:iCs/>
          <w:szCs w:val="24"/>
        </w:rPr>
        <w:t xml:space="preserve">при </w:t>
      </w:r>
      <w:r w:rsidR="004C74BD" w:rsidRPr="008E66E0">
        <w:rPr>
          <w:rFonts w:eastAsia="Calibri"/>
          <w:iCs/>
          <w:szCs w:val="24"/>
        </w:rPr>
        <w:t>бедстви</w:t>
      </w:r>
      <w:r w:rsidR="004C74BD">
        <w:rPr>
          <w:rFonts w:eastAsia="Calibri"/>
          <w:iCs/>
          <w:szCs w:val="24"/>
        </w:rPr>
        <w:t>ях в воздушном пространстве</w:t>
      </w:r>
      <w:r w:rsidR="004C74BD" w:rsidRPr="008E66E0">
        <w:rPr>
          <w:rFonts w:eastAsia="Calibri"/>
          <w:iCs/>
          <w:szCs w:val="24"/>
        </w:rPr>
        <w:t>, не могут быть поставлены под угрозу</w:t>
      </w:r>
      <w:r w:rsidR="0008012D">
        <w:t>.</w:t>
      </w:r>
    </w:p>
    <w:bookmarkEnd w:id="20"/>
    <w:p w14:paraId="504DB3E9" w14:textId="77777777" w:rsidR="00C67A6E" w:rsidRPr="003B6996" w:rsidRDefault="00C67A6E" w:rsidP="003B6996">
      <w:pPr>
        <w:pStyle w:val="enumlev1"/>
        <w:rPr>
          <w:rFonts w:eastAsia="MS Mincho"/>
          <w:lang w:eastAsia="ja-JP"/>
        </w:rPr>
      </w:pPr>
      <w:r w:rsidRPr="00C40D51">
        <w:t>8)</w:t>
      </w:r>
      <w:r w:rsidRPr="00C40D51">
        <w:tab/>
      </w:r>
      <w:bookmarkStart w:id="21" w:name="lt_pId071"/>
      <w:r w:rsidR="00C40D51">
        <w:rPr>
          <w:rFonts w:eastAsia="MS Mincho"/>
          <w:lang w:eastAsia="ja-JP"/>
        </w:rPr>
        <w:t>Что</w:t>
      </w:r>
      <w:r w:rsidR="00C40D51" w:rsidRPr="00C40D51">
        <w:rPr>
          <w:rFonts w:eastAsia="MS Mincho"/>
          <w:lang w:eastAsia="ja-JP"/>
        </w:rPr>
        <w:t xml:space="preserve"> ВМО не поддерживает определение </w:t>
      </w:r>
      <w:r w:rsidR="00C40D51" w:rsidRPr="00C40D51">
        <w:rPr>
          <w:rFonts w:eastAsia="MS Mincho"/>
          <w:lang w:val="en-GB" w:eastAsia="ja-JP"/>
        </w:rPr>
        <w:t>IMT</w:t>
      </w:r>
      <w:r w:rsidR="00C40D51" w:rsidRPr="00C40D51">
        <w:rPr>
          <w:rFonts w:eastAsia="MS Mincho"/>
          <w:lang w:eastAsia="ja-JP"/>
        </w:rPr>
        <w:t xml:space="preserve"> в полосах частот 6425–7025</w:t>
      </w:r>
      <w:r w:rsidR="004C74BD">
        <w:rPr>
          <w:rFonts w:eastAsia="MS Mincho"/>
          <w:lang w:eastAsia="ja-JP"/>
        </w:rPr>
        <w:t> </w:t>
      </w:r>
      <w:r w:rsidR="00C40D51" w:rsidRPr="00C40D51">
        <w:rPr>
          <w:rFonts w:eastAsia="MS Mincho"/>
          <w:lang w:eastAsia="ja-JP"/>
        </w:rPr>
        <w:t>МГц или 7025−7125</w:t>
      </w:r>
      <w:r w:rsidR="004C74BD">
        <w:rPr>
          <w:rFonts w:eastAsia="MS Mincho"/>
          <w:lang w:eastAsia="ja-JP"/>
        </w:rPr>
        <w:t> </w:t>
      </w:r>
      <w:r w:rsidR="00C40D51" w:rsidRPr="00C40D51">
        <w:rPr>
          <w:rFonts w:eastAsia="MS Mincho"/>
          <w:lang w:eastAsia="ja-JP"/>
        </w:rPr>
        <w:t xml:space="preserve">МГц. </w:t>
      </w:r>
      <w:r w:rsidR="00C40D51">
        <w:rPr>
          <w:rFonts w:eastAsia="MS Mincho"/>
          <w:lang w:eastAsia="ja-JP"/>
        </w:rPr>
        <w:t xml:space="preserve">ВМО </w:t>
      </w:r>
      <w:r w:rsidR="004C74BD">
        <w:rPr>
          <w:rFonts w:eastAsia="MS Mincho"/>
          <w:lang w:eastAsia="ja-JP"/>
        </w:rPr>
        <w:t>подчеркивала</w:t>
      </w:r>
      <w:r w:rsidR="00C40D51">
        <w:rPr>
          <w:rFonts w:eastAsia="MS Mincho"/>
          <w:lang w:eastAsia="ja-JP"/>
        </w:rPr>
        <w:t xml:space="preserve"> важность проведения измерений температуры поверхности моря </w:t>
      </w:r>
      <w:r w:rsidR="00C40D51" w:rsidRPr="00C40D51">
        <w:rPr>
          <w:rFonts w:eastAsia="MS Mincho"/>
          <w:lang w:eastAsia="ja-JP"/>
        </w:rPr>
        <w:t>(ТПМ)</w:t>
      </w:r>
      <w:r w:rsidR="004C74BD">
        <w:rPr>
          <w:rFonts w:eastAsia="MS Mincho"/>
          <w:lang w:eastAsia="ja-JP"/>
        </w:rPr>
        <w:t xml:space="preserve">, </w:t>
      </w:r>
      <w:r w:rsidR="00352FB9" w:rsidRPr="00352FB9">
        <w:rPr>
          <w:rFonts w:eastAsia="MS Mincho"/>
          <w:lang w:eastAsia="ja-JP"/>
        </w:rPr>
        <w:t xml:space="preserve">используемых для прогнозирования погоды и мониторинга климата, хотя </w:t>
      </w:r>
      <w:r w:rsidR="00352FB9">
        <w:rPr>
          <w:rFonts w:eastAsia="MS Mincho"/>
          <w:lang w:eastAsia="ja-JP"/>
        </w:rPr>
        <w:t xml:space="preserve">в </w:t>
      </w:r>
      <w:r w:rsidR="004C74BD">
        <w:rPr>
          <w:rFonts w:eastAsia="MS Mincho"/>
          <w:lang w:eastAsia="ja-JP"/>
        </w:rPr>
        <w:t>примечании в</w:t>
      </w:r>
      <w:r w:rsidR="00352FB9">
        <w:rPr>
          <w:rFonts w:eastAsia="MS Mincho"/>
          <w:lang w:eastAsia="ja-JP"/>
        </w:rPr>
        <w:t xml:space="preserve"> </w:t>
      </w:r>
      <w:r w:rsidR="00352FB9" w:rsidRPr="00352FB9">
        <w:rPr>
          <w:rFonts w:eastAsia="MS Mincho"/>
          <w:lang w:eastAsia="ja-JP"/>
        </w:rPr>
        <w:t xml:space="preserve">п. </w:t>
      </w:r>
      <w:r w:rsidR="00352FB9" w:rsidRPr="009A22D9">
        <w:rPr>
          <w:rFonts w:eastAsia="MS Mincho"/>
          <w:b/>
          <w:lang w:eastAsia="ja-JP"/>
        </w:rPr>
        <w:t>5.458</w:t>
      </w:r>
      <w:r w:rsidR="003B6996">
        <w:rPr>
          <w:rFonts w:eastAsia="MS Mincho"/>
          <w:b/>
          <w:lang w:eastAsia="ja-JP"/>
        </w:rPr>
        <w:t xml:space="preserve"> </w:t>
      </w:r>
      <w:r w:rsidR="003B6996">
        <w:rPr>
          <w:rFonts w:eastAsia="MS Mincho"/>
          <w:bCs/>
          <w:lang w:eastAsia="ja-JP"/>
        </w:rPr>
        <w:t xml:space="preserve">РР </w:t>
      </w:r>
      <w:r w:rsidR="00352FB9" w:rsidRPr="00352FB9">
        <w:rPr>
          <w:rFonts w:eastAsia="MS Mincho"/>
          <w:lang w:eastAsia="ja-JP"/>
        </w:rPr>
        <w:t>распределение ССИЗ (пассивной) в полосах частот 6425–7075</w:t>
      </w:r>
      <w:r w:rsidR="003B6996">
        <w:rPr>
          <w:rFonts w:eastAsia="MS Mincho"/>
          <w:lang w:eastAsia="ja-JP"/>
        </w:rPr>
        <w:t> </w:t>
      </w:r>
      <w:r w:rsidR="00352FB9" w:rsidRPr="00352FB9">
        <w:rPr>
          <w:rFonts w:eastAsia="MS Mincho"/>
          <w:lang w:eastAsia="ja-JP"/>
        </w:rPr>
        <w:t>МГц и 7075–7250</w:t>
      </w:r>
      <w:r w:rsidR="003B6996">
        <w:rPr>
          <w:rFonts w:eastAsia="MS Mincho"/>
          <w:lang w:eastAsia="ja-JP"/>
        </w:rPr>
        <w:t> </w:t>
      </w:r>
      <w:r w:rsidR="00352FB9" w:rsidRPr="00352FB9">
        <w:rPr>
          <w:rFonts w:eastAsia="MS Mincho"/>
          <w:lang w:eastAsia="ja-JP"/>
        </w:rPr>
        <w:t>МГц</w:t>
      </w:r>
      <w:r w:rsidR="00352FB9">
        <w:rPr>
          <w:rFonts w:eastAsia="MS Mincho"/>
          <w:lang w:eastAsia="ja-JP"/>
        </w:rPr>
        <w:t xml:space="preserve"> не предусматривается</w:t>
      </w:r>
      <w:r w:rsidR="00352FB9" w:rsidRPr="00352FB9">
        <w:rPr>
          <w:rFonts w:eastAsia="MS Mincho"/>
          <w:lang w:eastAsia="ja-JP"/>
        </w:rPr>
        <w:t>.</w:t>
      </w:r>
      <w:r w:rsidR="001C35B9" w:rsidRPr="001C35B9">
        <w:rPr>
          <w:rFonts w:eastAsia="MS Mincho"/>
          <w:lang w:eastAsia="ja-JP"/>
        </w:rPr>
        <w:t xml:space="preserve"> Поскольку развертывание IMT в полосе частот 6</w:t>
      </w:r>
      <w:r w:rsidR="003B6996">
        <w:rPr>
          <w:rFonts w:eastAsia="MS Mincho"/>
          <w:lang w:eastAsia="ja-JP"/>
        </w:rPr>
        <w:t> </w:t>
      </w:r>
      <w:r w:rsidR="001C35B9" w:rsidRPr="001C35B9">
        <w:rPr>
          <w:rFonts w:eastAsia="MS Mincho"/>
          <w:lang w:eastAsia="ja-JP"/>
        </w:rPr>
        <w:t xml:space="preserve">ГГц </w:t>
      </w:r>
      <w:r w:rsidR="003B6996">
        <w:rPr>
          <w:rFonts w:eastAsia="MS Mincho"/>
          <w:lang w:eastAsia="ja-JP"/>
        </w:rPr>
        <w:t>серьезным образом повлияет</w:t>
      </w:r>
      <w:r w:rsidR="001C35B9" w:rsidRPr="001C35B9">
        <w:rPr>
          <w:rFonts w:eastAsia="MS Mincho"/>
          <w:lang w:eastAsia="ja-JP"/>
        </w:rPr>
        <w:t xml:space="preserve"> на измерения </w:t>
      </w:r>
      <w:r w:rsidR="001C35B9">
        <w:rPr>
          <w:rFonts w:eastAsia="MS Mincho"/>
          <w:lang w:eastAsia="ja-JP"/>
        </w:rPr>
        <w:t xml:space="preserve">в местах, находящихся </w:t>
      </w:r>
      <w:r w:rsidR="001C35B9" w:rsidRPr="001C35B9">
        <w:rPr>
          <w:rFonts w:eastAsia="MS Mincho"/>
          <w:lang w:eastAsia="ja-JP"/>
        </w:rPr>
        <w:t xml:space="preserve">на расстоянии до нескольких тысяч километров от побережья, это </w:t>
      </w:r>
      <w:r w:rsidR="003B6996">
        <w:rPr>
          <w:rFonts w:eastAsia="MS Mincho"/>
          <w:lang w:eastAsia="ja-JP"/>
        </w:rPr>
        <w:t>может сказаться на</w:t>
      </w:r>
      <w:r w:rsidR="001C35B9" w:rsidRPr="001C35B9">
        <w:rPr>
          <w:rFonts w:eastAsia="MS Mincho"/>
          <w:lang w:eastAsia="ja-JP"/>
        </w:rPr>
        <w:t xml:space="preserve"> измерения</w:t>
      </w:r>
      <w:r w:rsidR="003B6996">
        <w:rPr>
          <w:rFonts w:eastAsia="MS Mincho"/>
          <w:lang w:eastAsia="ja-JP"/>
        </w:rPr>
        <w:t>х</w:t>
      </w:r>
      <w:r w:rsidR="001C35B9" w:rsidRPr="001C35B9">
        <w:rPr>
          <w:rFonts w:eastAsia="MS Mincho"/>
          <w:lang w:eastAsia="ja-JP"/>
        </w:rPr>
        <w:t>, котор</w:t>
      </w:r>
      <w:r w:rsidR="009A22D9">
        <w:rPr>
          <w:rFonts w:eastAsia="MS Mincho"/>
          <w:lang w:eastAsia="ja-JP"/>
        </w:rPr>
        <w:t>ые проводятся для обеспечения</w:t>
      </w:r>
      <w:r w:rsidR="001C35B9" w:rsidRPr="001C35B9">
        <w:rPr>
          <w:rFonts w:eastAsia="MS Mincho"/>
          <w:lang w:eastAsia="ja-JP"/>
        </w:rPr>
        <w:t xml:space="preserve"> безопасности жизни людей</w:t>
      </w:r>
      <w:r w:rsidR="001C35B9">
        <w:rPr>
          <w:rFonts w:eastAsia="MS Mincho"/>
          <w:lang w:eastAsia="ja-JP"/>
        </w:rPr>
        <w:t xml:space="preserve"> при наступлении</w:t>
      </w:r>
      <w:r w:rsidR="001C35B9" w:rsidRPr="001C35B9">
        <w:rPr>
          <w:rFonts w:eastAsia="MS Mincho"/>
          <w:lang w:eastAsia="ja-JP"/>
        </w:rPr>
        <w:t xml:space="preserve"> </w:t>
      </w:r>
      <w:r w:rsidR="003B6996">
        <w:rPr>
          <w:rFonts w:eastAsia="MS Mincho"/>
          <w:lang w:eastAsia="ja-JP"/>
        </w:rPr>
        <w:t>опасных</w:t>
      </w:r>
      <w:r w:rsidR="001C35B9" w:rsidRPr="001C35B9">
        <w:rPr>
          <w:rFonts w:eastAsia="MS Mincho"/>
          <w:lang w:eastAsia="ja-JP"/>
        </w:rPr>
        <w:t xml:space="preserve"> климатических явлений.</w:t>
      </w:r>
      <w:bookmarkEnd w:id="21"/>
    </w:p>
    <w:p w14:paraId="4FFBD393" w14:textId="77777777" w:rsidR="003B6996" w:rsidRPr="00FB416A" w:rsidRDefault="00C67A6E" w:rsidP="003B6996">
      <w:pPr>
        <w:pStyle w:val="enumlev1"/>
        <w:rPr>
          <w:rFonts w:eastAsia="Calibri"/>
          <w:iCs/>
          <w:szCs w:val="22"/>
        </w:rPr>
      </w:pPr>
      <w:r w:rsidRPr="001C35B9">
        <w:t>9)</w:t>
      </w:r>
      <w:r w:rsidRPr="001C35B9">
        <w:tab/>
      </w:r>
      <w:bookmarkStart w:id="22" w:name="lt_pId075"/>
      <w:r w:rsidR="003B6996" w:rsidRPr="00444247">
        <w:rPr>
          <w:rFonts w:eastAsia="Batang"/>
          <w:szCs w:val="24"/>
        </w:rPr>
        <w:t xml:space="preserve">Некоторые администрации уже разрешили использование </w:t>
      </w:r>
      <w:r w:rsidR="003B6996" w:rsidRPr="00444247">
        <w:rPr>
          <w:lang w:eastAsia="en-GB"/>
        </w:rPr>
        <w:t xml:space="preserve">полосы частот </w:t>
      </w:r>
      <w:r w:rsidR="003B6996" w:rsidRPr="00444247">
        <w:rPr>
          <w:rFonts w:eastAsia="Batang"/>
        </w:rPr>
        <w:t>6425−7025</w:t>
      </w:r>
      <w:r w:rsidR="003B6996">
        <w:rPr>
          <w:rFonts w:eastAsia="Batang"/>
          <w:lang w:val="en-GB"/>
        </w:rPr>
        <w:t> </w:t>
      </w:r>
      <w:r w:rsidR="003B6996">
        <w:rPr>
          <w:rFonts w:eastAsia="Batang"/>
        </w:rPr>
        <w:t>МГц</w:t>
      </w:r>
      <w:r w:rsidR="003B6996" w:rsidRPr="00444247">
        <w:rPr>
          <w:rFonts w:eastAsia="Batang"/>
        </w:rPr>
        <w:t xml:space="preserve"> и 7025−7125</w:t>
      </w:r>
      <w:r w:rsidR="003B6996">
        <w:rPr>
          <w:rFonts w:eastAsia="Batang"/>
          <w:lang w:val="en-GB"/>
        </w:rPr>
        <w:t> </w:t>
      </w:r>
      <w:r w:rsidR="003B6996">
        <w:rPr>
          <w:rFonts w:eastAsia="Batang"/>
        </w:rPr>
        <w:t>МГц</w:t>
      </w:r>
      <w:r w:rsidR="003B6996" w:rsidRPr="00444247">
        <w:rPr>
          <w:rFonts w:eastAsia="Batang"/>
        </w:rPr>
        <w:t xml:space="preserve"> для освобожденных от лицензирования технологий путем разработки регламентарных и технических положений, которые упрощают </w:t>
      </w:r>
      <w:r w:rsidR="003B6996">
        <w:rPr>
          <w:rFonts w:eastAsia="Batang"/>
        </w:rPr>
        <w:t>непосредственное</w:t>
      </w:r>
      <w:r w:rsidR="003B6996" w:rsidRPr="00444247">
        <w:rPr>
          <w:rFonts w:eastAsia="Batang"/>
        </w:rPr>
        <w:t xml:space="preserve"> использование имеющихся устройств, </w:t>
      </w:r>
      <w:r w:rsidR="003B6996">
        <w:rPr>
          <w:rFonts w:eastAsia="Batang"/>
        </w:rPr>
        <w:t xml:space="preserve">что </w:t>
      </w:r>
      <w:r w:rsidR="003B6996" w:rsidRPr="00444247">
        <w:rPr>
          <w:rFonts w:eastAsia="Batang"/>
        </w:rPr>
        <w:t>способству</w:t>
      </w:r>
      <w:r w:rsidR="003B6996">
        <w:rPr>
          <w:rFonts w:eastAsia="Batang"/>
        </w:rPr>
        <w:t>е</w:t>
      </w:r>
      <w:r w:rsidR="003B6996" w:rsidRPr="00444247">
        <w:rPr>
          <w:rFonts w:eastAsia="Batang"/>
        </w:rPr>
        <w:t xml:space="preserve">т экономии </w:t>
      </w:r>
      <w:r w:rsidR="003B6996">
        <w:rPr>
          <w:rFonts w:eastAsia="Batang"/>
        </w:rPr>
        <w:t>от</w:t>
      </w:r>
      <w:r w:rsidR="003B6996" w:rsidRPr="00444247">
        <w:rPr>
          <w:rFonts w:eastAsia="Batang"/>
        </w:rPr>
        <w:t xml:space="preserve"> масштаба и принос</w:t>
      </w:r>
      <w:r w:rsidR="003B6996">
        <w:rPr>
          <w:rFonts w:eastAsia="Batang"/>
        </w:rPr>
        <w:t>и</w:t>
      </w:r>
      <w:r w:rsidR="003B6996" w:rsidRPr="00444247">
        <w:rPr>
          <w:rFonts w:eastAsia="Batang"/>
        </w:rPr>
        <w:t>т пользу предприятиям, потребителям и экономик</w:t>
      </w:r>
      <w:r w:rsidR="003B6996">
        <w:rPr>
          <w:rFonts w:eastAsia="Batang"/>
        </w:rPr>
        <w:t>е</w:t>
      </w:r>
      <w:r w:rsidR="003B6996" w:rsidRPr="00444247">
        <w:rPr>
          <w:rFonts w:eastAsia="Batang"/>
        </w:rPr>
        <w:t>.</w:t>
      </w:r>
      <w:r w:rsidR="003B6996" w:rsidRPr="00444247">
        <w:rPr>
          <w:rFonts w:eastAsia="Batang"/>
          <w:szCs w:val="24"/>
        </w:rPr>
        <w:t xml:space="preserve"> </w:t>
      </w:r>
    </w:p>
    <w:bookmarkEnd w:id="22"/>
    <w:p w14:paraId="0AF097C1" w14:textId="77777777" w:rsidR="00C67A6E" w:rsidRPr="009D771E" w:rsidRDefault="00C67A6E" w:rsidP="003B6996">
      <w:pPr>
        <w:pStyle w:val="enumlev1"/>
      </w:pPr>
      <w:r w:rsidRPr="006D45D7">
        <w:t>10)</w:t>
      </w:r>
      <w:r w:rsidRPr="006D45D7">
        <w:tab/>
      </w:r>
      <w:bookmarkStart w:id="23" w:name="lt_pId077"/>
      <w:r w:rsidR="006D45D7">
        <w:t>Что одними администрациями</w:t>
      </w:r>
      <w:r w:rsidR="006D45D7" w:rsidRPr="006D45D7">
        <w:t xml:space="preserve"> </w:t>
      </w:r>
      <w:r w:rsidR="006D45D7">
        <w:t>принято решение о внедрении</w:t>
      </w:r>
      <w:r w:rsidR="006D45D7" w:rsidRPr="006D45D7">
        <w:t xml:space="preserve"> IMT, в то время ка</w:t>
      </w:r>
      <w:r w:rsidR="006D45D7">
        <w:t>к другие решили использовать данную</w:t>
      </w:r>
      <w:r w:rsidR="006D45D7" w:rsidRPr="006D45D7">
        <w:t xml:space="preserve"> полосу ча</w:t>
      </w:r>
      <w:r w:rsidR="006D45D7">
        <w:t xml:space="preserve">стот для </w:t>
      </w:r>
      <w:r w:rsidR="009A22D9">
        <w:t xml:space="preserve">технологий </w:t>
      </w:r>
      <w:r w:rsidR="006D45D7">
        <w:t xml:space="preserve">WAS/RLAN, рассматривая это как вопрос, находящийся в сфере их </w:t>
      </w:r>
      <w:r w:rsidR="006D45D7" w:rsidRPr="006D45D7">
        <w:t>национальной и реги</w:t>
      </w:r>
      <w:r w:rsidR="006D45D7">
        <w:t>ональной политики. Таким образом</w:t>
      </w:r>
      <w:r w:rsidR="006D45D7" w:rsidRPr="006D45D7">
        <w:t xml:space="preserve">, </w:t>
      </w:r>
      <w:r w:rsidR="009A22D9">
        <w:t xml:space="preserve">наличие условий, обеспечивающих </w:t>
      </w:r>
      <w:r w:rsidR="006D45D7" w:rsidRPr="006D45D7">
        <w:t>ис</w:t>
      </w:r>
      <w:r w:rsidR="009A22D9">
        <w:t>пользование</w:t>
      </w:r>
      <w:r w:rsidR="006D45D7">
        <w:t xml:space="preserve"> IMT или WAS/RLAN на </w:t>
      </w:r>
      <w:r w:rsidR="006D45D7">
        <w:lastRenderedPageBreak/>
        <w:t>основе непричинения</w:t>
      </w:r>
      <w:r w:rsidR="009A22D9">
        <w:t xml:space="preserve"> помех в полосе частот 6 ГГц, в </w:t>
      </w:r>
      <w:r w:rsidR="006D45D7" w:rsidRPr="006D45D7">
        <w:t>обязательно</w:t>
      </w:r>
      <w:r w:rsidR="006D45D7">
        <w:t>м порядке</w:t>
      </w:r>
      <w:r w:rsidR="009A22D9">
        <w:t xml:space="preserve"> должно</w:t>
      </w:r>
      <w:r w:rsidR="006D45D7" w:rsidRPr="006D45D7">
        <w:t xml:space="preserve"> </w:t>
      </w:r>
      <w:r w:rsidR="006D45D7">
        <w:t xml:space="preserve">обеспечивать защиту ФСС и ФС и быть </w:t>
      </w:r>
      <w:r w:rsidR="009A22D9">
        <w:t>направлено</w:t>
      </w:r>
      <w:r w:rsidR="00C745E5">
        <w:t xml:space="preserve"> на недопущение</w:t>
      </w:r>
      <w:r w:rsidR="006D45D7">
        <w:t xml:space="preserve"> возникновения </w:t>
      </w:r>
      <w:r w:rsidR="00C745E5">
        <w:t xml:space="preserve">ограничений для </w:t>
      </w:r>
      <w:r w:rsidR="006D45D7" w:rsidRPr="006D45D7">
        <w:t>их будущего развития.</w:t>
      </w:r>
      <w:bookmarkEnd w:id="23"/>
    </w:p>
    <w:p w14:paraId="4AFA896D" w14:textId="0D31C845" w:rsidR="00C67A6E" w:rsidRPr="008F4C6E" w:rsidRDefault="00C67A6E" w:rsidP="008F4C6E">
      <w:pPr>
        <w:pStyle w:val="enumlev1"/>
      </w:pPr>
      <w:r w:rsidRPr="00C745E5">
        <w:t>11)</w:t>
      </w:r>
      <w:r w:rsidRPr="00C745E5">
        <w:tab/>
      </w:r>
      <w:bookmarkStart w:id="24" w:name="lt_pId080"/>
      <w:r w:rsidR="00C745E5">
        <w:t>Некоторыми</w:t>
      </w:r>
      <w:r w:rsidR="00C745E5" w:rsidRPr="00C745E5">
        <w:t xml:space="preserve"> адми</w:t>
      </w:r>
      <w:r w:rsidR="00C745E5">
        <w:t>нистрациями эффекти</w:t>
      </w:r>
      <w:r w:rsidR="008F4C6E">
        <w:t>вно используется освобожд</w:t>
      </w:r>
      <w:r w:rsidR="00A54069">
        <w:t>е</w:t>
      </w:r>
      <w:r w:rsidR="008F4C6E">
        <w:t>нная от лицензирования</w:t>
      </w:r>
      <w:r w:rsidR="00C745E5">
        <w:t xml:space="preserve"> полоса</w:t>
      </w:r>
      <w:r w:rsidR="00C745E5" w:rsidRPr="00C745E5">
        <w:t xml:space="preserve"> частот 1200 МГц с </w:t>
      </w:r>
      <w:r w:rsidR="00C745E5">
        <w:t xml:space="preserve">непрерывной полосой </w:t>
      </w:r>
      <w:r w:rsidR="00C745E5" w:rsidRPr="00C745E5">
        <w:t>в пред</w:t>
      </w:r>
      <w:r w:rsidR="00A643A8">
        <w:t>елах 5925−</w:t>
      </w:r>
      <w:r w:rsidR="00C745E5" w:rsidRPr="00C745E5">
        <w:t>7125</w:t>
      </w:r>
      <w:r w:rsidR="00A643A8">
        <w:t> </w:t>
      </w:r>
      <w:r w:rsidR="00C745E5" w:rsidRPr="00C745E5">
        <w:t>МГц для поддержки интернет-</w:t>
      </w:r>
      <w:r w:rsidR="00C745E5">
        <w:t xml:space="preserve">приложений следующего поколения </w:t>
      </w:r>
      <w:r w:rsidR="003B6996" w:rsidRPr="00FB416A">
        <w:rPr>
          <w:rFonts w:eastAsia="Calibri"/>
          <w:iCs/>
          <w:szCs w:val="24"/>
        </w:rPr>
        <w:t xml:space="preserve">путем использования технологий, основанных на соединениях </w:t>
      </w:r>
      <w:r w:rsidR="003B6996">
        <w:rPr>
          <w:rFonts w:eastAsia="Calibri"/>
          <w:iCs/>
          <w:szCs w:val="24"/>
          <w:lang w:val="en-US"/>
        </w:rPr>
        <w:t>Wi</w:t>
      </w:r>
      <w:r w:rsidR="003B6996" w:rsidRPr="00FB416A">
        <w:rPr>
          <w:rFonts w:eastAsia="Calibri"/>
          <w:iCs/>
          <w:szCs w:val="24"/>
        </w:rPr>
        <w:t>-</w:t>
      </w:r>
      <w:r w:rsidR="003B6996">
        <w:rPr>
          <w:rFonts w:eastAsia="Calibri"/>
          <w:iCs/>
          <w:szCs w:val="24"/>
          <w:lang w:val="en-US"/>
        </w:rPr>
        <w:t>Fi</w:t>
      </w:r>
      <w:r w:rsidR="003B6996" w:rsidRPr="00FB416A">
        <w:rPr>
          <w:rFonts w:eastAsia="Calibri"/>
          <w:iCs/>
          <w:szCs w:val="24"/>
        </w:rPr>
        <w:t>.</w:t>
      </w:r>
      <w:r w:rsidR="00C745E5">
        <w:t xml:space="preserve"> Такие применения, </w:t>
      </w:r>
      <w:r w:rsidR="00C745E5" w:rsidRPr="00C745E5">
        <w:t>как</w:t>
      </w:r>
      <w:r w:rsidR="00C745E5">
        <w:t>, например,</w:t>
      </w:r>
      <w:r w:rsidR="00C745E5" w:rsidRPr="00C745E5">
        <w:t xml:space="preserve"> </w:t>
      </w:r>
      <w:r w:rsidR="003B6996" w:rsidRPr="003B6996">
        <w:rPr>
          <w:lang w:val="en-GB"/>
        </w:rPr>
        <w:t>AR</w:t>
      </w:r>
      <w:r w:rsidR="003B6996" w:rsidRPr="003B6996">
        <w:t>/</w:t>
      </w:r>
      <w:r w:rsidR="003B6996" w:rsidRPr="003B6996">
        <w:rPr>
          <w:lang w:val="en-GB"/>
        </w:rPr>
        <w:t>VR</w:t>
      </w:r>
      <w:r w:rsidR="003B6996" w:rsidRPr="003B6996">
        <w:t>/</w:t>
      </w:r>
      <w:r w:rsidR="003B6996" w:rsidRPr="003B6996">
        <w:rPr>
          <w:lang w:val="en-GB"/>
        </w:rPr>
        <w:t>XR</w:t>
      </w:r>
      <w:r w:rsidR="003B6996">
        <w:t xml:space="preserve"> для индустрии </w:t>
      </w:r>
      <w:r w:rsidR="00C745E5" w:rsidRPr="00C745E5">
        <w:t>развлечений, навигации, образования, корпора</w:t>
      </w:r>
      <w:r w:rsidR="00FD0C9D">
        <w:t>тивных и промышленных применений, разработки</w:t>
      </w:r>
      <w:r w:rsidR="00C745E5" w:rsidRPr="00C745E5">
        <w:t xml:space="preserve"> продуктов, здравоохранения, электронного правительства, промышленной автоматизации, </w:t>
      </w:r>
      <w:r w:rsidR="003B6996">
        <w:rPr>
          <w:lang w:val="en-US"/>
        </w:rPr>
        <w:t>IoT</w:t>
      </w:r>
      <w:r w:rsidR="00C745E5" w:rsidRPr="00C745E5">
        <w:t xml:space="preserve">, 3D-видео и </w:t>
      </w:r>
      <w:r w:rsidR="003B6996">
        <w:t>ИИ</w:t>
      </w:r>
      <w:r w:rsidR="00C745E5" w:rsidRPr="00C745E5">
        <w:t xml:space="preserve">, среди прочего, </w:t>
      </w:r>
      <w:r w:rsidR="00F6601C">
        <w:rPr>
          <w:rFonts w:eastAsia="Calibri"/>
          <w:iCs/>
          <w:szCs w:val="24"/>
        </w:rPr>
        <w:t>нуждаются во все</w:t>
      </w:r>
      <w:r w:rsidR="00F6601C" w:rsidRPr="00FB416A">
        <w:rPr>
          <w:rFonts w:eastAsia="Calibri"/>
          <w:iCs/>
          <w:szCs w:val="24"/>
        </w:rPr>
        <w:t xml:space="preserve"> более широких полос</w:t>
      </w:r>
      <w:r w:rsidR="00F6601C">
        <w:rPr>
          <w:rFonts w:eastAsia="Calibri"/>
          <w:iCs/>
          <w:szCs w:val="24"/>
        </w:rPr>
        <w:t>ах</w:t>
      </w:r>
      <w:r w:rsidR="00F6601C" w:rsidRPr="00FB416A">
        <w:rPr>
          <w:rFonts w:eastAsia="Calibri"/>
          <w:iCs/>
          <w:szCs w:val="24"/>
        </w:rPr>
        <w:t xml:space="preserve"> пропускания каналов</w:t>
      </w:r>
      <w:r w:rsidR="00C745E5" w:rsidRPr="00C745E5">
        <w:t xml:space="preserve">. </w:t>
      </w:r>
      <w:bookmarkEnd w:id="24"/>
    </w:p>
    <w:p w14:paraId="0876EAED" w14:textId="52CEFB08" w:rsidR="00C67A6E" w:rsidRPr="009D771E" w:rsidRDefault="00C67A6E" w:rsidP="00F6601C">
      <w:pPr>
        <w:pStyle w:val="enumlev1"/>
      </w:pPr>
      <w:r w:rsidRPr="00FD0C9D">
        <w:t>12)</w:t>
      </w:r>
      <w:r w:rsidRPr="00FD0C9D">
        <w:tab/>
      </w:r>
      <w:bookmarkStart w:id="25" w:name="lt_pId083"/>
      <w:r w:rsidR="00F6601C" w:rsidRPr="00FB416A">
        <w:rPr>
          <w:rFonts w:eastAsia="Malgun Gothic"/>
          <w:iCs/>
          <w:szCs w:val="24"/>
          <w:lang w:eastAsia="ko-KR"/>
        </w:rPr>
        <w:t>МСЭ-</w:t>
      </w:r>
      <w:r w:rsidR="00F6601C">
        <w:rPr>
          <w:rFonts w:eastAsia="Malgun Gothic"/>
          <w:iCs/>
          <w:szCs w:val="24"/>
          <w:lang w:val="en-US" w:eastAsia="ko-KR"/>
        </w:rPr>
        <w:t>R</w:t>
      </w:r>
      <w:r w:rsidR="00F6601C" w:rsidRPr="00FB416A">
        <w:rPr>
          <w:rFonts w:eastAsia="Malgun Gothic"/>
          <w:iCs/>
          <w:szCs w:val="24"/>
          <w:lang w:eastAsia="ko-KR"/>
        </w:rPr>
        <w:t xml:space="preserve">, </w:t>
      </w:r>
      <w:r w:rsidR="00F6601C">
        <w:rPr>
          <w:rFonts w:eastAsia="Malgun Gothic"/>
          <w:iCs/>
          <w:szCs w:val="24"/>
          <w:lang w:eastAsia="ko-KR"/>
        </w:rPr>
        <w:t>стараясь извлекать</w:t>
      </w:r>
      <w:r w:rsidR="00F6601C" w:rsidRPr="00FB416A">
        <w:rPr>
          <w:rFonts w:eastAsia="Malgun Gothic"/>
          <w:iCs/>
          <w:szCs w:val="24"/>
          <w:lang w:eastAsia="ko-KR"/>
        </w:rPr>
        <w:t xml:space="preserve"> максимальн</w:t>
      </w:r>
      <w:r w:rsidR="00F6601C">
        <w:rPr>
          <w:rFonts w:eastAsia="Malgun Gothic"/>
          <w:iCs/>
          <w:szCs w:val="24"/>
          <w:lang w:eastAsia="ko-KR"/>
        </w:rPr>
        <w:t xml:space="preserve">ые </w:t>
      </w:r>
      <w:r w:rsidR="00F6601C" w:rsidRPr="00FB416A">
        <w:rPr>
          <w:rFonts w:eastAsia="Malgun Gothic"/>
          <w:iCs/>
          <w:szCs w:val="24"/>
          <w:lang w:eastAsia="ko-KR"/>
        </w:rPr>
        <w:t>преимуществ</w:t>
      </w:r>
      <w:r w:rsidR="00F6601C">
        <w:rPr>
          <w:rFonts w:eastAsia="Malgun Gothic"/>
          <w:iCs/>
          <w:szCs w:val="24"/>
          <w:lang w:eastAsia="ko-KR"/>
        </w:rPr>
        <w:t>а</w:t>
      </w:r>
      <w:r w:rsidR="00F6601C" w:rsidRPr="00FB416A">
        <w:rPr>
          <w:rFonts w:eastAsia="Malgun Gothic"/>
          <w:iCs/>
          <w:szCs w:val="24"/>
          <w:lang w:eastAsia="ko-KR"/>
        </w:rPr>
        <w:t xml:space="preserve"> </w:t>
      </w:r>
      <w:r w:rsidR="00F6601C">
        <w:rPr>
          <w:rFonts w:eastAsia="Malgun Gothic"/>
          <w:iCs/>
          <w:szCs w:val="24"/>
          <w:lang w:eastAsia="ko-KR"/>
        </w:rPr>
        <w:t xml:space="preserve">из </w:t>
      </w:r>
      <w:r w:rsidR="00F6601C" w:rsidRPr="00FB416A">
        <w:rPr>
          <w:rFonts w:eastAsia="Malgun Gothic"/>
          <w:iCs/>
          <w:szCs w:val="24"/>
          <w:lang w:eastAsia="ko-KR"/>
        </w:rPr>
        <w:t>использовани</w:t>
      </w:r>
      <w:r w:rsidR="00F6601C">
        <w:rPr>
          <w:rFonts w:eastAsia="Malgun Gothic"/>
          <w:iCs/>
          <w:szCs w:val="24"/>
          <w:lang w:eastAsia="ko-KR"/>
        </w:rPr>
        <w:t xml:space="preserve">я </w:t>
      </w:r>
      <w:r w:rsidR="00F6601C" w:rsidRPr="00FB416A">
        <w:rPr>
          <w:rFonts w:eastAsia="Malgun Gothic"/>
          <w:iCs/>
          <w:szCs w:val="24"/>
          <w:lang w:eastAsia="ko-KR"/>
        </w:rPr>
        <w:t xml:space="preserve">спектра, работает над пересмотром Рекомендации </w:t>
      </w:r>
      <w:r w:rsidR="00F6601C">
        <w:rPr>
          <w:rFonts w:eastAsia="Malgun Gothic"/>
          <w:iCs/>
          <w:szCs w:val="24"/>
          <w:lang w:eastAsia="ko-KR"/>
        </w:rPr>
        <w:t>МСЭ</w:t>
      </w:r>
      <w:r w:rsidR="00F6601C" w:rsidRPr="00FB416A">
        <w:rPr>
          <w:rFonts w:eastAsia="Malgun Gothic"/>
          <w:iCs/>
          <w:szCs w:val="24"/>
          <w:lang w:eastAsia="ko-KR"/>
        </w:rPr>
        <w:t>-</w:t>
      </w:r>
      <w:r w:rsidR="00F6601C">
        <w:rPr>
          <w:rFonts w:eastAsia="Malgun Gothic"/>
          <w:iCs/>
          <w:szCs w:val="24"/>
          <w:lang w:val="en-US" w:eastAsia="ko-KR"/>
        </w:rPr>
        <w:t>R</w:t>
      </w:r>
      <w:r w:rsidR="00F6601C" w:rsidRPr="00FB416A">
        <w:rPr>
          <w:rFonts w:eastAsia="Malgun Gothic"/>
          <w:iCs/>
          <w:szCs w:val="24"/>
          <w:lang w:eastAsia="ko-KR"/>
        </w:rPr>
        <w:t xml:space="preserve"> </w:t>
      </w:r>
      <w:r w:rsidR="00F6601C">
        <w:rPr>
          <w:rFonts w:eastAsia="Malgun Gothic"/>
          <w:iCs/>
          <w:szCs w:val="24"/>
          <w:lang w:val="en-US" w:eastAsia="ko-KR"/>
        </w:rPr>
        <w:t>M</w:t>
      </w:r>
      <w:r w:rsidR="00F6601C" w:rsidRPr="00FB416A">
        <w:rPr>
          <w:rFonts w:eastAsia="Malgun Gothic"/>
          <w:iCs/>
          <w:szCs w:val="24"/>
          <w:lang w:eastAsia="ko-KR"/>
        </w:rPr>
        <w:t>.1801-2 "</w:t>
      </w:r>
      <w:r w:rsidR="00F6601C" w:rsidRPr="00FB416A">
        <w:rPr>
          <w:rFonts w:eastAsia="Batang"/>
        </w:rPr>
        <w:t>Стандарты радиоинтерфейс</w:t>
      </w:r>
      <w:r w:rsidR="00F6601C">
        <w:rPr>
          <w:rFonts w:eastAsia="Batang"/>
        </w:rPr>
        <w:t>а</w:t>
      </w:r>
      <w:r w:rsidR="00F6601C" w:rsidRPr="00FB416A">
        <w:rPr>
          <w:rFonts w:eastAsia="Batang"/>
        </w:rPr>
        <w:t xml:space="preserve"> для систем широкополосного беспроводного доступа</w:t>
      </w:r>
      <w:r w:rsidR="00F6601C">
        <w:rPr>
          <w:rFonts w:eastAsia="Batang"/>
        </w:rPr>
        <w:t xml:space="preserve"> </w:t>
      </w:r>
      <w:r w:rsidR="00F6601C" w:rsidRPr="00657388">
        <w:rPr>
          <w:rFonts w:eastAsia="Batang"/>
        </w:rPr>
        <w:t>подвижной службы, включая мобильные и кочевые применения</w:t>
      </w:r>
      <w:r w:rsidR="00F6601C" w:rsidRPr="00FB416A">
        <w:rPr>
          <w:rFonts w:eastAsia="Batang"/>
        </w:rPr>
        <w:t xml:space="preserve">". В настоящем пересмотре отражены усилия по определению наиболее подходящих стандартов для поддержки </w:t>
      </w:r>
      <w:r w:rsidR="00F6601C">
        <w:rPr>
          <w:rFonts w:eastAsia="Batang"/>
        </w:rPr>
        <w:t>обширного</w:t>
      </w:r>
      <w:r w:rsidR="00F6601C" w:rsidRPr="00FB416A">
        <w:rPr>
          <w:rFonts w:eastAsia="Batang"/>
        </w:rPr>
        <w:t xml:space="preserve"> диапазона данных широкополосного интернета и данных</w:t>
      </w:r>
      <w:r w:rsidR="00F6601C">
        <w:rPr>
          <w:rFonts w:eastAsia="Batang"/>
        </w:rPr>
        <w:t>, получаемых</w:t>
      </w:r>
      <w:r w:rsidR="00F6601C" w:rsidRPr="00FB416A">
        <w:rPr>
          <w:rFonts w:eastAsia="Batang"/>
        </w:rPr>
        <w:t xml:space="preserve"> в реальном времени</w:t>
      </w:r>
      <w:r w:rsidR="00F6601C">
        <w:rPr>
          <w:rFonts w:eastAsia="Batang"/>
        </w:rPr>
        <w:t>,</w:t>
      </w:r>
      <w:r w:rsidR="00F6601C" w:rsidRPr="00FB416A">
        <w:rPr>
          <w:rFonts w:eastAsia="Batang"/>
        </w:rPr>
        <w:t xml:space="preserve"> для городских, пригородных и сельских районов с определением систем широкополосного беспроводного доступа в рамках подвижной службы в верхн</w:t>
      </w:r>
      <w:r w:rsidR="00F6601C">
        <w:rPr>
          <w:rFonts w:eastAsia="Batang"/>
        </w:rPr>
        <w:t xml:space="preserve">ей части полосы </w:t>
      </w:r>
      <w:r w:rsidR="00F6601C" w:rsidRPr="00FB416A">
        <w:rPr>
          <w:rFonts w:eastAsia="Batang"/>
        </w:rPr>
        <w:t>6</w:t>
      </w:r>
      <w:r w:rsidR="00A643A8">
        <w:rPr>
          <w:rFonts w:eastAsia="Batang"/>
        </w:rPr>
        <w:t> </w:t>
      </w:r>
      <w:r w:rsidR="00F6601C">
        <w:rPr>
          <w:rFonts w:eastAsia="Batang"/>
        </w:rPr>
        <w:t>ГГц</w:t>
      </w:r>
      <w:r w:rsidR="00F6601C" w:rsidRPr="00657388">
        <w:rPr>
          <w:rFonts w:eastAsia="Batang"/>
        </w:rPr>
        <w:t>.</w:t>
      </w:r>
      <w:bookmarkEnd w:id="25"/>
    </w:p>
    <w:p w14:paraId="551F2EC8" w14:textId="626A524C" w:rsidR="00C67A6E" w:rsidRPr="009D771E" w:rsidRDefault="00C67A6E" w:rsidP="00FE7B30">
      <w:pPr>
        <w:pStyle w:val="enumlev1"/>
      </w:pPr>
      <w:r w:rsidRPr="00981B07">
        <w:t>13)</w:t>
      </w:r>
      <w:r w:rsidRPr="00981B07">
        <w:tab/>
      </w:r>
      <w:bookmarkStart w:id="26" w:name="lt_pId086"/>
      <w:r w:rsidR="00F6601C">
        <w:rPr>
          <w:rFonts w:eastAsia="Calibri"/>
          <w:iCs/>
          <w:szCs w:val="24"/>
        </w:rPr>
        <w:t>Ч</w:t>
      </w:r>
      <w:r w:rsidR="00F6601C" w:rsidRPr="00657388">
        <w:rPr>
          <w:rFonts w:eastAsia="Calibri"/>
          <w:iCs/>
          <w:szCs w:val="24"/>
        </w:rPr>
        <w:t xml:space="preserve">то в решениях, принятых на ВКР-23, должны учитываться </w:t>
      </w:r>
      <w:r w:rsidR="00F6601C">
        <w:rPr>
          <w:rFonts w:eastAsia="Calibri"/>
          <w:iCs/>
          <w:szCs w:val="24"/>
        </w:rPr>
        <w:t xml:space="preserve">следующие </w:t>
      </w:r>
      <w:r w:rsidR="00F6601C" w:rsidRPr="00657388">
        <w:rPr>
          <w:rFonts w:eastAsia="Calibri"/>
          <w:iCs/>
          <w:szCs w:val="24"/>
        </w:rPr>
        <w:t xml:space="preserve">принципы, изложенные в </w:t>
      </w:r>
      <w:r w:rsidR="00F6601C">
        <w:rPr>
          <w:rFonts w:eastAsia="Calibri"/>
          <w:iCs/>
          <w:szCs w:val="24"/>
        </w:rPr>
        <w:t>Рекомендации</w:t>
      </w:r>
      <w:r w:rsidR="00F6601C" w:rsidRPr="00657388">
        <w:rPr>
          <w:rFonts w:eastAsia="Calibri"/>
          <w:iCs/>
          <w:szCs w:val="24"/>
        </w:rPr>
        <w:t xml:space="preserve"> </w:t>
      </w:r>
      <w:r w:rsidR="00F6601C" w:rsidRPr="00657388">
        <w:rPr>
          <w:rFonts w:eastAsia="Calibri"/>
          <w:b/>
          <w:bCs/>
          <w:iCs/>
          <w:szCs w:val="24"/>
        </w:rPr>
        <w:t xml:space="preserve">34 </w:t>
      </w:r>
      <w:r w:rsidR="00F6601C" w:rsidRPr="00657388">
        <w:rPr>
          <w:b/>
          <w:bCs/>
          <w:lang w:eastAsia="en-GB"/>
        </w:rPr>
        <w:t>(</w:t>
      </w:r>
      <w:r w:rsidR="00F6601C">
        <w:rPr>
          <w:b/>
          <w:bCs/>
          <w:lang w:eastAsia="en-GB"/>
        </w:rPr>
        <w:t>Пересм</w:t>
      </w:r>
      <w:r w:rsidR="00F6601C" w:rsidRPr="00657388">
        <w:rPr>
          <w:b/>
          <w:bCs/>
          <w:lang w:eastAsia="en-GB"/>
        </w:rPr>
        <w:t xml:space="preserve">. </w:t>
      </w:r>
      <w:r w:rsidR="00F6601C">
        <w:rPr>
          <w:b/>
          <w:bCs/>
          <w:lang w:eastAsia="en-GB"/>
        </w:rPr>
        <w:t>ВКР</w:t>
      </w:r>
      <w:r w:rsidR="00F6601C" w:rsidRPr="00657388">
        <w:rPr>
          <w:b/>
          <w:bCs/>
          <w:lang w:eastAsia="en-GB"/>
        </w:rPr>
        <w:t>-12)</w:t>
      </w:r>
      <w:r w:rsidR="00F6601C" w:rsidRPr="00657388">
        <w:rPr>
          <w:lang w:eastAsia="en-GB"/>
        </w:rPr>
        <w:t xml:space="preserve"> </w:t>
      </w:r>
      <w:r w:rsidR="00F6601C" w:rsidRPr="00657388">
        <w:rPr>
          <w:rFonts w:eastAsia="Calibri"/>
          <w:iCs/>
          <w:szCs w:val="24"/>
        </w:rPr>
        <w:t>"</w:t>
      </w:r>
      <w:r w:rsidR="00F6601C">
        <w:rPr>
          <w:rFonts w:eastAsia="Calibri"/>
          <w:iCs/>
          <w:szCs w:val="24"/>
        </w:rPr>
        <w:t>Принципы</w:t>
      </w:r>
      <w:r w:rsidR="00F6601C" w:rsidRPr="00657388">
        <w:rPr>
          <w:rFonts w:eastAsia="Calibri"/>
          <w:iCs/>
          <w:szCs w:val="24"/>
        </w:rPr>
        <w:t xml:space="preserve"> </w:t>
      </w:r>
      <w:r w:rsidR="00F6601C">
        <w:rPr>
          <w:rFonts w:eastAsia="Calibri"/>
          <w:iCs/>
          <w:szCs w:val="24"/>
        </w:rPr>
        <w:t>распределения</w:t>
      </w:r>
      <w:r w:rsidR="00F6601C" w:rsidRPr="00657388">
        <w:rPr>
          <w:rFonts w:eastAsia="Calibri"/>
          <w:iCs/>
          <w:szCs w:val="24"/>
        </w:rPr>
        <w:t xml:space="preserve"> </w:t>
      </w:r>
      <w:r w:rsidR="00F6601C">
        <w:rPr>
          <w:rFonts w:eastAsia="Calibri"/>
          <w:iCs/>
          <w:szCs w:val="24"/>
        </w:rPr>
        <w:t>полос</w:t>
      </w:r>
      <w:r w:rsidR="00F6601C" w:rsidRPr="00657388">
        <w:rPr>
          <w:rFonts w:eastAsia="Calibri"/>
          <w:iCs/>
          <w:szCs w:val="24"/>
        </w:rPr>
        <w:t xml:space="preserve"> </w:t>
      </w:r>
      <w:r w:rsidR="00F6601C">
        <w:rPr>
          <w:rFonts w:eastAsia="Calibri"/>
          <w:iCs/>
          <w:szCs w:val="24"/>
        </w:rPr>
        <w:t>частот</w:t>
      </w:r>
      <w:r w:rsidR="00F6601C" w:rsidRPr="00657388">
        <w:rPr>
          <w:rFonts w:eastAsia="Calibri"/>
          <w:iCs/>
          <w:szCs w:val="24"/>
        </w:rPr>
        <w:t>"</w:t>
      </w:r>
      <w:r w:rsidR="00F6601C">
        <w:rPr>
          <w:rFonts w:eastAsia="Calibri"/>
          <w:iCs/>
          <w:szCs w:val="24"/>
        </w:rPr>
        <w:t>:</w:t>
      </w:r>
      <w:bookmarkEnd w:id="26"/>
    </w:p>
    <w:p w14:paraId="2852A0B3" w14:textId="77777777" w:rsidR="00C67A6E" w:rsidRPr="005A16DD" w:rsidRDefault="00C67A6E" w:rsidP="005A16DD">
      <w:pPr>
        <w:pStyle w:val="enumlev1"/>
        <w:rPr>
          <w:i/>
        </w:rPr>
      </w:pPr>
      <w:r w:rsidRPr="009D771E">
        <w:rPr>
          <w:i/>
        </w:rPr>
        <w:tab/>
      </w:r>
      <w:r w:rsidR="008C02DD" w:rsidRPr="005A16DD">
        <w:t>"</w:t>
      </w:r>
      <w:r w:rsidRPr="005A16DD">
        <w:rPr>
          <w:i/>
        </w:rPr>
        <w:t>(…) </w:t>
      </w:r>
    </w:p>
    <w:p w14:paraId="04EBB80A" w14:textId="77777777" w:rsidR="00335F41" w:rsidRPr="005A16DD" w:rsidRDefault="005A16DD" w:rsidP="005A16DD">
      <w:pPr>
        <w:pStyle w:val="enumlev1"/>
        <w:rPr>
          <w:i/>
        </w:rPr>
      </w:pPr>
      <w:r>
        <w:rPr>
          <w:i/>
        </w:rPr>
        <w:tab/>
      </w:r>
      <w:r w:rsidR="00335F41" w:rsidRPr="005A16DD">
        <w:rPr>
          <w:i/>
        </w:rPr>
        <w:t>рекомендует, чтобы будущие всемирные конференции радиосвязи</w:t>
      </w:r>
    </w:p>
    <w:p w14:paraId="62001645" w14:textId="77777777" w:rsidR="00C67A6E" w:rsidRPr="005A16DD" w:rsidRDefault="005A16DD" w:rsidP="005A16DD">
      <w:pPr>
        <w:pStyle w:val="enumlev1"/>
        <w:rPr>
          <w:i/>
        </w:rPr>
      </w:pPr>
      <w:bookmarkStart w:id="27" w:name="lt_pId090"/>
      <w:r>
        <w:rPr>
          <w:i/>
        </w:rPr>
        <w:tab/>
      </w:r>
      <w:r w:rsidR="00335F41" w:rsidRPr="005A16DD">
        <w:rPr>
          <w:i/>
        </w:rPr>
        <w:t>1</w:t>
      </w:r>
      <w:r w:rsidR="00335F41" w:rsidRPr="005A16DD">
        <w:rPr>
          <w:i/>
        </w:rPr>
        <w:tab/>
        <w:t>по возможности распределяли полосы частот наиболее широко определенным службам для предоставления администрациям максимальной гибкости в использовании спектра, учитывая вопросы безопасности, технические, эксплуатационные, экономические и другие соответствующие факторы;</w:t>
      </w:r>
      <w:bookmarkEnd w:id="27"/>
    </w:p>
    <w:p w14:paraId="38634F93" w14:textId="77777777" w:rsidR="00C67A6E" w:rsidRPr="00CB7E20" w:rsidRDefault="00C67A6E" w:rsidP="005A16DD">
      <w:pPr>
        <w:pStyle w:val="enumlev1"/>
        <w:rPr>
          <w:i/>
        </w:rPr>
      </w:pPr>
      <w:r w:rsidRPr="005A16DD">
        <w:rPr>
          <w:i/>
        </w:rPr>
        <w:tab/>
      </w:r>
      <w:r w:rsidRPr="00CB7E20">
        <w:rPr>
          <w:i/>
        </w:rPr>
        <w:t>(…) </w:t>
      </w:r>
    </w:p>
    <w:p w14:paraId="54F09391" w14:textId="2320CEF3" w:rsidR="00C67A6E" w:rsidRPr="005A16DD" w:rsidRDefault="005A16DD" w:rsidP="005A16DD">
      <w:pPr>
        <w:pStyle w:val="enumlev1"/>
        <w:rPr>
          <w:i/>
        </w:rPr>
      </w:pPr>
      <w:r>
        <w:rPr>
          <w:i/>
        </w:rPr>
        <w:tab/>
      </w:r>
      <w:r w:rsidR="00150B7A" w:rsidRPr="005A16DD">
        <w:rPr>
          <w:i/>
        </w:rPr>
        <w:t>4</w:t>
      </w:r>
      <w:r w:rsidR="00150B7A" w:rsidRPr="005A16DD">
        <w:rPr>
          <w:i/>
        </w:rPr>
        <w:tab/>
        <w:t>учитывали соответствующие исследования Сектора радиосвязи и отчет(ы) соответствующего(их) Подготовительного(ых) собрани</w:t>
      </w:r>
      <w:r w:rsidR="00A643A8">
        <w:rPr>
          <w:i/>
        </w:rPr>
        <w:t>я(й) к конференции(ям) (ПСК), в </w:t>
      </w:r>
      <w:r w:rsidR="00150B7A" w:rsidRPr="005A16DD">
        <w:rPr>
          <w:i/>
        </w:rPr>
        <w:t>зависимости от случая, рассматривая также вклады членов Союза, включая технические и эксплуатационные достижения, прогнозы и использования в соответствии с повесткой дня ВКР,</w:t>
      </w:r>
    </w:p>
    <w:p w14:paraId="2C5A015C" w14:textId="77777777" w:rsidR="00C67A6E" w:rsidRPr="005A16DD" w:rsidRDefault="00C67A6E" w:rsidP="005A16DD">
      <w:pPr>
        <w:pStyle w:val="enumlev1"/>
        <w:rPr>
          <w:i/>
        </w:rPr>
      </w:pPr>
      <w:r w:rsidRPr="005A16DD">
        <w:rPr>
          <w:i/>
        </w:rPr>
        <w:tab/>
        <w:t>(…) </w:t>
      </w:r>
    </w:p>
    <w:p w14:paraId="13F2FE8A" w14:textId="77777777" w:rsidR="00150B7A" w:rsidRPr="005A16DD" w:rsidRDefault="005A16DD" w:rsidP="005A16DD">
      <w:pPr>
        <w:pStyle w:val="enumlev1"/>
        <w:rPr>
          <w:i/>
        </w:rPr>
      </w:pPr>
      <w:r>
        <w:rPr>
          <w:i/>
        </w:rPr>
        <w:tab/>
      </w:r>
      <w:r w:rsidR="00150B7A" w:rsidRPr="005A16DD">
        <w:rPr>
          <w:i/>
        </w:rPr>
        <w:t>поручает Директору Бюро радиосвязи и просит исследовательские комиссии МСЭ-R</w:t>
      </w:r>
    </w:p>
    <w:p w14:paraId="6C1BBEFC" w14:textId="77777777" w:rsidR="00C67A6E" w:rsidRPr="005A16DD" w:rsidRDefault="00C67A6E" w:rsidP="005A16DD">
      <w:pPr>
        <w:pStyle w:val="enumlev1"/>
        <w:rPr>
          <w:i/>
        </w:rPr>
      </w:pPr>
      <w:r w:rsidRPr="005A16DD">
        <w:rPr>
          <w:i/>
        </w:rPr>
        <w:tab/>
        <w:t>(…) </w:t>
      </w:r>
    </w:p>
    <w:p w14:paraId="7F7AB4FE" w14:textId="77777777" w:rsidR="00C67A6E" w:rsidRPr="005A16DD" w:rsidRDefault="005A16DD" w:rsidP="005A16DD">
      <w:pPr>
        <w:pStyle w:val="enumlev1"/>
        <w:rPr>
          <w:i/>
        </w:rPr>
      </w:pPr>
      <w:r>
        <w:rPr>
          <w:i/>
        </w:rPr>
        <w:tab/>
      </w:r>
      <w:r w:rsidR="00150B7A" w:rsidRPr="005A16DD">
        <w:rPr>
          <w:i/>
        </w:rPr>
        <w:t>2</w:t>
      </w:r>
      <w:r w:rsidR="00150B7A" w:rsidRPr="005A16DD">
        <w:rPr>
          <w:i/>
        </w:rPr>
        <w:tab/>
        <w:t>провести данные исследования при участии Международной организации гражданской авиации (ИКАО), Международной морской организации (ИМО), Всемирной метеорологической организации (ВМО) и других заинтересованных международных организаций, в зависимости от случая;</w:t>
      </w:r>
      <w:r w:rsidR="00150B7A" w:rsidRPr="005A16DD">
        <w:t>"</w:t>
      </w:r>
      <w:r w:rsidR="00C67A6E" w:rsidRPr="005A16DD">
        <w:rPr>
          <w:i/>
        </w:rPr>
        <w:t> </w:t>
      </w:r>
    </w:p>
    <w:p w14:paraId="217E6066" w14:textId="3493D8C0" w:rsidR="00F6601C" w:rsidRPr="00310EC5" w:rsidRDefault="00981B07" w:rsidP="00C67A6E">
      <w:pPr>
        <w:rPr>
          <w:rFonts w:eastAsia="MS Mincho"/>
          <w:lang w:eastAsia="ja-JP"/>
        </w:rPr>
      </w:pPr>
      <w:bookmarkStart w:id="28" w:name="lt_pId100"/>
      <w:r>
        <w:t>В</w:t>
      </w:r>
      <w:r w:rsidRPr="00981B07">
        <w:t xml:space="preserve"> </w:t>
      </w:r>
      <w:r w:rsidR="009661A4">
        <w:t>силу</w:t>
      </w:r>
      <w:r w:rsidRPr="00981B07">
        <w:t xml:space="preserve"> </w:t>
      </w:r>
      <w:r>
        <w:t>вышеизложенного</w:t>
      </w:r>
      <w:r w:rsidRPr="00981B07">
        <w:t xml:space="preserve"> </w:t>
      </w:r>
      <w:r>
        <w:t>подписавшие</w:t>
      </w:r>
      <w:r w:rsidRPr="00981B07">
        <w:t xml:space="preserve"> </w:t>
      </w:r>
      <w:r>
        <w:t>настоящий</w:t>
      </w:r>
      <w:r w:rsidRPr="00981B07">
        <w:t xml:space="preserve"> </w:t>
      </w:r>
      <w:r>
        <w:t>вклад</w:t>
      </w:r>
      <w:r w:rsidRPr="00981B07">
        <w:t xml:space="preserve"> </w:t>
      </w:r>
      <w:r>
        <w:t>а</w:t>
      </w:r>
      <w:r w:rsidRPr="00981B07">
        <w:t>дминистрац</w:t>
      </w:r>
      <w:r>
        <w:t>ии</w:t>
      </w:r>
      <w:r w:rsidRPr="00981B07">
        <w:t xml:space="preserve"> </w:t>
      </w:r>
      <w:r w:rsidR="00F6601C" w:rsidRPr="00657388">
        <w:rPr>
          <w:rFonts w:eastAsia="Batang"/>
        </w:rPr>
        <w:t xml:space="preserve">поддерживают </w:t>
      </w:r>
      <w:r w:rsidR="002A2C1D">
        <w:rPr>
          <w:rFonts w:eastAsia="Batang"/>
        </w:rPr>
        <w:t>м</w:t>
      </w:r>
      <w:r w:rsidR="00F6601C" w:rsidRPr="00657388">
        <w:rPr>
          <w:rFonts w:eastAsia="Batang"/>
        </w:rPr>
        <w:t>етоды 4</w:t>
      </w:r>
      <w:r w:rsidR="00F6601C">
        <w:rPr>
          <w:rFonts w:eastAsia="Batang"/>
          <w:lang w:val="en-GB"/>
        </w:rPr>
        <w:t>A</w:t>
      </w:r>
      <w:r w:rsidR="00F6601C" w:rsidRPr="00657388">
        <w:rPr>
          <w:rFonts w:eastAsia="Batang"/>
        </w:rPr>
        <w:t xml:space="preserve"> и 5</w:t>
      </w:r>
      <w:r w:rsidR="00F6601C">
        <w:rPr>
          <w:rFonts w:eastAsia="Batang"/>
          <w:lang w:val="en-GB"/>
        </w:rPr>
        <w:t>A</w:t>
      </w:r>
      <w:r w:rsidR="00F6601C" w:rsidRPr="00657388">
        <w:rPr>
          <w:rFonts w:eastAsia="Batang"/>
        </w:rPr>
        <w:t xml:space="preserve"> без изменений</w:t>
      </w:r>
      <w:r w:rsidR="00F6601C">
        <w:rPr>
          <w:rFonts w:eastAsia="Batang"/>
        </w:rPr>
        <w:t xml:space="preserve"> </w:t>
      </w:r>
      <w:r w:rsidR="00F6601C">
        <w:rPr>
          <w:rFonts w:eastAsia="Calibri"/>
          <w:iCs/>
        </w:rPr>
        <w:t>в отношении</w:t>
      </w:r>
      <w:r w:rsidR="00F6601C" w:rsidRPr="00657388">
        <w:rPr>
          <w:rFonts w:eastAsia="Calibri"/>
          <w:iCs/>
        </w:rPr>
        <w:t xml:space="preserve"> распределени</w:t>
      </w:r>
      <w:r w:rsidR="00F6601C">
        <w:rPr>
          <w:rFonts w:eastAsia="Calibri"/>
          <w:iCs/>
        </w:rPr>
        <w:t>й</w:t>
      </w:r>
      <w:r w:rsidR="00F6601C" w:rsidRPr="00657388">
        <w:rPr>
          <w:rFonts w:eastAsia="Calibri"/>
          <w:iCs/>
        </w:rPr>
        <w:t xml:space="preserve"> в полосе частот 6425−7125</w:t>
      </w:r>
      <w:r w:rsidR="00F6601C">
        <w:rPr>
          <w:rFonts w:eastAsia="Calibri"/>
          <w:iCs/>
          <w:lang w:val="en-GB"/>
        </w:rPr>
        <w:t> </w:t>
      </w:r>
      <w:r w:rsidR="00F6601C">
        <w:rPr>
          <w:rFonts w:eastAsia="Calibri"/>
          <w:iCs/>
        </w:rPr>
        <w:t>МГц</w:t>
      </w:r>
      <w:r w:rsidRPr="00981B07">
        <w:rPr>
          <w:rFonts w:eastAsia="MS Mincho"/>
          <w:lang w:eastAsia="ja-JP"/>
        </w:rPr>
        <w:t>.</w:t>
      </w:r>
      <w:bookmarkEnd w:id="28"/>
    </w:p>
    <w:p w14:paraId="0844E0BB" w14:textId="77777777" w:rsidR="00C67A6E" w:rsidRPr="00150B7A" w:rsidRDefault="00C67A6E" w:rsidP="00150B7A">
      <w:pPr>
        <w:pStyle w:val="Headingb"/>
        <w:rPr>
          <w:lang w:val="ru-RU"/>
        </w:rPr>
      </w:pPr>
      <w:r w:rsidRPr="005A16DD">
        <w:rPr>
          <w:lang w:val="ru-RU"/>
        </w:rPr>
        <w:t>2</w:t>
      </w:r>
      <w:r w:rsidRPr="005A16DD">
        <w:rPr>
          <w:lang w:val="ru-RU"/>
        </w:rPr>
        <w:tab/>
      </w:r>
      <w:r w:rsidR="00150B7A" w:rsidRPr="005A16DD">
        <w:rPr>
          <w:lang w:val="ru-RU"/>
        </w:rPr>
        <w:t>Предложения</w:t>
      </w:r>
    </w:p>
    <w:p w14:paraId="556E17D6" w14:textId="77777777" w:rsidR="00C67A6E" w:rsidRDefault="00C67A6E" w:rsidP="00BD0D2F"/>
    <w:p w14:paraId="7B954587" w14:textId="77777777" w:rsidR="009B5CC2" w:rsidRPr="00C67A6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67A6E">
        <w:br w:type="page"/>
      </w:r>
    </w:p>
    <w:p w14:paraId="2899559D" w14:textId="77777777" w:rsidR="00A25848" w:rsidRPr="00FB67DA" w:rsidRDefault="00D03ACF" w:rsidP="00FB67DA">
      <w:pPr>
        <w:pStyle w:val="ArtNo"/>
      </w:pPr>
      <w:bookmarkStart w:id="29" w:name="_Toc43466450"/>
      <w:r w:rsidRPr="00FB67DA">
        <w:lastRenderedPageBreak/>
        <w:t xml:space="preserve">СТАТЬЯ </w:t>
      </w:r>
      <w:r w:rsidRPr="00FB67DA">
        <w:rPr>
          <w:rStyle w:val="href"/>
        </w:rPr>
        <w:t>5</w:t>
      </w:r>
      <w:bookmarkEnd w:id="29"/>
    </w:p>
    <w:p w14:paraId="1D762E65" w14:textId="77777777" w:rsidR="00A25848" w:rsidRPr="00624E15" w:rsidRDefault="00D03ACF" w:rsidP="00A25848">
      <w:pPr>
        <w:pStyle w:val="Arttitle"/>
      </w:pPr>
      <w:bookmarkStart w:id="30" w:name="_Toc331607682"/>
      <w:bookmarkStart w:id="31" w:name="_Toc43466451"/>
      <w:r w:rsidRPr="00624E15">
        <w:t>Распределение частот</w:t>
      </w:r>
      <w:bookmarkEnd w:id="30"/>
      <w:bookmarkEnd w:id="31"/>
    </w:p>
    <w:p w14:paraId="59DEA1AC" w14:textId="77777777" w:rsidR="00A25848" w:rsidRPr="00624E15" w:rsidRDefault="00D03ACF" w:rsidP="00A25848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4CED1A2D" w14:textId="77777777" w:rsidR="00786B07" w:rsidRPr="00C67A6E" w:rsidRDefault="00D03ACF">
      <w:pPr>
        <w:pStyle w:val="Proposal"/>
        <w:rPr>
          <w:lang w:val="en-US"/>
        </w:rPr>
      </w:pPr>
      <w:r w:rsidRPr="00C67A6E">
        <w:rPr>
          <w:u w:val="single"/>
          <w:lang w:val="en-US"/>
        </w:rPr>
        <w:t>NOC</w:t>
      </w:r>
      <w:r w:rsidRPr="00C67A6E">
        <w:rPr>
          <w:lang w:val="en-US"/>
        </w:rPr>
        <w:tab/>
        <w:t>ARS/LBY/QAT/SMO/SOM/175/1</w:t>
      </w:r>
    </w:p>
    <w:p w14:paraId="3F121042" w14:textId="77777777" w:rsidR="00A25848" w:rsidRPr="00624E15" w:rsidRDefault="00D03ACF" w:rsidP="00A25848">
      <w:pPr>
        <w:pStyle w:val="Tabletitle"/>
      </w:pPr>
      <w:r w:rsidRPr="00624E15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25848" w:rsidRPr="00624E15" w14:paraId="1A9B7DB5" w14:textId="77777777" w:rsidTr="00A25848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AA3" w14:textId="77777777" w:rsidR="00A25848" w:rsidRPr="00624E15" w:rsidRDefault="00D03ACF" w:rsidP="00A25848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A25848" w:rsidRPr="00624E15" w14:paraId="795DD371" w14:textId="77777777" w:rsidTr="00A25848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EF6" w14:textId="77777777" w:rsidR="00A25848" w:rsidRPr="00624E15" w:rsidRDefault="00D03ACF" w:rsidP="00A25848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14C6" w14:textId="77777777" w:rsidR="00A25848" w:rsidRPr="00624E15" w:rsidRDefault="00D03ACF" w:rsidP="00A25848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EDE" w14:textId="77777777" w:rsidR="00A25848" w:rsidRPr="00624E15" w:rsidRDefault="00D03ACF" w:rsidP="00A25848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A25848" w:rsidRPr="00624E15" w14:paraId="7D784BB4" w14:textId="77777777" w:rsidTr="00A25848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858A1E" w14:textId="77777777" w:rsidR="00A25848" w:rsidRPr="00624E15" w:rsidRDefault="00D03ACF" w:rsidP="00A25848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624E15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10624F" w14:textId="77777777" w:rsidR="00A25848" w:rsidRPr="00624E15" w:rsidRDefault="00D03ACF" w:rsidP="00A25848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  <w:r w:rsidRPr="00624E15">
              <w:rPr>
                <w:rStyle w:val="Artref"/>
                <w:lang w:val="ru-RU"/>
              </w:rPr>
              <w:t xml:space="preserve">  5.457</w:t>
            </w:r>
          </w:p>
          <w:p w14:paraId="4C98607E" w14:textId="77777777" w:rsidR="00A25848" w:rsidRPr="00624E15" w:rsidRDefault="00D03ACF" w:rsidP="00A25848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>5.457А  5.457В</w:t>
            </w:r>
          </w:p>
          <w:p w14:paraId="0CBA9BEA" w14:textId="77777777" w:rsidR="00A25848" w:rsidRPr="00624E15" w:rsidRDefault="00D03ACF" w:rsidP="00A25848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624E15">
              <w:rPr>
                <w:lang w:val="ru-RU"/>
              </w:rPr>
              <w:t xml:space="preserve">ПОДВИЖНАЯ  </w:t>
            </w:r>
            <w:r w:rsidRPr="00624E15">
              <w:rPr>
                <w:rStyle w:val="Artref"/>
                <w:lang w:val="ru-RU"/>
              </w:rPr>
              <w:t>5.457С</w:t>
            </w:r>
          </w:p>
          <w:p w14:paraId="6DFC2730" w14:textId="77777777" w:rsidR="00A25848" w:rsidRPr="00624E15" w:rsidRDefault="00D03ACF" w:rsidP="00A25848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5.149  5.440  5.458</w:t>
            </w:r>
          </w:p>
        </w:tc>
      </w:tr>
    </w:tbl>
    <w:p w14:paraId="0AFD2E8E" w14:textId="26E527A9" w:rsidR="00B75983" w:rsidRPr="00B75983" w:rsidRDefault="00D03ACF" w:rsidP="00310EC5">
      <w:pPr>
        <w:pStyle w:val="Reasons"/>
      </w:pPr>
      <w:r>
        <w:rPr>
          <w:b/>
        </w:rPr>
        <w:t>Основания</w:t>
      </w:r>
      <w:r w:rsidRPr="00981B07">
        <w:t>:</w:t>
      </w:r>
      <w:r w:rsidRPr="00981B07">
        <w:tab/>
      </w:r>
      <w:r w:rsidR="00310EC5">
        <w:t xml:space="preserve">Подписавшие настоящий вклад </w:t>
      </w:r>
      <w:r w:rsidR="00310EC5">
        <w:rPr>
          <w:rFonts w:eastAsia="Batang"/>
        </w:rPr>
        <w:t>с</w:t>
      </w:r>
      <w:r w:rsidR="00310EC5" w:rsidRPr="00177DCC">
        <w:rPr>
          <w:rFonts w:eastAsia="Batang"/>
        </w:rPr>
        <w:t>тран</w:t>
      </w:r>
      <w:r w:rsidR="00310EC5">
        <w:rPr>
          <w:rFonts w:eastAsia="Batang"/>
        </w:rPr>
        <w:t>ы</w:t>
      </w:r>
      <w:r w:rsidR="00310EC5" w:rsidRPr="00177DCC">
        <w:rPr>
          <w:rFonts w:eastAsia="Batang"/>
        </w:rPr>
        <w:t xml:space="preserve"> предлагают не вносить изменений в отношении полос частот 6425−7025</w:t>
      </w:r>
      <w:r w:rsidR="00C664C7" w:rsidRPr="00C664C7">
        <w:rPr>
          <w:rFonts w:eastAsia="Batang"/>
          <w:lang w:val="en-US"/>
        </w:rPr>
        <w:t> </w:t>
      </w:r>
      <w:r w:rsidR="00C664C7" w:rsidRPr="00C664C7">
        <w:rPr>
          <w:rFonts w:eastAsia="Batang"/>
        </w:rPr>
        <w:t>МГц</w:t>
      </w:r>
      <w:r w:rsidR="00310EC5" w:rsidRPr="00177DCC">
        <w:rPr>
          <w:rFonts w:eastAsia="Batang"/>
        </w:rPr>
        <w:t xml:space="preserve"> и 7025−7125</w:t>
      </w:r>
      <w:r w:rsidR="00310EC5">
        <w:rPr>
          <w:rFonts w:eastAsia="Batang"/>
          <w:lang w:val="en-GB"/>
        </w:rPr>
        <w:t> </w:t>
      </w:r>
      <w:r w:rsidR="00310EC5">
        <w:rPr>
          <w:rFonts w:eastAsia="Batang"/>
        </w:rPr>
        <w:t>МГц</w:t>
      </w:r>
      <w:r w:rsidR="00310EC5" w:rsidRPr="00177DCC">
        <w:rPr>
          <w:rFonts w:eastAsia="Batang"/>
        </w:rPr>
        <w:t xml:space="preserve">. Такое решение позволило бы обеспечить защиту действующих служб и их будущее развитие, сохраняя при этом гибкость, </w:t>
      </w:r>
      <w:r w:rsidR="00310EC5">
        <w:rPr>
          <w:rFonts w:eastAsia="Batang"/>
        </w:rPr>
        <w:t>что дает возможность</w:t>
      </w:r>
      <w:r w:rsidR="00310EC5" w:rsidRPr="00177DCC">
        <w:rPr>
          <w:rFonts w:eastAsia="Batang"/>
        </w:rPr>
        <w:t xml:space="preserve"> наилучшим образом использовать </w:t>
      </w:r>
      <w:r w:rsidR="00310EC5">
        <w:rPr>
          <w:rFonts w:eastAsia="Batang"/>
        </w:rPr>
        <w:t xml:space="preserve">эти </w:t>
      </w:r>
      <w:r w:rsidR="00310EC5" w:rsidRPr="00177DCC">
        <w:rPr>
          <w:rFonts w:eastAsia="Batang"/>
        </w:rPr>
        <w:t xml:space="preserve">полосы в рамках существующих распределений, </w:t>
      </w:r>
      <w:r w:rsidR="00310EC5">
        <w:rPr>
          <w:rFonts w:eastAsia="Batang"/>
        </w:rPr>
        <w:t>поддерживая</w:t>
      </w:r>
      <w:r w:rsidR="00310EC5" w:rsidRPr="00177DCC">
        <w:rPr>
          <w:rFonts w:eastAsia="Batang"/>
        </w:rPr>
        <w:t xml:space="preserve"> при этом их будущее развитие.</w:t>
      </w:r>
      <w:r w:rsidR="00310EC5" w:rsidRPr="00177DCC">
        <w:rPr>
          <w:rFonts w:eastAsia="Batang"/>
        </w:rPr>
        <w:br/>
      </w:r>
      <w:r w:rsidR="00310EC5">
        <w:rPr>
          <w:rFonts w:eastAsia="Batang"/>
        </w:rPr>
        <w:t>Аналогичным образом</w:t>
      </w:r>
      <w:r w:rsidR="00310EC5" w:rsidRPr="00177DCC">
        <w:rPr>
          <w:rFonts w:eastAsia="Batang"/>
        </w:rPr>
        <w:t xml:space="preserve">, </w:t>
      </w:r>
      <w:r w:rsidR="00310EC5">
        <w:rPr>
          <w:rFonts w:eastAsia="Batang"/>
        </w:rPr>
        <w:t>масштабные</w:t>
      </w:r>
      <w:r w:rsidR="00310EC5" w:rsidRPr="00177DCC">
        <w:rPr>
          <w:rFonts w:eastAsia="Batang"/>
        </w:rPr>
        <w:t xml:space="preserve"> технические исследования показали, что сети </w:t>
      </w:r>
      <w:r w:rsidR="00310EC5">
        <w:rPr>
          <w:rFonts w:eastAsia="Batang"/>
          <w:lang w:val="en-GB"/>
        </w:rPr>
        <w:t>IMT</w:t>
      </w:r>
      <w:r w:rsidR="00310EC5" w:rsidRPr="00177DCC">
        <w:rPr>
          <w:rFonts w:eastAsia="Batang"/>
        </w:rPr>
        <w:t xml:space="preserve"> не могут сосуществовать с важными действующими службами в полосе частот 6425−7125</w:t>
      </w:r>
      <w:r w:rsidR="00310EC5">
        <w:rPr>
          <w:rFonts w:eastAsia="Batang"/>
          <w:lang w:val="en-GB"/>
        </w:rPr>
        <w:t> </w:t>
      </w:r>
      <w:r w:rsidR="00310EC5">
        <w:rPr>
          <w:rFonts w:eastAsia="Batang"/>
        </w:rPr>
        <w:t>МГц</w:t>
      </w:r>
      <w:r w:rsidR="00310EC5" w:rsidRPr="00177DCC">
        <w:rPr>
          <w:rFonts w:eastAsia="Batang"/>
        </w:rPr>
        <w:t xml:space="preserve">. Более широкое согласование </w:t>
      </w:r>
      <w:r w:rsidR="00310EC5">
        <w:rPr>
          <w:rFonts w:eastAsia="Batang"/>
          <w:lang w:val="en-GB"/>
        </w:rPr>
        <w:t>IMT</w:t>
      </w:r>
      <w:r w:rsidR="00310EC5" w:rsidRPr="00177DCC">
        <w:rPr>
          <w:rFonts w:eastAsia="Batang"/>
        </w:rPr>
        <w:t xml:space="preserve"> в полосе частот 6425−7125</w:t>
      </w:r>
      <w:r w:rsidR="00310EC5">
        <w:rPr>
          <w:rFonts w:eastAsia="Batang"/>
          <w:lang w:val="en-GB"/>
        </w:rPr>
        <w:t> </w:t>
      </w:r>
      <w:r w:rsidR="00310EC5">
        <w:rPr>
          <w:rFonts w:eastAsia="Batang"/>
        </w:rPr>
        <w:t>МГц</w:t>
      </w:r>
      <w:r w:rsidR="00310EC5" w:rsidRPr="00177DCC">
        <w:rPr>
          <w:rFonts w:eastAsia="Batang"/>
        </w:rPr>
        <w:t xml:space="preserve"> не представляется возможным в связи с </w:t>
      </w:r>
      <w:r w:rsidR="00310EC5">
        <w:rPr>
          <w:rFonts w:eastAsia="Batang"/>
        </w:rPr>
        <w:t>проблемами, связанными с</w:t>
      </w:r>
      <w:r w:rsidR="00310EC5" w:rsidRPr="00177DCC">
        <w:rPr>
          <w:rFonts w:eastAsia="Batang"/>
        </w:rPr>
        <w:t xml:space="preserve"> сосуществовани</w:t>
      </w:r>
      <w:r w:rsidR="00310EC5">
        <w:rPr>
          <w:rFonts w:eastAsia="Batang"/>
        </w:rPr>
        <w:t>ем,</w:t>
      </w:r>
      <w:r w:rsidR="00310EC5" w:rsidRPr="00177DCC">
        <w:rPr>
          <w:rFonts w:eastAsia="Batang"/>
        </w:rPr>
        <w:t xml:space="preserve"> и решениями ряда администраций не использовать этот спектр для развертывания сетей </w:t>
      </w:r>
      <w:r w:rsidR="00310EC5">
        <w:rPr>
          <w:rFonts w:eastAsia="Batang"/>
          <w:lang w:val="en-GB"/>
        </w:rPr>
        <w:t>IMT</w:t>
      </w:r>
      <w:r w:rsidR="00310EC5" w:rsidRPr="00177DCC">
        <w:rPr>
          <w:rFonts w:eastAsia="Batang"/>
        </w:rPr>
        <w:t xml:space="preserve">. Важно отметить, что при внедрении </w:t>
      </w:r>
      <w:r w:rsidR="00310EC5">
        <w:rPr>
          <w:rFonts w:eastAsia="Batang"/>
          <w:lang w:val="en-GB"/>
        </w:rPr>
        <w:t>IMT</w:t>
      </w:r>
      <w:r w:rsidR="00310EC5" w:rsidRPr="00177DCC">
        <w:rPr>
          <w:rFonts w:eastAsia="Batang"/>
        </w:rPr>
        <w:t xml:space="preserve"> </w:t>
      </w:r>
      <w:r w:rsidR="00310EC5">
        <w:rPr>
          <w:rFonts w:eastAsia="Batang"/>
        </w:rPr>
        <w:t>будет отсутствовать</w:t>
      </w:r>
      <w:r w:rsidR="00310EC5" w:rsidRPr="00177DCC">
        <w:rPr>
          <w:rFonts w:eastAsia="Batang"/>
        </w:rPr>
        <w:t xml:space="preserve"> экономи</w:t>
      </w:r>
      <w:r w:rsidR="00310EC5">
        <w:rPr>
          <w:rFonts w:eastAsia="Batang"/>
        </w:rPr>
        <w:t>я от</w:t>
      </w:r>
      <w:r w:rsidR="00310EC5" w:rsidRPr="00177DCC">
        <w:rPr>
          <w:rFonts w:eastAsia="Batang"/>
        </w:rPr>
        <w:t xml:space="preserve"> масштаба, необходим</w:t>
      </w:r>
      <w:r w:rsidR="00310EC5">
        <w:rPr>
          <w:rFonts w:eastAsia="Batang"/>
        </w:rPr>
        <w:t>ая</w:t>
      </w:r>
      <w:r w:rsidR="00310EC5" w:rsidRPr="00177DCC">
        <w:rPr>
          <w:rFonts w:eastAsia="Batang"/>
        </w:rPr>
        <w:t xml:space="preserve"> для </w:t>
      </w:r>
      <w:r w:rsidR="00310EC5">
        <w:rPr>
          <w:rFonts w:eastAsia="Batang"/>
        </w:rPr>
        <w:t xml:space="preserve">создания </w:t>
      </w:r>
      <w:r w:rsidR="00310EC5" w:rsidRPr="00177DCC">
        <w:rPr>
          <w:rFonts w:eastAsia="Batang"/>
        </w:rPr>
        <w:t>устойчивой экосистемы оборудования и коммерческой жизнеспособности.</w:t>
      </w:r>
    </w:p>
    <w:p w14:paraId="2DEFC24C" w14:textId="77777777" w:rsidR="00786B07" w:rsidRPr="00C67A6E" w:rsidRDefault="00D03ACF">
      <w:pPr>
        <w:pStyle w:val="Proposal"/>
        <w:rPr>
          <w:lang w:val="en-US"/>
        </w:rPr>
      </w:pPr>
      <w:r w:rsidRPr="00C67A6E">
        <w:rPr>
          <w:u w:val="single"/>
          <w:lang w:val="en-US"/>
        </w:rPr>
        <w:t>NOC</w:t>
      </w:r>
      <w:r w:rsidRPr="00C67A6E">
        <w:rPr>
          <w:lang w:val="en-US"/>
        </w:rPr>
        <w:tab/>
        <w:t>ARS/LBY/QAT/SMO/SOM/175/2</w:t>
      </w:r>
    </w:p>
    <w:p w14:paraId="61FDA6BD" w14:textId="77777777" w:rsidR="00A25848" w:rsidRPr="00624E15" w:rsidRDefault="00D03ACF" w:rsidP="00A25848">
      <w:pPr>
        <w:pStyle w:val="Tabletitle"/>
      </w:pPr>
      <w:r w:rsidRPr="00624E15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25848" w:rsidRPr="00624E15" w14:paraId="24F03F8D" w14:textId="77777777" w:rsidTr="00A25848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54A" w14:textId="77777777" w:rsidR="00A25848" w:rsidRPr="00624E15" w:rsidRDefault="00D03ACF" w:rsidP="00A25848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A25848" w:rsidRPr="00624E15" w14:paraId="1E530009" w14:textId="77777777" w:rsidTr="00A25848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BA1" w14:textId="77777777" w:rsidR="00A25848" w:rsidRPr="00624E15" w:rsidRDefault="00D03ACF" w:rsidP="00A25848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D4C" w14:textId="77777777" w:rsidR="00A25848" w:rsidRPr="00624E15" w:rsidRDefault="00D03ACF" w:rsidP="00A25848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655" w14:textId="77777777" w:rsidR="00A25848" w:rsidRPr="00624E15" w:rsidRDefault="00D03ACF" w:rsidP="00A25848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A25848" w:rsidRPr="00624E15" w14:paraId="6597DC8A" w14:textId="77777777" w:rsidTr="00AC5C31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3514FC" w14:textId="77777777" w:rsidR="00A25848" w:rsidRPr="00624E15" w:rsidRDefault="00D03ACF" w:rsidP="00A25848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72FED6" w14:textId="77777777" w:rsidR="00A25848" w:rsidRPr="00624E15" w:rsidRDefault="00D03ACF" w:rsidP="00A2584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02A711D1" w14:textId="77777777" w:rsidR="00A25848" w:rsidRPr="00624E15" w:rsidRDefault="00D03ACF" w:rsidP="00A25848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624E15">
              <w:rPr>
                <w:rStyle w:val="Artref"/>
                <w:lang w:val="ru-RU"/>
              </w:rPr>
              <w:t>5.441</w:t>
            </w:r>
          </w:p>
          <w:p w14:paraId="5E6329A2" w14:textId="77777777" w:rsidR="00A25848" w:rsidRPr="00624E15" w:rsidRDefault="00D03ACF" w:rsidP="00A2584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</w:t>
            </w:r>
          </w:p>
          <w:p w14:paraId="1D411A3A" w14:textId="77777777" w:rsidR="00A25848" w:rsidRPr="00624E15" w:rsidRDefault="00D03ACF" w:rsidP="00A25848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>5.458  5.458A  5.458B</w:t>
            </w:r>
          </w:p>
        </w:tc>
      </w:tr>
      <w:tr w:rsidR="00A25848" w:rsidRPr="00624E15" w14:paraId="6B994D20" w14:textId="77777777" w:rsidTr="00AC5C31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F48030" w14:textId="77777777" w:rsidR="00A25848" w:rsidRPr="00624E15" w:rsidRDefault="00D03ACF" w:rsidP="00A25848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624E15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E6740C" w14:textId="77777777" w:rsidR="00A25848" w:rsidRPr="00624E15" w:rsidRDefault="00D03ACF" w:rsidP="00A25848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5EFEDC8E" w14:textId="77777777" w:rsidR="00A25848" w:rsidRPr="00624E15" w:rsidRDefault="00D03ACF" w:rsidP="00A25848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</w:t>
            </w:r>
          </w:p>
          <w:p w14:paraId="72601883" w14:textId="77777777" w:rsidR="00A25848" w:rsidRPr="00624E15" w:rsidRDefault="00D03ACF" w:rsidP="00A25848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7330C86C" w14:textId="3077655D" w:rsidR="00A530FA" w:rsidRPr="00A530FA" w:rsidRDefault="00D03ACF" w:rsidP="00310EC5">
      <w:pPr>
        <w:pStyle w:val="Reasons"/>
      </w:pPr>
      <w:r>
        <w:rPr>
          <w:b/>
        </w:rPr>
        <w:t>Основания</w:t>
      </w:r>
      <w:r w:rsidRPr="00A530FA">
        <w:t>:</w:t>
      </w:r>
      <w:r w:rsidRPr="00A530FA">
        <w:tab/>
      </w:r>
      <w:r w:rsidR="00310EC5">
        <w:t xml:space="preserve">Подписавшие настоящий вклад </w:t>
      </w:r>
      <w:r w:rsidR="00310EC5">
        <w:rPr>
          <w:rFonts w:eastAsia="Batang"/>
        </w:rPr>
        <w:t>с</w:t>
      </w:r>
      <w:r w:rsidR="00310EC5" w:rsidRPr="00177DCC">
        <w:rPr>
          <w:rFonts w:eastAsia="Batang"/>
        </w:rPr>
        <w:t>тран</w:t>
      </w:r>
      <w:r w:rsidR="00310EC5">
        <w:rPr>
          <w:rFonts w:eastAsia="Batang"/>
        </w:rPr>
        <w:t>ы</w:t>
      </w:r>
      <w:r w:rsidR="00310EC5" w:rsidRPr="00177DCC">
        <w:rPr>
          <w:rFonts w:eastAsia="Batang"/>
        </w:rPr>
        <w:t xml:space="preserve"> предлагают не вносить изменений в отношении полос частот 6425−7025</w:t>
      </w:r>
      <w:r w:rsidR="00C664C7" w:rsidRPr="00C664C7">
        <w:rPr>
          <w:rFonts w:eastAsia="Batang"/>
          <w:lang w:val="en-US"/>
        </w:rPr>
        <w:t> </w:t>
      </w:r>
      <w:r w:rsidR="00C664C7" w:rsidRPr="00C664C7">
        <w:rPr>
          <w:rFonts w:eastAsia="Batang"/>
        </w:rPr>
        <w:t>МГц</w:t>
      </w:r>
      <w:r w:rsidR="00310EC5" w:rsidRPr="00177DCC">
        <w:rPr>
          <w:rFonts w:eastAsia="Batang"/>
        </w:rPr>
        <w:t xml:space="preserve"> и 7025−7125</w:t>
      </w:r>
      <w:r w:rsidR="00310EC5">
        <w:rPr>
          <w:rFonts w:eastAsia="Batang"/>
          <w:lang w:val="en-GB"/>
        </w:rPr>
        <w:t> </w:t>
      </w:r>
      <w:r w:rsidR="00310EC5">
        <w:rPr>
          <w:rFonts w:eastAsia="Batang"/>
        </w:rPr>
        <w:t>МГц</w:t>
      </w:r>
      <w:r w:rsidR="00310EC5" w:rsidRPr="00177DCC">
        <w:rPr>
          <w:rFonts w:eastAsia="Batang"/>
        </w:rPr>
        <w:t xml:space="preserve">. Такое решение позволило бы обеспечить защиту действующих служб и их будущее развитие, сохраняя при этом гибкость, </w:t>
      </w:r>
      <w:r w:rsidR="00310EC5">
        <w:rPr>
          <w:rFonts w:eastAsia="Batang"/>
        </w:rPr>
        <w:t>что дает возможность</w:t>
      </w:r>
      <w:r w:rsidR="00310EC5" w:rsidRPr="00177DCC">
        <w:rPr>
          <w:rFonts w:eastAsia="Batang"/>
        </w:rPr>
        <w:t xml:space="preserve"> наилучшим образом использовать </w:t>
      </w:r>
      <w:r w:rsidR="00310EC5">
        <w:rPr>
          <w:rFonts w:eastAsia="Batang"/>
        </w:rPr>
        <w:t xml:space="preserve">эти </w:t>
      </w:r>
      <w:r w:rsidR="00310EC5" w:rsidRPr="00177DCC">
        <w:rPr>
          <w:rFonts w:eastAsia="Batang"/>
        </w:rPr>
        <w:t xml:space="preserve">полосы в рамках существующих распределений, </w:t>
      </w:r>
      <w:r w:rsidR="00310EC5">
        <w:rPr>
          <w:rFonts w:eastAsia="Batang"/>
        </w:rPr>
        <w:t>поддерживая</w:t>
      </w:r>
      <w:r w:rsidR="00310EC5" w:rsidRPr="00177DCC">
        <w:rPr>
          <w:rFonts w:eastAsia="Batang"/>
        </w:rPr>
        <w:t xml:space="preserve"> при этом их будущее развитие.</w:t>
      </w:r>
      <w:r w:rsidR="00310EC5" w:rsidRPr="00177DCC">
        <w:rPr>
          <w:rFonts w:eastAsia="Batang"/>
        </w:rPr>
        <w:br/>
      </w:r>
      <w:r w:rsidR="00310EC5">
        <w:rPr>
          <w:rFonts w:eastAsia="Batang"/>
        </w:rPr>
        <w:t>Аналогичным образом</w:t>
      </w:r>
      <w:r w:rsidR="00310EC5" w:rsidRPr="00177DCC">
        <w:rPr>
          <w:rFonts w:eastAsia="Batang"/>
        </w:rPr>
        <w:t xml:space="preserve">, </w:t>
      </w:r>
      <w:r w:rsidR="00310EC5">
        <w:rPr>
          <w:rFonts w:eastAsia="Batang"/>
        </w:rPr>
        <w:t>масштабные</w:t>
      </w:r>
      <w:r w:rsidR="00310EC5" w:rsidRPr="00177DCC">
        <w:rPr>
          <w:rFonts w:eastAsia="Batang"/>
        </w:rPr>
        <w:t xml:space="preserve"> технические исследования показали, что сети </w:t>
      </w:r>
      <w:r w:rsidR="00310EC5">
        <w:rPr>
          <w:rFonts w:eastAsia="Batang"/>
          <w:lang w:val="en-GB"/>
        </w:rPr>
        <w:t>IMT</w:t>
      </w:r>
      <w:r w:rsidR="00310EC5" w:rsidRPr="00177DCC">
        <w:rPr>
          <w:rFonts w:eastAsia="Batang"/>
        </w:rPr>
        <w:t xml:space="preserve"> не могут сосуществовать с важными действующими службами в полосе частот 6425−7125</w:t>
      </w:r>
      <w:r w:rsidR="00310EC5">
        <w:rPr>
          <w:rFonts w:eastAsia="Batang"/>
          <w:lang w:val="en-GB"/>
        </w:rPr>
        <w:t> </w:t>
      </w:r>
      <w:r w:rsidR="00310EC5">
        <w:rPr>
          <w:rFonts w:eastAsia="Batang"/>
        </w:rPr>
        <w:t>МГц</w:t>
      </w:r>
      <w:r w:rsidR="00310EC5" w:rsidRPr="00177DCC">
        <w:rPr>
          <w:rFonts w:eastAsia="Batang"/>
        </w:rPr>
        <w:t xml:space="preserve">. Более широкое согласование </w:t>
      </w:r>
      <w:r w:rsidR="00310EC5">
        <w:rPr>
          <w:rFonts w:eastAsia="Batang"/>
          <w:lang w:val="en-GB"/>
        </w:rPr>
        <w:t>IMT</w:t>
      </w:r>
      <w:r w:rsidR="00310EC5" w:rsidRPr="00177DCC">
        <w:rPr>
          <w:rFonts w:eastAsia="Batang"/>
        </w:rPr>
        <w:t xml:space="preserve"> в полосе частот 6425−7125</w:t>
      </w:r>
      <w:r w:rsidR="00310EC5">
        <w:rPr>
          <w:rFonts w:eastAsia="Batang"/>
          <w:lang w:val="en-GB"/>
        </w:rPr>
        <w:t> </w:t>
      </w:r>
      <w:r w:rsidR="00310EC5">
        <w:rPr>
          <w:rFonts w:eastAsia="Batang"/>
        </w:rPr>
        <w:t>МГц</w:t>
      </w:r>
      <w:r w:rsidR="00310EC5" w:rsidRPr="00177DCC">
        <w:rPr>
          <w:rFonts w:eastAsia="Batang"/>
        </w:rPr>
        <w:t xml:space="preserve"> не представляется возможным в связи с </w:t>
      </w:r>
      <w:r w:rsidR="00310EC5">
        <w:rPr>
          <w:rFonts w:eastAsia="Batang"/>
        </w:rPr>
        <w:t>проблемами, связанными с</w:t>
      </w:r>
      <w:r w:rsidR="00310EC5" w:rsidRPr="00177DCC">
        <w:rPr>
          <w:rFonts w:eastAsia="Batang"/>
        </w:rPr>
        <w:t xml:space="preserve"> сосуществовани</w:t>
      </w:r>
      <w:r w:rsidR="00310EC5">
        <w:rPr>
          <w:rFonts w:eastAsia="Batang"/>
        </w:rPr>
        <w:t>ем,</w:t>
      </w:r>
      <w:r w:rsidR="00310EC5" w:rsidRPr="00177DCC">
        <w:rPr>
          <w:rFonts w:eastAsia="Batang"/>
        </w:rPr>
        <w:t xml:space="preserve"> и решениями ряда администраций не использовать этот спектр для развертывания сетей </w:t>
      </w:r>
      <w:r w:rsidR="00310EC5">
        <w:rPr>
          <w:rFonts w:eastAsia="Batang"/>
          <w:lang w:val="en-GB"/>
        </w:rPr>
        <w:t>IMT</w:t>
      </w:r>
      <w:r w:rsidR="00310EC5" w:rsidRPr="00177DCC">
        <w:rPr>
          <w:rFonts w:eastAsia="Batang"/>
        </w:rPr>
        <w:t xml:space="preserve">. Важно отметить, что при внедрении </w:t>
      </w:r>
      <w:r w:rsidR="00310EC5">
        <w:rPr>
          <w:rFonts w:eastAsia="Batang"/>
          <w:lang w:val="en-GB"/>
        </w:rPr>
        <w:t>IMT</w:t>
      </w:r>
      <w:r w:rsidR="00310EC5" w:rsidRPr="00177DCC">
        <w:rPr>
          <w:rFonts w:eastAsia="Batang"/>
        </w:rPr>
        <w:t xml:space="preserve"> </w:t>
      </w:r>
      <w:r w:rsidR="00310EC5">
        <w:rPr>
          <w:rFonts w:eastAsia="Batang"/>
        </w:rPr>
        <w:t xml:space="preserve">будет </w:t>
      </w:r>
      <w:r w:rsidR="00310EC5">
        <w:rPr>
          <w:rFonts w:eastAsia="Batang"/>
        </w:rPr>
        <w:lastRenderedPageBreak/>
        <w:t>отсутствовать</w:t>
      </w:r>
      <w:r w:rsidR="00310EC5" w:rsidRPr="00177DCC">
        <w:rPr>
          <w:rFonts w:eastAsia="Batang"/>
        </w:rPr>
        <w:t xml:space="preserve"> экономи</w:t>
      </w:r>
      <w:r w:rsidR="00310EC5">
        <w:rPr>
          <w:rFonts w:eastAsia="Batang"/>
        </w:rPr>
        <w:t>я от</w:t>
      </w:r>
      <w:r w:rsidR="00310EC5" w:rsidRPr="00177DCC">
        <w:rPr>
          <w:rFonts w:eastAsia="Batang"/>
        </w:rPr>
        <w:t xml:space="preserve"> масштаба, необходим</w:t>
      </w:r>
      <w:r w:rsidR="00310EC5">
        <w:rPr>
          <w:rFonts w:eastAsia="Batang"/>
        </w:rPr>
        <w:t>ая</w:t>
      </w:r>
      <w:r w:rsidR="00310EC5" w:rsidRPr="00177DCC">
        <w:rPr>
          <w:rFonts w:eastAsia="Batang"/>
        </w:rPr>
        <w:t xml:space="preserve"> для </w:t>
      </w:r>
      <w:r w:rsidR="00310EC5">
        <w:rPr>
          <w:rFonts w:eastAsia="Batang"/>
        </w:rPr>
        <w:t xml:space="preserve">создания </w:t>
      </w:r>
      <w:r w:rsidR="00310EC5" w:rsidRPr="00177DCC">
        <w:rPr>
          <w:rFonts w:eastAsia="Batang"/>
        </w:rPr>
        <w:t>устойчивой экосистемы оборудования и коммерческой жизнеспособности.</w:t>
      </w:r>
    </w:p>
    <w:p w14:paraId="3185C48E" w14:textId="77777777" w:rsidR="00786B07" w:rsidRPr="00C67A6E" w:rsidRDefault="00D03ACF">
      <w:pPr>
        <w:pStyle w:val="Proposal"/>
        <w:rPr>
          <w:lang w:val="en-US"/>
        </w:rPr>
      </w:pPr>
      <w:r w:rsidRPr="00C67A6E">
        <w:rPr>
          <w:lang w:val="en-US"/>
        </w:rPr>
        <w:t>SUP</w:t>
      </w:r>
      <w:r w:rsidRPr="00C67A6E">
        <w:rPr>
          <w:lang w:val="en-US"/>
        </w:rPr>
        <w:tab/>
        <w:t>ARS/LBY/QAT/SMO/SOM/175/3</w:t>
      </w:r>
      <w:r w:rsidRPr="00C67A6E">
        <w:rPr>
          <w:vanish/>
          <w:color w:val="7F7F7F" w:themeColor="text1" w:themeTint="80"/>
          <w:vertAlign w:val="superscript"/>
          <w:lang w:val="en-US"/>
        </w:rPr>
        <w:t>#1391</w:t>
      </w:r>
    </w:p>
    <w:p w14:paraId="73D25606" w14:textId="77777777" w:rsidR="00A25848" w:rsidRPr="004440B8" w:rsidRDefault="00D03ACF" w:rsidP="00A25848">
      <w:pPr>
        <w:pStyle w:val="ResNo"/>
      </w:pPr>
      <w:r w:rsidRPr="004440B8">
        <w:t xml:space="preserve">резолюция </w:t>
      </w:r>
      <w:r w:rsidRPr="004440B8">
        <w:rPr>
          <w:rStyle w:val="href"/>
        </w:rPr>
        <w:t>245</w:t>
      </w:r>
      <w:r w:rsidRPr="004440B8">
        <w:t xml:space="preserve"> (ВКР</w:t>
      </w:r>
      <w:r w:rsidRPr="004440B8">
        <w:noBreakHyphen/>
        <w:t>19)</w:t>
      </w:r>
    </w:p>
    <w:p w14:paraId="673B073C" w14:textId="77777777" w:rsidR="00A25848" w:rsidRPr="004440B8" w:rsidRDefault="00D03ACF" w:rsidP="00A25848">
      <w:pPr>
        <w:pStyle w:val="Restitle"/>
      </w:pPr>
      <w:r w:rsidRPr="004440B8">
        <w:t>Исследования связанных с частотами вопросов в целях определения спектра для наземного сегмента Международной подвижной электросвязи в полосах частот 3300−3400 МГц, 3600−3800 МГц, 6425−7025 МГц, 7025−7125 МГц и 10,0−10,5 ГГц</w:t>
      </w:r>
    </w:p>
    <w:p w14:paraId="5E9167BB" w14:textId="22E96B51" w:rsidR="00A530FA" w:rsidRDefault="00D03ACF">
      <w:pPr>
        <w:pStyle w:val="Reasons"/>
      </w:pPr>
      <w:r>
        <w:rPr>
          <w:b/>
        </w:rPr>
        <w:t>Основания</w:t>
      </w:r>
      <w:r w:rsidRPr="00A530FA">
        <w:t>:</w:t>
      </w:r>
      <w:r w:rsidRPr="00A530FA">
        <w:tab/>
      </w:r>
      <w:r w:rsidR="00A530FA">
        <w:t xml:space="preserve">Логически вытекающие изменения. В Резолюции </w:t>
      </w:r>
      <w:r w:rsidR="00A530FA">
        <w:rPr>
          <w:b/>
        </w:rPr>
        <w:t xml:space="preserve">245 (ВКР-19) </w:t>
      </w:r>
      <w:r w:rsidR="00310EC5">
        <w:t>больше</w:t>
      </w:r>
      <w:r w:rsidR="00C664C7">
        <w:t xml:space="preserve"> нет необходимости.</w:t>
      </w:r>
    </w:p>
    <w:p w14:paraId="58C52B43" w14:textId="77777777" w:rsidR="00A643A8" w:rsidRDefault="00A643A8" w:rsidP="00A643A8">
      <w:pPr>
        <w:spacing w:before="480"/>
        <w:jc w:val="center"/>
      </w:pPr>
      <w:r>
        <w:t>______________</w:t>
      </w:r>
    </w:p>
    <w:sectPr w:rsidR="00A643A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977D" w14:textId="77777777" w:rsidR="002F11E0" w:rsidRDefault="002F11E0">
      <w:r>
        <w:separator/>
      </w:r>
    </w:p>
  </w:endnote>
  <w:endnote w:type="continuationSeparator" w:id="0">
    <w:p w14:paraId="6DA3699E" w14:textId="77777777" w:rsidR="002F11E0" w:rsidRDefault="002F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EE52" w14:textId="77777777" w:rsidR="00AE61DA" w:rsidRDefault="00AE61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5E7A02" w14:textId="22A28A26" w:rsidR="00AE61DA" w:rsidRDefault="00AE61D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7C9C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7B6D" w14:textId="77777777" w:rsidR="00AE61DA" w:rsidRDefault="00AE61DA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>
      <w:rPr>
        <w:lang w:val="pt-BR"/>
      </w:rPr>
      <w:t>1</w:t>
    </w:r>
    <w:r w:rsidRPr="00147DF8">
      <w:rPr>
        <w:lang w:val="pt-BR"/>
      </w:rPr>
      <w:t>00\</w:t>
    </w:r>
    <w:r>
      <w:rPr>
        <w:lang w:val="pt-BR"/>
      </w:rPr>
      <w:t>175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530464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7C6D" w14:textId="77777777" w:rsidR="00AE61DA" w:rsidRDefault="00AE61DA" w:rsidP="00FB67E5">
    <w:pPr>
      <w:pStyle w:val="Footer"/>
      <w:rPr>
        <w:lang w:val="fr-F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>
      <w:rPr>
        <w:lang w:val="pt-BR"/>
      </w:rPr>
      <w:t>1</w:t>
    </w:r>
    <w:r w:rsidRPr="00147DF8">
      <w:rPr>
        <w:lang w:val="pt-BR"/>
      </w:rPr>
      <w:t>00\</w:t>
    </w:r>
    <w:r>
      <w:rPr>
        <w:lang w:val="pt-BR"/>
      </w:rPr>
      <w:t>175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530464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808C" w14:textId="77777777" w:rsidR="002F11E0" w:rsidRDefault="002F11E0">
      <w:r>
        <w:rPr>
          <w:b/>
        </w:rPr>
        <w:t>_______________</w:t>
      </w:r>
    </w:p>
  </w:footnote>
  <w:footnote w:type="continuationSeparator" w:id="0">
    <w:p w14:paraId="364F9698" w14:textId="77777777" w:rsidR="002F11E0" w:rsidRDefault="002F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EE65" w14:textId="3E4F325F" w:rsidR="00AE61DA" w:rsidRPr="00434A7C" w:rsidRDefault="00AE61D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664C7">
      <w:rPr>
        <w:noProof/>
      </w:rPr>
      <w:t>7</w:t>
    </w:r>
    <w:r>
      <w:fldChar w:fldCharType="end"/>
    </w:r>
  </w:p>
  <w:p w14:paraId="69AD9C90" w14:textId="77777777" w:rsidR="00AE61DA" w:rsidRDefault="00AE61DA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/175-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9D14219"/>
    <w:multiLevelType w:val="hybridMultilevel"/>
    <w:tmpl w:val="CA7EBB94"/>
    <w:lvl w:ilvl="0" w:tplc="20BA05B2">
      <w:start w:val="1"/>
      <w:numFmt w:val="decimal"/>
      <w:lvlText w:val="%1)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2363">
    <w:abstractNumId w:val="0"/>
  </w:num>
  <w:num w:numId="2" w16cid:durableId="16512093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0573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267E3"/>
    <w:rsid w:val="0003535B"/>
    <w:rsid w:val="00042C0A"/>
    <w:rsid w:val="0004797C"/>
    <w:rsid w:val="00050322"/>
    <w:rsid w:val="0008012D"/>
    <w:rsid w:val="00092122"/>
    <w:rsid w:val="000A0EF3"/>
    <w:rsid w:val="000C3F55"/>
    <w:rsid w:val="000F33D8"/>
    <w:rsid w:val="000F39B4"/>
    <w:rsid w:val="00111A5C"/>
    <w:rsid w:val="00113D0B"/>
    <w:rsid w:val="001226EC"/>
    <w:rsid w:val="00123B68"/>
    <w:rsid w:val="00124C09"/>
    <w:rsid w:val="00126F2E"/>
    <w:rsid w:val="00146961"/>
    <w:rsid w:val="00150B7A"/>
    <w:rsid w:val="001521AE"/>
    <w:rsid w:val="001A5585"/>
    <w:rsid w:val="001B0A59"/>
    <w:rsid w:val="001C06F7"/>
    <w:rsid w:val="001C35B9"/>
    <w:rsid w:val="001D26DD"/>
    <w:rsid w:val="001D46DF"/>
    <w:rsid w:val="001E5FB4"/>
    <w:rsid w:val="00202CA0"/>
    <w:rsid w:val="002111F9"/>
    <w:rsid w:val="00225E0B"/>
    <w:rsid w:val="00230582"/>
    <w:rsid w:val="002449AA"/>
    <w:rsid w:val="00245A1F"/>
    <w:rsid w:val="00271683"/>
    <w:rsid w:val="00275DA2"/>
    <w:rsid w:val="00290C74"/>
    <w:rsid w:val="00293AD2"/>
    <w:rsid w:val="002A2C1D"/>
    <w:rsid w:val="002A2D3F"/>
    <w:rsid w:val="002C07B5"/>
    <w:rsid w:val="002C0AAB"/>
    <w:rsid w:val="002C4194"/>
    <w:rsid w:val="002E0FCA"/>
    <w:rsid w:val="002F11E0"/>
    <w:rsid w:val="00300F84"/>
    <w:rsid w:val="00310EC5"/>
    <w:rsid w:val="003258F2"/>
    <w:rsid w:val="003315E4"/>
    <w:rsid w:val="00333859"/>
    <w:rsid w:val="00335F41"/>
    <w:rsid w:val="00344EB8"/>
    <w:rsid w:val="00346BEC"/>
    <w:rsid w:val="00352FB9"/>
    <w:rsid w:val="00371E4B"/>
    <w:rsid w:val="00373759"/>
    <w:rsid w:val="00377AA9"/>
    <w:rsid w:val="00377DFE"/>
    <w:rsid w:val="003B46C4"/>
    <w:rsid w:val="003B6996"/>
    <w:rsid w:val="003C583C"/>
    <w:rsid w:val="003C61A7"/>
    <w:rsid w:val="003E337A"/>
    <w:rsid w:val="003F0078"/>
    <w:rsid w:val="0043216B"/>
    <w:rsid w:val="00434A7C"/>
    <w:rsid w:val="0045143A"/>
    <w:rsid w:val="00456572"/>
    <w:rsid w:val="004A58F4"/>
    <w:rsid w:val="004B716F"/>
    <w:rsid w:val="004C1369"/>
    <w:rsid w:val="004C47ED"/>
    <w:rsid w:val="004C6D0B"/>
    <w:rsid w:val="004C74BD"/>
    <w:rsid w:val="004E08BC"/>
    <w:rsid w:val="004F3B0D"/>
    <w:rsid w:val="00500128"/>
    <w:rsid w:val="005045D9"/>
    <w:rsid w:val="0051315E"/>
    <w:rsid w:val="005144A9"/>
    <w:rsid w:val="00514E1F"/>
    <w:rsid w:val="00521B1D"/>
    <w:rsid w:val="005305D5"/>
    <w:rsid w:val="00540D1E"/>
    <w:rsid w:val="0054557A"/>
    <w:rsid w:val="005651C9"/>
    <w:rsid w:val="00567276"/>
    <w:rsid w:val="005755E2"/>
    <w:rsid w:val="00597005"/>
    <w:rsid w:val="005A16DD"/>
    <w:rsid w:val="005A295E"/>
    <w:rsid w:val="005A3C62"/>
    <w:rsid w:val="005D1879"/>
    <w:rsid w:val="005D79A3"/>
    <w:rsid w:val="005E547A"/>
    <w:rsid w:val="005E61DD"/>
    <w:rsid w:val="005F274B"/>
    <w:rsid w:val="006023DF"/>
    <w:rsid w:val="006115BE"/>
    <w:rsid w:val="00614771"/>
    <w:rsid w:val="00620DD7"/>
    <w:rsid w:val="00657DE0"/>
    <w:rsid w:val="0067079F"/>
    <w:rsid w:val="00692C06"/>
    <w:rsid w:val="006A6E9B"/>
    <w:rsid w:val="006D45D7"/>
    <w:rsid w:val="006E2B08"/>
    <w:rsid w:val="006F3A42"/>
    <w:rsid w:val="007226C8"/>
    <w:rsid w:val="0075379E"/>
    <w:rsid w:val="00760AB6"/>
    <w:rsid w:val="00761FF8"/>
    <w:rsid w:val="00763F4F"/>
    <w:rsid w:val="00775720"/>
    <w:rsid w:val="00786B07"/>
    <w:rsid w:val="007917AE"/>
    <w:rsid w:val="007A08B5"/>
    <w:rsid w:val="007C23E0"/>
    <w:rsid w:val="007C71FF"/>
    <w:rsid w:val="007F33B4"/>
    <w:rsid w:val="00804230"/>
    <w:rsid w:val="00811633"/>
    <w:rsid w:val="00812452"/>
    <w:rsid w:val="00815749"/>
    <w:rsid w:val="00836AE1"/>
    <w:rsid w:val="00851399"/>
    <w:rsid w:val="00872FC8"/>
    <w:rsid w:val="00874CB4"/>
    <w:rsid w:val="008B43F2"/>
    <w:rsid w:val="008C02DD"/>
    <w:rsid w:val="008C3257"/>
    <w:rsid w:val="008C401C"/>
    <w:rsid w:val="008D3A1C"/>
    <w:rsid w:val="008F4C6E"/>
    <w:rsid w:val="008F5607"/>
    <w:rsid w:val="0090444B"/>
    <w:rsid w:val="009119CC"/>
    <w:rsid w:val="00917C0A"/>
    <w:rsid w:val="00923823"/>
    <w:rsid w:val="00941A02"/>
    <w:rsid w:val="00956261"/>
    <w:rsid w:val="009661A4"/>
    <w:rsid w:val="00966C93"/>
    <w:rsid w:val="00981B07"/>
    <w:rsid w:val="00987FA4"/>
    <w:rsid w:val="009A22D9"/>
    <w:rsid w:val="009A7C9C"/>
    <w:rsid w:val="009B5CC2"/>
    <w:rsid w:val="009B64D4"/>
    <w:rsid w:val="009C45F1"/>
    <w:rsid w:val="009D3D63"/>
    <w:rsid w:val="009D771E"/>
    <w:rsid w:val="009E5FC8"/>
    <w:rsid w:val="00A117A3"/>
    <w:rsid w:val="00A138D0"/>
    <w:rsid w:val="00A13EDA"/>
    <w:rsid w:val="00A141AF"/>
    <w:rsid w:val="00A2044F"/>
    <w:rsid w:val="00A25848"/>
    <w:rsid w:val="00A4600A"/>
    <w:rsid w:val="00A530FA"/>
    <w:rsid w:val="00A54069"/>
    <w:rsid w:val="00A55F1D"/>
    <w:rsid w:val="00A57C04"/>
    <w:rsid w:val="00A61057"/>
    <w:rsid w:val="00A643A8"/>
    <w:rsid w:val="00A7059B"/>
    <w:rsid w:val="00A710E7"/>
    <w:rsid w:val="00A81026"/>
    <w:rsid w:val="00A97EC0"/>
    <w:rsid w:val="00AC5C31"/>
    <w:rsid w:val="00AC66E6"/>
    <w:rsid w:val="00AE61DA"/>
    <w:rsid w:val="00AF1425"/>
    <w:rsid w:val="00B002CA"/>
    <w:rsid w:val="00B24BC3"/>
    <w:rsid w:val="00B24E60"/>
    <w:rsid w:val="00B468A6"/>
    <w:rsid w:val="00B75113"/>
    <w:rsid w:val="00B75983"/>
    <w:rsid w:val="00B84363"/>
    <w:rsid w:val="00B958BD"/>
    <w:rsid w:val="00BA13A4"/>
    <w:rsid w:val="00BA1AA1"/>
    <w:rsid w:val="00BA35DC"/>
    <w:rsid w:val="00BA62BB"/>
    <w:rsid w:val="00BC5313"/>
    <w:rsid w:val="00BD0D2F"/>
    <w:rsid w:val="00BD1129"/>
    <w:rsid w:val="00BF747D"/>
    <w:rsid w:val="00BF7ED6"/>
    <w:rsid w:val="00C04FD9"/>
    <w:rsid w:val="00C051B2"/>
    <w:rsid w:val="00C0572C"/>
    <w:rsid w:val="00C20466"/>
    <w:rsid w:val="00C2049B"/>
    <w:rsid w:val="00C266F4"/>
    <w:rsid w:val="00C324A8"/>
    <w:rsid w:val="00C40D51"/>
    <w:rsid w:val="00C56E7A"/>
    <w:rsid w:val="00C664C7"/>
    <w:rsid w:val="00C67A6E"/>
    <w:rsid w:val="00C745E5"/>
    <w:rsid w:val="00C779CE"/>
    <w:rsid w:val="00C916AF"/>
    <w:rsid w:val="00C97FEC"/>
    <w:rsid w:val="00CB7E20"/>
    <w:rsid w:val="00CC47C6"/>
    <w:rsid w:val="00CC4DE6"/>
    <w:rsid w:val="00CE5E47"/>
    <w:rsid w:val="00CF020F"/>
    <w:rsid w:val="00D03ACF"/>
    <w:rsid w:val="00D150E7"/>
    <w:rsid w:val="00D16BDD"/>
    <w:rsid w:val="00D53715"/>
    <w:rsid w:val="00D7331A"/>
    <w:rsid w:val="00D80067"/>
    <w:rsid w:val="00DB304B"/>
    <w:rsid w:val="00DE2EBA"/>
    <w:rsid w:val="00DE5620"/>
    <w:rsid w:val="00E15A12"/>
    <w:rsid w:val="00E2253F"/>
    <w:rsid w:val="00E228B9"/>
    <w:rsid w:val="00E43E99"/>
    <w:rsid w:val="00E5155F"/>
    <w:rsid w:val="00E65919"/>
    <w:rsid w:val="00E66007"/>
    <w:rsid w:val="00E718D2"/>
    <w:rsid w:val="00E976C1"/>
    <w:rsid w:val="00EA0C0C"/>
    <w:rsid w:val="00EB5505"/>
    <w:rsid w:val="00EB66F7"/>
    <w:rsid w:val="00EF43E7"/>
    <w:rsid w:val="00F060A3"/>
    <w:rsid w:val="00F1578A"/>
    <w:rsid w:val="00F21A03"/>
    <w:rsid w:val="00F33B22"/>
    <w:rsid w:val="00F65316"/>
    <w:rsid w:val="00F65C19"/>
    <w:rsid w:val="00F6601C"/>
    <w:rsid w:val="00F761D2"/>
    <w:rsid w:val="00F90FB6"/>
    <w:rsid w:val="00F97203"/>
    <w:rsid w:val="00FB67DA"/>
    <w:rsid w:val="00FB67E5"/>
    <w:rsid w:val="00FC63FD"/>
    <w:rsid w:val="00FC7667"/>
    <w:rsid w:val="00FD0C9D"/>
    <w:rsid w:val="00FD18DB"/>
    <w:rsid w:val="00FD51E3"/>
    <w:rsid w:val="00FD5BAE"/>
    <w:rsid w:val="00FE344F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F6C2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AD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3AD2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3AD2"/>
    <w:rPr>
      <w:rFonts w:ascii="Courier New" w:eastAsia="Times New Roman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2427B-7B44-439F-98E3-099814039C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DFCB-C550-4054-B0F4-631E23930EFE}">
  <ds:schemaRefs>
    <ds:schemaRef ds:uri="996b2e75-67fd-4955-a3b0-5ab9934cb50b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2567</Words>
  <Characters>17993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R23-WRC23-C-0175!!MSW-R</vt:lpstr>
      <vt:lpstr>R23-WRC23-C-0175!!MSW-R</vt:lpstr>
    </vt:vector>
  </TitlesOfParts>
  <Manager>General Secretariat - Pool</Manager>
  <Company>International Telecommunication Union (ITU)</Company>
  <LinksUpToDate>false</LinksUpToDate>
  <CharactersWithSpaces>20519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R23-WRC23-C-0175!!MSW-R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14</cp:revision>
  <cp:lastPrinted>2003-06-17T08:22:00Z</cp:lastPrinted>
  <dcterms:created xsi:type="dcterms:W3CDTF">2023-11-13T04:54:00Z</dcterms:created>
  <dcterms:modified xsi:type="dcterms:W3CDTF">2023-11-16T21:50:00Z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