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CDF28B4" w14:textId="77777777" w:rsidTr="004C6D0B">
        <w:trPr>
          <w:cantSplit/>
        </w:trPr>
        <w:tc>
          <w:tcPr>
            <w:tcW w:w="1418" w:type="dxa"/>
            <w:vAlign w:val="center"/>
          </w:tcPr>
          <w:p w14:paraId="05C0840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F9A012" wp14:editId="057ECF1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96C00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35206E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CDABB2E" wp14:editId="1E4BC52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66A25F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8294CFE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37B90A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BDED62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13F953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F4CAEE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19D90DAF" w14:textId="77777777" w:rsidTr="001226EC">
        <w:trPr>
          <w:cantSplit/>
        </w:trPr>
        <w:tc>
          <w:tcPr>
            <w:tcW w:w="6771" w:type="dxa"/>
            <w:gridSpan w:val="2"/>
          </w:tcPr>
          <w:p w14:paraId="4ECA177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9F22743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173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43A3371" w14:textId="77777777" w:rsidTr="001226EC">
        <w:trPr>
          <w:cantSplit/>
        </w:trPr>
        <w:tc>
          <w:tcPr>
            <w:tcW w:w="6771" w:type="dxa"/>
            <w:gridSpan w:val="2"/>
          </w:tcPr>
          <w:p w14:paraId="36EEABF8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D48282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BA1E0A5" w14:textId="77777777" w:rsidTr="001226EC">
        <w:trPr>
          <w:cantSplit/>
        </w:trPr>
        <w:tc>
          <w:tcPr>
            <w:tcW w:w="6771" w:type="dxa"/>
            <w:gridSpan w:val="2"/>
          </w:tcPr>
          <w:p w14:paraId="57D461D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9BB907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6182C66" w14:textId="77777777" w:rsidTr="009546EA">
        <w:trPr>
          <w:cantSplit/>
        </w:trPr>
        <w:tc>
          <w:tcPr>
            <w:tcW w:w="10031" w:type="dxa"/>
            <w:gridSpan w:val="4"/>
          </w:tcPr>
          <w:p w14:paraId="0C341BB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5603A94" w14:textId="77777777">
        <w:trPr>
          <w:cantSplit/>
        </w:trPr>
        <w:tc>
          <w:tcPr>
            <w:tcW w:w="10031" w:type="dxa"/>
            <w:gridSpan w:val="4"/>
          </w:tcPr>
          <w:p w14:paraId="286C14A1" w14:textId="4B930E82" w:rsidR="000F33D8" w:rsidRPr="0044586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44586A">
              <w:rPr>
                <w:szCs w:val="26"/>
              </w:rPr>
              <w:t>Саудовская Аравия (Королевство)/Ливия</w:t>
            </w:r>
            <w:r w:rsidR="005858DD">
              <w:rPr>
                <w:szCs w:val="26"/>
              </w:rPr>
              <w:t xml:space="preserve"> (</w:t>
            </w:r>
            <w:r w:rsidR="005858DD" w:rsidRPr="0044586A">
              <w:rPr>
                <w:szCs w:val="26"/>
              </w:rPr>
              <w:t>Государство</w:t>
            </w:r>
            <w:r w:rsidR="005858DD">
              <w:rPr>
                <w:szCs w:val="26"/>
              </w:rPr>
              <w:t>)</w:t>
            </w:r>
            <w:r w:rsidRPr="0044586A">
              <w:rPr>
                <w:szCs w:val="26"/>
              </w:rPr>
              <w:t>/Катар (Государство)/Сомали (Федеративная Республика)</w:t>
            </w:r>
          </w:p>
        </w:tc>
      </w:tr>
      <w:tr w:rsidR="000F33D8" w:rsidRPr="0044586A" w14:paraId="0754D24C" w14:textId="77777777">
        <w:trPr>
          <w:cantSplit/>
        </w:trPr>
        <w:tc>
          <w:tcPr>
            <w:tcW w:w="10031" w:type="dxa"/>
            <w:gridSpan w:val="4"/>
          </w:tcPr>
          <w:p w14:paraId="67B434A7" w14:textId="5813DD10" w:rsidR="000F33D8" w:rsidRPr="00A0298D" w:rsidRDefault="0044586A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4586A" w14:paraId="1610ECD4" w14:textId="77777777">
        <w:trPr>
          <w:cantSplit/>
        </w:trPr>
        <w:tc>
          <w:tcPr>
            <w:tcW w:w="10031" w:type="dxa"/>
            <w:gridSpan w:val="4"/>
          </w:tcPr>
          <w:p w14:paraId="5C14691A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7C73D6B9" w14:textId="77777777">
        <w:trPr>
          <w:cantSplit/>
        </w:trPr>
        <w:tc>
          <w:tcPr>
            <w:tcW w:w="10031" w:type="dxa"/>
            <w:gridSpan w:val="4"/>
          </w:tcPr>
          <w:p w14:paraId="225A4773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03017025" w14:textId="77777777" w:rsidR="00286FB8" w:rsidRDefault="00286FB8" w:rsidP="00997E38">
      <w:r w:rsidRPr="00B4505C">
        <w:t>1.2</w:t>
      </w:r>
      <w:r w:rsidRPr="00B4505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7E2EB92A" w14:textId="61828148" w:rsidR="00005974" w:rsidRPr="00005974" w:rsidRDefault="00A0298D" w:rsidP="00005974">
      <w:pPr>
        <w:pStyle w:val="Heading1"/>
        <w:rPr>
          <w:rFonts w:eastAsia="Batang"/>
        </w:rPr>
      </w:pPr>
      <w:bookmarkStart w:id="4" w:name="_Toc43466450"/>
      <w:r w:rsidRPr="00C612F9">
        <w:rPr>
          <w:rFonts w:eastAsia="Batang"/>
        </w:rPr>
        <w:t>1</w:t>
      </w:r>
      <w:r w:rsidRPr="00C612F9">
        <w:rPr>
          <w:rFonts w:eastAsia="Batang"/>
        </w:rPr>
        <w:tab/>
      </w:r>
      <w:r w:rsidR="00005974">
        <w:rPr>
          <w:rFonts w:eastAsia="Batang"/>
        </w:rPr>
        <w:t>Базовая</w:t>
      </w:r>
      <w:r w:rsidR="00005974" w:rsidRPr="00C612F9">
        <w:rPr>
          <w:rFonts w:eastAsia="Batang"/>
        </w:rPr>
        <w:t xml:space="preserve"> </w:t>
      </w:r>
      <w:r w:rsidR="00005974">
        <w:rPr>
          <w:rFonts w:eastAsia="Batang"/>
        </w:rPr>
        <w:t>информация</w:t>
      </w:r>
    </w:p>
    <w:p w14:paraId="695E18F4" w14:textId="615CAA84" w:rsidR="00005974" w:rsidRPr="001C4D53" w:rsidRDefault="00005974" w:rsidP="00005974">
      <w:r w:rsidRPr="00005974">
        <w:rPr>
          <w:lang w:eastAsia="en-GB"/>
        </w:rPr>
        <w:t xml:space="preserve">В </w:t>
      </w:r>
      <w:r w:rsidR="001C4D53">
        <w:rPr>
          <w:lang w:eastAsia="en-GB"/>
        </w:rPr>
        <w:t>настоящем</w:t>
      </w:r>
      <w:r w:rsidRPr="00005974">
        <w:rPr>
          <w:lang w:eastAsia="en-GB"/>
        </w:rPr>
        <w:t xml:space="preserve"> вкладе рассматривается </w:t>
      </w:r>
      <w:r w:rsidR="001C4D53">
        <w:rPr>
          <w:lang w:eastAsia="en-GB"/>
        </w:rPr>
        <w:t xml:space="preserve">вопрос о </w:t>
      </w:r>
      <w:r w:rsidRPr="00005974">
        <w:rPr>
          <w:lang w:eastAsia="en-GB"/>
        </w:rPr>
        <w:t>возможно</w:t>
      </w:r>
      <w:r w:rsidR="001C4D53">
        <w:rPr>
          <w:lang w:eastAsia="en-GB"/>
        </w:rPr>
        <w:t>м</w:t>
      </w:r>
      <w:r w:rsidRPr="00005974">
        <w:rPr>
          <w:lang w:eastAsia="en-GB"/>
        </w:rPr>
        <w:t xml:space="preserve"> определени</w:t>
      </w:r>
      <w:r w:rsidR="001C4D53">
        <w:rPr>
          <w:lang w:eastAsia="en-GB"/>
        </w:rPr>
        <w:t>и</w:t>
      </w:r>
      <w:r w:rsidRPr="00005974">
        <w:rPr>
          <w:lang w:eastAsia="en-GB"/>
        </w:rPr>
        <w:t xml:space="preserve"> </w:t>
      </w:r>
      <w:r w:rsidR="001C4D53">
        <w:rPr>
          <w:lang w:eastAsia="en-GB"/>
        </w:rPr>
        <w:t>спектра для М</w:t>
      </w:r>
      <w:r w:rsidRPr="00005974">
        <w:rPr>
          <w:lang w:eastAsia="en-GB"/>
        </w:rPr>
        <w:t>еждународной подвижной электросвязи (</w:t>
      </w:r>
      <w:r>
        <w:rPr>
          <w:lang w:val="en-GB" w:eastAsia="en-GB"/>
        </w:rPr>
        <w:t>IMT</w:t>
      </w:r>
      <w:r w:rsidRPr="00005974">
        <w:rPr>
          <w:lang w:eastAsia="en-GB"/>
        </w:rPr>
        <w:t xml:space="preserve">) в полосах частот </w:t>
      </w:r>
      <w:r w:rsidRPr="00005974">
        <w:rPr>
          <w:rFonts w:eastAsia="MS Mincho"/>
        </w:rPr>
        <w:t>6425−7025</w:t>
      </w:r>
      <w:r>
        <w:rPr>
          <w:rFonts w:eastAsia="MS Mincho"/>
          <w:lang w:val="en-GB"/>
        </w:rPr>
        <w:t> </w:t>
      </w:r>
      <w:r>
        <w:rPr>
          <w:rFonts w:eastAsia="MS Mincho"/>
        </w:rPr>
        <w:t>МГц</w:t>
      </w:r>
      <w:r w:rsidRPr="00005974">
        <w:rPr>
          <w:lang w:eastAsia="en-GB"/>
        </w:rPr>
        <w:t xml:space="preserve"> (полоса 4 для Района 1) и </w:t>
      </w:r>
      <w:r w:rsidRPr="00005974">
        <w:rPr>
          <w:rFonts w:eastAsia="MS Mincho"/>
        </w:rPr>
        <w:t>7025−7125</w:t>
      </w:r>
      <w:r>
        <w:rPr>
          <w:rFonts w:eastAsia="MS Mincho"/>
          <w:lang w:val="en-GB"/>
        </w:rPr>
        <w:t> </w:t>
      </w:r>
      <w:r>
        <w:rPr>
          <w:rFonts w:eastAsia="MS Mincho"/>
        </w:rPr>
        <w:t>МГц</w:t>
      </w:r>
      <w:r w:rsidRPr="00005974">
        <w:rPr>
          <w:rFonts w:eastAsia="MS Mincho"/>
        </w:rPr>
        <w:t xml:space="preserve"> </w:t>
      </w:r>
      <w:r w:rsidRPr="00005974">
        <w:rPr>
          <w:lang w:eastAsia="en-GB"/>
        </w:rPr>
        <w:t xml:space="preserve">(полоса 5 </w:t>
      </w:r>
      <w:r w:rsidR="001C4D53">
        <w:rPr>
          <w:lang w:eastAsia="en-GB"/>
        </w:rPr>
        <w:t>на</w:t>
      </w:r>
      <w:r w:rsidRPr="00005974">
        <w:rPr>
          <w:lang w:eastAsia="en-GB"/>
        </w:rPr>
        <w:t xml:space="preserve"> глобальном </w:t>
      </w:r>
      <w:r w:rsidR="001C4D53">
        <w:rPr>
          <w:lang w:eastAsia="en-GB"/>
        </w:rPr>
        <w:t>уровне</w:t>
      </w:r>
      <w:r w:rsidRPr="00005974">
        <w:rPr>
          <w:lang w:eastAsia="en-GB"/>
        </w:rPr>
        <w:t xml:space="preserve">), как указано в Резолюции </w:t>
      </w:r>
      <w:r w:rsidRPr="00005974">
        <w:rPr>
          <w:b/>
          <w:bCs/>
          <w:lang w:eastAsia="en-GB"/>
        </w:rPr>
        <w:t>245 (ВКР-19)</w:t>
      </w:r>
      <w:r w:rsidR="001C4D53">
        <w:rPr>
          <w:lang w:eastAsia="en-GB"/>
        </w:rPr>
        <w:t xml:space="preserve"> с </w:t>
      </w:r>
      <w:r w:rsidR="00E70E00">
        <w:rPr>
          <w:lang w:eastAsia="en-GB"/>
        </w:rPr>
        <w:t>акцентом</w:t>
      </w:r>
      <w:r w:rsidR="001C4D53">
        <w:rPr>
          <w:lang w:eastAsia="en-GB"/>
        </w:rPr>
        <w:t xml:space="preserve"> на </w:t>
      </w:r>
      <w:r w:rsidR="00E70E00">
        <w:rPr>
          <w:lang w:eastAsia="en-GB"/>
        </w:rPr>
        <w:t xml:space="preserve">возможные </w:t>
      </w:r>
      <w:r w:rsidRPr="00005974">
        <w:rPr>
          <w:lang w:eastAsia="en-GB"/>
        </w:rPr>
        <w:t xml:space="preserve">проблемы и применимость для </w:t>
      </w:r>
      <w:r w:rsidR="001C4D53">
        <w:rPr>
          <w:lang w:eastAsia="en-GB"/>
        </w:rPr>
        <w:t xml:space="preserve">региона </w:t>
      </w:r>
      <w:r w:rsidRPr="00005974">
        <w:rPr>
          <w:lang w:eastAsia="en-GB"/>
        </w:rPr>
        <w:t>арабских государств</w:t>
      </w:r>
      <w:r w:rsidRPr="001C4D53">
        <w:t>.</w:t>
      </w:r>
    </w:p>
    <w:p w14:paraId="15BC006C" w14:textId="3CC024E9" w:rsidR="00E70E00" w:rsidRPr="00E70E00" w:rsidRDefault="00E70E00" w:rsidP="00E70E00">
      <w:pPr>
        <w:rPr>
          <w:rFonts w:ascii="Segoe UI" w:hAnsi="Segoe UI" w:cs="Segoe UI"/>
          <w:sz w:val="18"/>
          <w:szCs w:val="18"/>
          <w:lang w:eastAsia="en-GB"/>
        </w:rPr>
      </w:pPr>
      <w:r w:rsidRPr="00E70E00">
        <w:rPr>
          <w:lang w:eastAsia="en-GB"/>
        </w:rPr>
        <w:t>Для начала важно отметить</w:t>
      </w:r>
      <w:r>
        <w:rPr>
          <w:lang w:eastAsia="en-GB"/>
        </w:rPr>
        <w:t xml:space="preserve">, что в настоящее время уже имеются </w:t>
      </w:r>
      <w:r w:rsidRPr="00E70E00">
        <w:rPr>
          <w:lang w:eastAsia="en-GB"/>
        </w:rPr>
        <w:t>развер</w:t>
      </w:r>
      <w:r>
        <w:rPr>
          <w:lang w:eastAsia="en-GB"/>
        </w:rPr>
        <w:t xml:space="preserve">нутые </w:t>
      </w:r>
      <w:r w:rsidRPr="00E70E00">
        <w:rPr>
          <w:lang w:eastAsia="en-GB"/>
        </w:rPr>
        <w:t>и эксплуат</w:t>
      </w:r>
      <w:r>
        <w:rPr>
          <w:lang w:eastAsia="en-GB"/>
        </w:rPr>
        <w:t>ируемые</w:t>
      </w:r>
      <w:r w:rsidRPr="00E70E00">
        <w:rPr>
          <w:lang w:eastAsia="en-GB"/>
        </w:rPr>
        <w:t xml:space="preserve"> сет</w:t>
      </w:r>
      <w:r>
        <w:rPr>
          <w:lang w:eastAsia="en-GB"/>
        </w:rPr>
        <w:t xml:space="preserve">и </w:t>
      </w:r>
      <w:r w:rsidRPr="00E70E00">
        <w:rPr>
          <w:lang w:eastAsia="en-GB"/>
        </w:rPr>
        <w:t xml:space="preserve">наземных и спутниковых систем, которые обеспечивают </w:t>
      </w:r>
      <w:r w:rsidR="009533B3">
        <w:rPr>
          <w:lang w:eastAsia="en-GB"/>
        </w:rPr>
        <w:t>жизненно важное</w:t>
      </w:r>
      <w:r>
        <w:rPr>
          <w:lang w:eastAsia="en-GB"/>
        </w:rPr>
        <w:t xml:space="preserve"> обслуживание в сфере </w:t>
      </w:r>
      <w:r w:rsidRPr="00E70E00">
        <w:rPr>
          <w:lang w:eastAsia="en-GB"/>
        </w:rPr>
        <w:t xml:space="preserve">национальной безопасности, связи в чрезвычайных ситуациях и в случае бедствий, </w:t>
      </w:r>
      <w:r>
        <w:rPr>
          <w:lang w:eastAsia="en-GB"/>
        </w:rPr>
        <w:t>а также</w:t>
      </w:r>
      <w:r w:rsidRPr="00E70E00">
        <w:rPr>
          <w:lang w:eastAsia="en-GB"/>
        </w:rPr>
        <w:t xml:space="preserve"> </w:t>
      </w:r>
      <w:r w:rsidR="009533B3">
        <w:rPr>
          <w:lang w:eastAsia="en-GB"/>
        </w:rPr>
        <w:t xml:space="preserve">предоставляют </w:t>
      </w:r>
      <w:r>
        <w:rPr>
          <w:lang w:eastAsia="en-GB"/>
        </w:rPr>
        <w:t>услуги по</w:t>
      </w:r>
      <w:r w:rsidRPr="00E70E00">
        <w:rPr>
          <w:lang w:eastAsia="en-GB"/>
        </w:rPr>
        <w:t xml:space="preserve"> установлен</w:t>
      </w:r>
      <w:r>
        <w:rPr>
          <w:lang w:eastAsia="en-GB"/>
        </w:rPr>
        <w:t>ию</w:t>
      </w:r>
      <w:r w:rsidRPr="00E70E00">
        <w:rPr>
          <w:lang w:eastAsia="en-GB"/>
        </w:rPr>
        <w:t xml:space="preserve"> соединений </w:t>
      </w:r>
      <w:r>
        <w:rPr>
          <w:lang w:eastAsia="en-GB"/>
        </w:rPr>
        <w:t>для гражданского населения,</w:t>
      </w:r>
      <w:r w:rsidRPr="00E70E00">
        <w:rPr>
          <w:lang w:eastAsia="en-GB"/>
        </w:rPr>
        <w:t xml:space="preserve"> </w:t>
      </w:r>
      <w:r>
        <w:rPr>
          <w:lang w:eastAsia="en-GB"/>
        </w:rPr>
        <w:t>частных компаний</w:t>
      </w:r>
      <w:r w:rsidRPr="00E70E00">
        <w:rPr>
          <w:lang w:eastAsia="en-GB"/>
        </w:rPr>
        <w:t xml:space="preserve"> и правительств</w:t>
      </w:r>
      <w:r>
        <w:rPr>
          <w:lang w:eastAsia="en-GB"/>
        </w:rPr>
        <w:t>а</w:t>
      </w:r>
      <w:r w:rsidRPr="00E70E00">
        <w:rPr>
          <w:lang w:eastAsia="en-GB"/>
        </w:rPr>
        <w:t xml:space="preserve">, </w:t>
      </w:r>
      <w:r>
        <w:rPr>
          <w:lang w:eastAsia="en-GB"/>
        </w:rPr>
        <w:t>для обеспечения</w:t>
      </w:r>
      <w:r w:rsidRPr="00E70E00">
        <w:rPr>
          <w:lang w:eastAsia="en-GB"/>
        </w:rPr>
        <w:t xml:space="preserve"> безопасности </w:t>
      </w:r>
      <w:r>
        <w:rPr>
          <w:lang w:eastAsia="en-GB"/>
        </w:rPr>
        <w:t xml:space="preserve">в воздушном пространстве и </w:t>
      </w:r>
      <w:r w:rsidRPr="00E70E00">
        <w:rPr>
          <w:lang w:eastAsia="en-GB"/>
        </w:rPr>
        <w:t xml:space="preserve">на море, которые имеют решающее значение для </w:t>
      </w:r>
      <w:r>
        <w:rPr>
          <w:lang w:eastAsia="en-GB"/>
        </w:rPr>
        <w:t xml:space="preserve">соответствующих </w:t>
      </w:r>
      <w:r w:rsidRPr="00E70E00">
        <w:rPr>
          <w:lang w:eastAsia="en-GB"/>
        </w:rPr>
        <w:t xml:space="preserve">операций, </w:t>
      </w:r>
      <w:r>
        <w:rPr>
          <w:lang w:eastAsia="en-GB"/>
        </w:rPr>
        <w:t xml:space="preserve">и </w:t>
      </w:r>
      <w:r w:rsidR="009533B3">
        <w:rPr>
          <w:lang w:eastAsia="en-GB"/>
        </w:rPr>
        <w:t>обеспечивают</w:t>
      </w:r>
      <w:r>
        <w:rPr>
          <w:lang w:eastAsia="en-GB"/>
        </w:rPr>
        <w:t xml:space="preserve"> </w:t>
      </w:r>
      <w:r w:rsidRPr="00E70E00">
        <w:rPr>
          <w:lang w:eastAsia="en-GB"/>
        </w:rPr>
        <w:t xml:space="preserve">наблюдения за </w:t>
      </w:r>
      <w:r>
        <w:rPr>
          <w:lang w:eastAsia="en-GB"/>
        </w:rPr>
        <w:t>мировой</w:t>
      </w:r>
      <w:r w:rsidRPr="00E70E00">
        <w:rPr>
          <w:lang w:eastAsia="en-GB"/>
        </w:rPr>
        <w:t xml:space="preserve"> влажностью почвы, температурой поверхности моря и температурой морского льда </w:t>
      </w:r>
      <w:r>
        <w:rPr>
          <w:lang w:eastAsia="en-GB"/>
        </w:rPr>
        <w:t>в целях</w:t>
      </w:r>
      <w:r w:rsidRPr="00E70E00">
        <w:rPr>
          <w:lang w:eastAsia="en-GB"/>
        </w:rPr>
        <w:t xml:space="preserve"> прогнозирования погоды и </w:t>
      </w:r>
      <w:r>
        <w:rPr>
          <w:lang w:eastAsia="en-GB"/>
        </w:rPr>
        <w:t xml:space="preserve">мониторинга </w:t>
      </w:r>
      <w:r w:rsidRPr="00E70E00">
        <w:rPr>
          <w:lang w:eastAsia="en-GB"/>
        </w:rPr>
        <w:t>климата</w:t>
      </w:r>
      <w:r>
        <w:rPr>
          <w:lang w:eastAsia="en-GB"/>
        </w:rPr>
        <w:t xml:space="preserve"> </w:t>
      </w:r>
      <w:r w:rsidRPr="00E70E00">
        <w:rPr>
          <w:lang w:eastAsia="en-GB"/>
        </w:rPr>
        <w:t>с использованием пассивных микроволновых датчиков.</w:t>
      </w:r>
      <w:r>
        <w:rPr>
          <w:lang w:val="en-GB" w:eastAsia="en-GB"/>
        </w:rPr>
        <w:t> </w:t>
      </w:r>
    </w:p>
    <w:p w14:paraId="18BCA7D5" w14:textId="08E9ABEE" w:rsidR="007067AE" w:rsidRPr="007067AE" w:rsidRDefault="007067AE" w:rsidP="007067AE">
      <w:r>
        <w:rPr>
          <w:lang w:eastAsia="en-GB"/>
        </w:rPr>
        <w:t>Нельзя обойти вниманием то обстоятельство</w:t>
      </w:r>
      <w:r w:rsidRPr="007067AE">
        <w:rPr>
          <w:lang w:eastAsia="en-GB"/>
        </w:rPr>
        <w:t xml:space="preserve">, </w:t>
      </w:r>
      <w:r w:rsidR="00F97D25">
        <w:rPr>
          <w:lang w:eastAsia="en-GB"/>
        </w:rPr>
        <w:t xml:space="preserve">что </w:t>
      </w:r>
      <w:r w:rsidR="00B306F6">
        <w:rPr>
          <w:lang w:eastAsia="en-GB"/>
        </w:rPr>
        <w:t>в этот диапазон включены</w:t>
      </w:r>
      <w:r w:rsidRPr="007067AE">
        <w:rPr>
          <w:lang w:eastAsia="en-GB"/>
        </w:rPr>
        <w:t xml:space="preserve"> непла</w:t>
      </w:r>
      <w:r>
        <w:rPr>
          <w:lang w:eastAsia="en-GB"/>
        </w:rPr>
        <w:t>но</w:t>
      </w:r>
      <w:r w:rsidR="00B306F6">
        <w:rPr>
          <w:lang w:eastAsia="en-GB"/>
        </w:rPr>
        <w:t>вые полосы для</w:t>
      </w:r>
      <w:r w:rsidRPr="007067AE">
        <w:rPr>
          <w:lang w:eastAsia="en-GB"/>
        </w:rPr>
        <w:t xml:space="preserve"> фиксированн</w:t>
      </w:r>
      <w:r w:rsidR="00B306F6">
        <w:rPr>
          <w:lang w:eastAsia="en-GB"/>
        </w:rPr>
        <w:t>ой</w:t>
      </w:r>
      <w:r w:rsidRPr="007067AE">
        <w:rPr>
          <w:lang w:eastAsia="en-GB"/>
        </w:rPr>
        <w:t xml:space="preserve"> спутников</w:t>
      </w:r>
      <w:r w:rsidR="00B306F6">
        <w:rPr>
          <w:lang w:eastAsia="en-GB"/>
        </w:rPr>
        <w:t>ой</w:t>
      </w:r>
      <w:r w:rsidRPr="007067AE">
        <w:rPr>
          <w:lang w:eastAsia="en-GB"/>
        </w:rPr>
        <w:t xml:space="preserve"> служб</w:t>
      </w:r>
      <w:r w:rsidR="00B306F6">
        <w:rPr>
          <w:lang w:eastAsia="en-GB"/>
        </w:rPr>
        <w:t>ы</w:t>
      </w:r>
      <w:r w:rsidRPr="007067AE">
        <w:rPr>
          <w:lang w:eastAsia="en-GB"/>
        </w:rPr>
        <w:t xml:space="preserve"> (ФСС) </w:t>
      </w:r>
      <w:r>
        <w:rPr>
          <w:lang w:eastAsia="en-GB"/>
        </w:rPr>
        <w:t xml:space="preserve">с распределениями </w:t>
      </w:r>
      <w:r w:rsidRPr="007067AE">
        <w:rPr>
          <w:lang w:eastAsia="en-GB"/>
        </w:rPr>
        <w:t xml:space="preserve">на </w:t>
      </w:r>
      <w:r>
        <w:rPr>
          <w:lang w:eastAsia="en-GB"/>
        </w:rPr>
        <w:t>равной</w:t>
      </w:r>
      <w:r w:rsidRPr="007067AE">
        <w:rPr>
          <w:lang w:eastAsia="en-GB"/>
        </w:rPr>
        <w:t xml:space="preserve"> первичной основе и план</w:t>
      </w:r>
      <w:r>
        <w:rPr>
          <w:lang w:eastAsia="en-GB"/>
        </w:rPr>
        <w:t>ов</w:t>
      </w:r>
      <w:r w:rsidR="00B306F6">
        <w:rPr>
          <w:lang w:eastAsia="en-GB"/>
        </w:rPr>
        <w:t>ая</w:t>
      </w:r>
      <w:r w:rsidRPr="007067AE">
        <w:rPr>
          <w:lang w:eastAsia="en-GB"/>
        </w:rPr>
        <w:t xml:space="preserve"> полос</w:t>
      </w:r>
      <w:r w:rsidR="00B306F6">
        <w:rPr>
          <w:lang w:eastAsia="en-GB"/>
        </w:rPr>
        <w:t>а</w:t>
      </w:r>
      <w:r w:rsidRPr="007067AE">
        <w:rPr>
          <w:lang w:eastAsia="en-GB"/>
        </w:rPr>
        <w:t xml:space="preserve"> </w:t>
      </w:r>
      <w:r>
        <w:rPr>
          <w:lang w:eastAsia="en-GB"/>
        </w:rPr>
        <w:t>с</w:t>
      </w:r>
      <w:r w:rsidRPr="007067AE">
        <w:rPr>
          <w:lang w:eastAsia="en-GB"/>
        </w:rPr>
        <w:t>огласно Приложению</w:t>
      </w:r>
      <w:r w:rsidRPr="007067AE">
        <w:rPr>
          <w:b/>
          <w:bCs/>
          <w:lang w:eastAsia="en-GB"/>
        </w:rPr>
        <w:t xml:space="preserve"> 30B </w:t>
      </w:r>
      <w:r w:rsidRPr="007067AE">
        <w:rPr>
          <w:lang w:eastAsia="en-GB"/>
        </w:rPr>
        <w:t xml:space="preserve">к Регламенту радиосвязи </w:t>
      </w:r>
      <w:r>
        <w:rPr>
          <w:lang w:eastAsia="en-GB"/>
        </w:rPr>
        <w:t xml:space="preserve">(РР) </w:t>
      </w:r>
      <w:r w:rsidRPr="007067AE">
        <w:rPr>
          <w:lang w:eastAsia="en-GB"/>
        </w:rPr>
        <w:t xml:space="preserve">в верхней части </w:t>
      </w:r>
      <w:r>
        <w:rPr>
          <w:lang w:eastAsia="en-GB"/>
        </w:rPr>
        <w:t xml:space="preserve">полосы </w:t>
      </w:r>
      <w:r w:rsidRPr="007067AE">
        <w:rPr>
          <w:lang w:eastAsia="en-GB"/>
        </w:rPr>
        <w:t>(6725</w:t>
      </w:r>
      <w:r w:rsidRPr="007067AE">
        <w:rPr>
          <w:rFonts w:eastAsia="MS Mincho"/>
        </w:rPr>
        <w:t>−</w:t>
      </w:r>
      <w:r w:rsidRPr="007067AE">
        <w:rPr>
          <w:lang w:eastAsia="en-GB"/>
        </w:rPr>
        <w:t>7025</w:t>
      </w:r>
      <w:r>
        <w:rPr>
          <w:lang w:val="en-GB" w:eastAsia="en-GB"/>
        </w:rPr>
        <w:t> </w:t>
      </w:r>
      <w:r>
        <w:rPr>
          <w:lang w:eastAsia="en-GB"/>
        </w:rPr>
        <w:t>МГц)</w:t>
      </w:r>
      <w:r w:rsidR="00B306F6">
        <w:rPr>
          <w:lang w:eastAsia="en-GB"/>
        </w:rPr>
        <w:t>, предусмотренная</w:t>
      </w:r>
      <w:r>
        <w:rPr>
          <w:lang w:eastAsia="en-GB"/>
        </w:rPr>
        <w:t xml:space="preserve"> </w:t>
      </w:r>
      <w:r w:rsidR="00B306F6">
        <w:rPr>
          <w:lang w:eastAsia="en-GB"/>
        </w:rPr>
        <w:t xml:space="preserve">для </w:t>
      </w:r>
      <w:r>
        <w:rPr>
          <w:lang w:eastAsia="en-GB"/>
        </w:rPr>
        <w:t xml:space="preserve">практического обеспечения </w:t>
      </w:r>
      <w:r w:rsidRPr="007067AE">
        <w:rPr>
          <w:lang w:eastAsia="en-GB"/>
        </w:rPr>
        <w:t>все</w:t>
      </w:r>
      <w:r w:rsidR="009533B3">
        <w:rPr>
          <w:lang w:eastAsia="en-GB"/>
        </w:rPr>
        <w:t>м</w:t>
      </w:r>
      <w:r w:rsidRPr="007067AE">
        <w:rPr>
          <w:lang w:eastAsia="en-GB"/>
        </w:rPr>
        <w:t xml:space="preserve"> стран</w:t>
      </w:r>
      <w:r w:rsidR="009533B3">
        <w:rPr>
          <w:lang w:eastAsia="en-GB"/>
        </w:rPr>
        <w:t>ам</w:t>
      </w:r>
      <w:r w:rsidRPr="007067AE">
        <w:rPr>
          <w:lang w:eastAsia="en-GB"/>
        </w:rPr>
        <w:t xml:space="preserve"> </w:t>
      </w:r>
      <w:r w:rsidR="00B306F6">
        <w:rPr>
          <w:lang w:eastAsia="en-GB"/>
        </w:rPr>
        <w:t>воз</w:t>
      </w:r>
      <w:r w:rsidR="00D765E7">
        <w:rPr>
          <w:lang w:eastAsia="en-GB"/>
        </w:rPr>
        <w:t xml:space="preserve">можности </w:t>
      </w:r>
      <w:r w:rsidRPr="007067AE">
        <w:rPr>
          <w:lang w:eastAsia="en-GB"/>
        </w:rPr>
        <w:t>эффективно использова</w:t>
      </w:r>
      <w:r w:rsidR="00D765E7">
        <w:rPr>
          <w:lang w:eastAsia="en-GB"/>
        </w:rPr>
        <w:t>ть</w:t>
      </w:r>
      <w:r w:rsidRPr="007067AE">
        <w:rPr>
          <w:lang w:eastAsia="en-GB"/>
        </w:rPr>
        <w:t xml:space="preserve"> геостационарн</w:t>
      </w:r>
      <w:r w:rsidR="00D765E7">
        <w:rPr>
          <w:lang w:eastAsia="en-GB"/>
        </w:rPr>
        <w:t>ую</w:t>
      </w:r>
      <w:r w:rsidRPr="007067AE">
        <w:rPr>
          <w:lang w:eastAsia="en-GB"/>
        </w:rPr>
        <w:t xml:space="preserve"> спутников</w:t>
      </w:r>
      <w:r w:rsidR="00D765E7">
        <w:rPr>
          <w:lang w:eastAsia="en-GB"/>
        </w:rPr>
        <w:t>ую</w:t>
      </w:r>
      <w:r w:rsidRPr="007067AE">
        <w:rPr>
          <w:lang w:eastAsia="en-GB"/>
        </w:rPr>
        <w:t xml:space="preserve"> орбит</w:t>
      </w:r>
      <w:r w:rsidR="00D765E7">
        <w:rPr>
          <w:lang w:eastAsia="en-GB"/>
        </w:rPr>
        <w:t>у</w:t>
      </w:r>
      <w:r w:rsidRPr="007067AE">
        <w:rPr>
          <w:lang w:eastAsia="en-GB"/>
        </w:rPr>
        <w:t xml:space="preserve"> и </w:t>
      </w:r>
      <w:r w:rsidR="00D765E7">
        <w:rPr>
          <w:lang w:eastAsia="en-GB"/>
        </w:rPr>
        <w:t xml:space="preserve">иметь </w:t>
      </w:r>
      <w:r w:rsidRPr="007067AE">
        <w:rPr>
          <w:lang w:eastAsia="en-GB"/>
        </w:rPr>
        <w:t>доступ к ней</w:t>
      </w:r>
      <w:r w:rsidR="00D765E7">
        <w:rPr>
          <w:lang w:eastAsia="en-GB"/>
        </w:rPr>
        <w:t xml:space="preserve"> на справедливой основе</w:t>
      </w:r>
      <w:r w:rsidRPr="007067AE">
        <w:rPr>
          <w:lang w:eastAsia="en-GB"/>
        </w:rPr>
        <w:t xml:space="preserve">. Разработка </w:t>
      </w:r>
      <w:r>
        <w:rPr>
          <w:lang w:eastAsia="en-GB"/>
        </w:rPr>
        <w:t xml:space="preserve">Плана </w:t>
      </w:r>
      <w:r w:rsidRPr="007067AE">
        <w:rPr>
          <w:lang w:eastAsia="en-GB"/>
        </w:rPr>
        <w:t>Приложени</w:t>
      </w:r>
      <w:r>
        <w:rPr>
          <w:lang w:eastAsia="en-GB"/>
        </w:rPr>
        <w:t>я</w:t>
      </w:r>
      <w:r w:rsidRPr="007067AE">
        <w:rPr>
          <w:b/>
          <w:bCs/>
          <w:lang w:eastAsia="en-GB"/>
        </w:rPr>
        <w:t xml:space="preserve"> 30B </w:t>
      </w:r>
      <w:r w:rsidR="00175D9C">
        <w:rPr>
          <w:lang w:eastAsia="en-GB"/>
        </w:rPr>
        <w:t>к</w:t>
      </w:r>
      <w:r w:rsidR="00175D9C">
        <w:rPr>
          <w:b/>
          <w:bCs/>
          <w:lang w:eastAsia="en-GB"/>
        </w:rPr>
        <w:t xml:space="preserve"> </w:t>
      </w:r>
      <w:r w:rsidRPr="007067AE">
        <w:rPr>
          <w:lang w:eastAsia="en-GB"/>
        </w:rPr>
        <w:t xml:space="preserve">РР </w:t>
      </w:r>
      <w:r>
        <w:rPr>
          <w:lang w:eastAsia="en-GB"/>
        </w:rPr>
        <w:t>включала</w:t>
      </w:r>
      <w:r w:rsidRPr="007067AE">
        <w:rPr>
          <w:lang w:eastAsia="en-GB"/>
        </w:rPr>
        <w:t xml:space="preserve"> международные усилия по обеспечению </w:t>
      </w:r>
      <w:r>
        <w:rPr>
          <w:lang w:eastAsia="en-GB"/>
        </w:rPr>
        <w:t xml:space="preserve">для администраций </w:t>
      </w:r>
      <w:r w:rsidRPr="007067AE">
        <w:rPr>
          <w:lang w:eastAsia="en-GB"/>
        </w:rPr>
        <w:t>справедливо</w:t>
      </w:r>
      <w:r>
        <w:rPr>
          <w:lang w:eastAsia="en-GB"/>
        </w:rPr>
        <w:t xml:space="preserve">го подхода к </w:t>
      </w:r>
      <w:r w:rsidRPr="007067AE">
        <w:rPr>
          <w:lang w:eastAsia="en-GB"/>
        </w:rPr>
        <w:t>развити</w:t>
      </w:r>
      <w:r>
        <w:rPr>
          <w:lang w:eastAsia="en-GB"/>
        </w:rPr>
        <w:t>ю</w:t>
      </w:r>
      <w:r w:rsidRPr="007067AE">
        <w:rPr>
          <w:lang w:eastAsia="en-GB"/>
        </w:rPr>
        <w:t xml:space="preserve"> спутниковой связи и </w:t>
      </w:r>
      <w:r>
        <w:rPr>
          <w:lang w:eastAsia="en-GB"/>
        </w:rPr>
        <w:t>была нацелена на</w:t>
      </w:r>
      <w:r w:rsidRPr="007067AE">
        <w:rPr>
          <w:lang w:eastAsia="en-GB"/>
        </w:rPr>
        <w:t xml:space="preserve"> содействи</w:t>
      </w:r>
      <w:r>
        <w:rPr>
          <w:lang w:eastAsia="en-GB"/>
        </w:rPr>
        <w:t>е</w:t>
      </w:r>
      <w:r w:rsidRPr="007067AE">
        <w:rPr>
          <w:lang w:eastAsia="en-GB"/>
        </w:rPr>
        <w:t xml:space="preserve"> </w:t>
      </w:r>
      <w:r>
        <w:rPr>
          <w:lang w:eastAsia="en-GB"/>
        </w:rPr>
        <w:t xml:space="preserve">в </w:t>
      </w:r>
      <w:r w:rsidRPr="007067AE">
        <w:rPr>
          <w:lang w:eastAsia="en-GB"/>
        </w:rPr>
        <w:t>предоставлени</w:t>
      </w:r>
      <w:r>
        <w:rPr>
          <w:lang w:eastAsia="en-GB"/>
        </w:rPr>
        <w:t>и</w:t>
      </w:r>
      <w:r w:rsidRPr="007067AE">
        <w:rPr>
          <w:lang w:eastAsia="en-GB"/>
        </w:rPr>
        <w:t xml:space="preserve"> спутниковых услуг на национальных территориях, что делает этот вопрос критически важным для развивающихся стран.</w:t>
      </w:r>
    </w:p>
    <w:p w14:paraId="0E46F516" w14:textId="1762A097" w:rsidR="00F97D25" w:rsidRPr="00F97D25" w:rsidRDefault="00F97D25" w:rsidP="00F97D25">
      <w:r w:rsidRPr="00F97D25">
        <w:rPr>
          <w:lang w:eastAsia="en-GB"/>
        </w:rPr>
        <w:lastRenderedPageBreak/>
        <w:t xml:space="preserve">Кроме того, учитывая необходимость </w:t>
      </w:r>
      <w:r>
        <w:rPr>
          <w:lang w:eastAsia="en-GB"/>
        </w:rPr>
        <w:t xml:space="preserve">в </w:t>
      </w:r>
      <w:r w:rsidRPr="00F97D25">
        <w:rPr>
          <w:lang w:eastAsia="en-GB"/>
        </w:rPr>
        <w:t>преодолени</w:t>
      </w:r>
      <w:r>
        <w:rPr>
          <w:lang w:eastAsia="en-GB"/>
        </w:rPr>
        <w:t>и</w:t>
      </w:r>
      <w:r w:rsidRPr="00F97D25">
        <w:rPr>
          <w:lang w:eastAsia="en-GB"/>
        </w:rPr>
        <w:t xml:space="preserve"> </w:t>
      </w:r>
      <w:r>
        <w:rPr>
          <w:lang w:eastAsia="en-GB"/>
        </w:rPr>
        <w:t xml:space="preserve">цифрового </w:t>
      </w:r>
      <w:r w:rsidRPr="00F97D25">
        <w:rPr>
          <w:lang w:eastAsia="en-GB"/>
        </w:rPr>
        <w:t>разрыва, удовлетворени</w:t>
      </w:r>
      <w:r>
        <w:rPr>
          <w:lang w:eastAsia="en-GB"/>
        </w:rPr>
        <w:t>и</w:t>
      </w:r>
      <w:r w:rsidRPr="00F97D25">
        <w:rPr>
          <w:lang w:eastAsia="en-GB"/>
        </w:rPr>
        <w:t xml:space="preserve"> возрастающих потребностей в трафике</w:t>
      </w:r>
      <w:r>
        <w:rPr>
          <w:lang w:eastAsia="en-GB"/>
        </w:rPr>
        <w:t xml:space="preserve"> и </w:t>
      </w:r>
      <w:r w:rsidRPr="00F97D25">
        <w:rPr>
          <w:lang w:eastAsia="en-GB"/>
        </w:rPr>
        <w:t>спрос</w:t>
      </w:r>
      <w:r>
        <w:rPr>
          <w:lang w:eastAsia="en-GB"/>
        </w:rPr>
        <w:t>а</w:t>
      </w:r>
      <w:r w:rsidRPr="00F97D25">
        <w:rPr>
          <w:lang w:eastAsia="en-GB"/>
        </w:rPr>
        <w:t xml:space="preserve"> на соединени</w:t>
      </w:r>
      <w:r>
        <w:rPr>
          <w:lang w:eastAsia="en-GB"/>
        </w:rPr>
        <w:t>я</w:t>
      </w:r>
      <w:r w:rsidRPr="00F97D25">
        <w:rPr>
          <w:lang w:eastAsia="en-GB"/>
        </w:rPr>
        <w:t xml:space="preserve"> для районов, обслуживаемых в недостаточной степени, </w:t>
      </w:r>
      <w:r>
        <w:rPr>
          <w:lang w:eastAsia="en-GB"/>
        </w:rPr>
        <w:t>а также</w:t>
      </w:r>
      <w:r w:rsidRPr="00F97D25">
        <w:rPr>
          <w:lang w:eastAsia="en-GB"/>
        </w:rPr>
        <w:t xml:space="preserve"> </w:t>
      </w:r>
      <w:r>
        <w:rPr>
          <w:lang w:eastAsia="en-GB"/>
        </w:rPr>
        <w:t>неминуемое</w:t>
      </w:r>
      <w:r w:rsidRPr="00F97D25">
        <w:rPr>
          <w:lang w:eastAsia="en-GB"/>
        </w:rPr>
        <w:t xml:space="preserve"> </w:t>
      </w:r>
      <w:r>
        <w:rPr>
          <w:lang w:eastAsia="en-GB"/>
        </w:rPr>
        <w:t>развитие</w:t>
      </w:r>
      <w:r w:rsidRPr="00F97D25">
        <w:rPr>
          <w:lang w:eastAsia="en-GB"/>
        </w:rPr>
        <w:t xml:space="preserve"> новых технологий, эти полосы частот или их участки уже</w:t>
      </w:r>
      <w:r>
        <w:rPr>
          <w:lang w:eastAsia="en-GB"/>
        </w:rPr>
        <w:t xml:space="preserve"> задействуются </w:t>
      </w:r>
      <w:r w:rsidRPr="00F97D25">
        <w:rPr>
          <w:lang w:eastAsia="en-GB"/>
        </w:rPr>
        <w:t xml:space="preserve">во всем мире </w:t>
      </w:r>
      <w:r>
        <w:rPr>
          <w:lang w:eastAsia="en-GB"/>
        </w:rPr>
        <w:t>для</w:t>
      </w:r>
      <w:r w:rsidRPr="00F97D25">
        <w:rPr>
          <w:lang w:eastAsia="en-GB"/>
        </w:rPr>
        <w:t xml:space="preserve"> нелицензируемого использования, </w:t>
      </w:r>
      <w:r w:rsidR="00060B84">
        <w:rPr>
          <w:lang w:eastAsia="en-GB"/>
        </w:rPr>
        <w:t>включая</w:t>
      </w:r>
      <w:r w:rsidRPr="00F97D25">
        <w:rPr>
          <w:lang w:eastAsia="en-GB"/>
        </w:rPr>
        <w:t xml:space="preserve"> </w:t>
      </w:r>
      <w:r>
        <w:rPr>
          <w:lang w:val="en-GB" w:eastAsia="en-GB"/>
        </w:rPr>
        <w:t>WAS</w:t>
      </w:r>
      <w:r w:rsidRPr="00F97D25">
        <w:rPr>
          <w:lang w:eastAsia="en-GB"/>
        </w:rPr>
        <w:t>/</w:t>
      </w:r>
      <w:r>
        <w:rPr>
          <w:lang w:val="en-GB" w:eastAsia="en-GB"/>
        </w:rPr>
        <w:t>RLAN</w:t>
      </w:r>
      <w:r w:rsidRPr="00F97D25">
        <w:rPr>
          <w:lang w:eastAsia="en-GB"/>
        </w:rPr>
        <w:t>, в рамках существующего распределения подвижной службе на первичной основе. Принцип</w:t>
      </w:r>
      <w:r w:rsidR="00060B84">
        <w:rPr>
          <w:lang w:eastAsia="en-GB"/>
        </w:rPr>
        <w:t xml:space="preserve"> работы</w:t>
      </w:r>
      <w:r w:rsidRPr="00F97D25">
        <w:rPr>
          <w:lang w:eastAsia="en-GB"/>
        </w:rPr>
        <w:t xml:space="preserve">, </w:t>
      </w:r>
      <w:r w:rsidR="00060B84">
        <w:rPr>
          <w:lang w:eastAsia="en-GB"/>
        </w:rPr>
        <w:t>характерный для</w:t>
      </w:r>
      <w:r w:rsidRPr="00F97D25">
        <w:rPr>
          <w:lang w:eastAsia="en-GB"/>
        </w:rPr>
        <w:t xml:space="preserve"> подвижны</w:t>
      </w:r>
      <w:r w:rsidR="00060B84">
        <w:rPr>
          <w:lang w:eastAsia="en-GB"/>
        </w:rPr>
        <w:t>х</w:t>
      </w:r>
      <w:r w:rsidRPr="00F97D25">
        <w:rPr>
          <w:lang w:eastAsia="en-GB"/>
        </w:rPr>
        <w:t xml:space="preserve"> нелицензируем</w:t>
      </w:r>
      <w:r w:rsidR="00060B84">
        <w:rPr>
          <w:lang w:eastAsia="en-GB"/>
        </w:rPr>
        <w:t>ых</w:t>
      </w:r>
      <w:r w:rsidRPr="00F97D25">
        <w:rPr>
          <w:lang w:eastAsia="en-GB"/>
        </w:rPr>
        <w:t xml:space="preserve"> технологи</w:t>
      </w:r>
      <w:r w:rsidR="00060B84">
        <w:rPr>
          <w:lang w:eastAsia="en-GB"/>
        </w:rPr>
        <w:t>й</w:t>
      </w:r>
      <w:r w:rsidRPr="00F97D25">
        <w:rPr>
          <w:lang w:eastAsia="en-GB"/>
        </w:rPr>
        <w:t xml:space="preserve">, привел к тому, что они работают без </w:t>
      </w:r>
      <w:r w:rsidR="00060B84">
        <w:rPr>
          <w:lang w:eastAsia="en-GB"/>
        </w:rPr>
        <w:t xml:space="preserve">необходимости </w:t>
      </w:r>
      <w:r w:rsidRPr="00F97D25">
        <w:rPr>
          <w:lang w:eastAsia="en-GB"/>
        </w:rPr>
        <w:t>добавл</w:t>
      </w:r>
      <w:r w:rsidR="00060B84">
        <w:rPr>
          <w:lang w:eastAsia="en-GB"/>
        </w:rPr>
        <w:t>ять</w:t>
      </w:r>
      <w:r w:rsidRPr="00F97D25">
        <w:rPr>
          <w:lang w:eastAsia="en-GB"/>
        </w:rPr>
        <w:t xml:space="preserve"> каки</w:t>
      </w:r>
      <w:r w:rsidR="00060B84">
        <w:rPr>
          <w:lang w:eastAsia="en-GB"/>
        </w:rPr>
        <w:t>е</w:t>
      </w:r>
      <w:r w:rsidRPr="00F97D25">
        <w:rPr>
          <w:lang w:eastAsia="en-GB"/>
        </w:rPr>
        <w:t>-либо ограничени</w:t>
      </w:r>
      <w:r w:rsidR="00060B84">
        <w:rPr>
          <w:lang w:eastAsia="en-GB"/>
        </w:rPr>
        <w:t>я</w:t>
      </w:r>
      <w:r w:rsidRPr="00F97D25">
        <w:rPr>
          <w:lang w:eastAsia="en-GB"/>
        </w:rPr>
        <w:t xml:space="preserve"> </w:t>
      </w:r>
      <w:r w:rsidR="00060B84">
        <w:rPr>
          <w:lang w:eastAsia="en-GB"/>
        </w:rPr>
        <w:t>и без</w:t>
      </w:r>
      <w:r w:rsidRPr="00F97D25">
        <w:rPr>
          <w:lang w:eastAsia="en-GB"/>
        </w:rPr>
        <w:t xml:space="preserve"> создания вредных помех первичным службам, т.</w:t>
      </w:r>
      <w:r w:rsidR="00B5410A">
        <w:rPr>
          <w:lang w:eastAsia="en-GB"/>
        </w:rPr>
        <w:t xml:space="preserve"> </w:t>
      </w:r>
      <w:r w:rsidRPr="00F97D25">
        <w:rPr>
          <w:lang w:eastAsia="en-GB"/>
        </w:rPr>
        <w:t xml:space="preserve">е. ФСС, фиксированной службе (ФС), а также спутниковой службе исследования Земли (пассивной) и службе космических исследований (пассивной); следовательно, использование технологий </w:t>
      </w:r>
      <w:r>
        <w:rPr>
          <w:lang w:val="en-GB" w:eastAsia="en-GB"/>
        </w:rPr>
        <w:t>WAS</w:t>
      </w:r>
      <w:r w:rsidRPr="00F97D25">
        <w:rPr>
          <w:lang w:eastAsia="en-GB"/>
        </w:rPr>
        <w:t>/</w:t>
      </w:r>
      <w:r>
        <w:rPr>
          <w:lang w:val="en-GB" w:eastAsia="en-GB"/>
        </w:rPr>
        <w:t>RLAM</w:t>
      </w:r>
      <w:r w:rsidRPr="00F97D25">
        <w:rPr>
          <w:lang w:eastAsia="en-GB"/>
        </w:rPr>
        <w:t xml:space="preserve"> </w:t>
      </w:r>
      <w:r w:rsidR="00D765E7">
        <w:rPr>
          <w:lang w:eastAsia="en-GB"/>
        </w:rPr>
        <w:t>не противоречит</w:t>
      </w:r>
      <w:r w:rsidRPr="00F97D25">
        <w:rPr>
          <w:lang w:eastAsia="en-GB"/>
        </w:rPr>
        <w:t xml:space="preserve"> положениям, установленным в РР.</w:t>
      </w:r>
    </w:p>
    <w:p w14:paraId="5EFE7975" w14:textId="54AE37EC" w:rsidR="00C612F9" w:rsidRPr="006E2B08" w:rsidRDefault="002F3B42" w:rsidP="00C612F9">
      <w:pPr>
        <w:rPr>
          <w:rFonts w:eastAsia="MS Mincho"/>
          <w:lang w:eastAsia="ja-JP"/>
        </w:rPr>
      </w:pPr>
      <w:r>
        <w:rPr>
          <w:lang w:eastAsia="en-GB"/>
        </w:rPr>
        <w:t>Более</w:t>
      </w:r>
      <w:r w:rsidRPr="002F3B42">
        <w:rPr>
          <w:lang w:eastAsia="en-GB"/>
        </w:rPr>
        <w:t xml:space="preserve"> того, Рабочая группа 5</w:t>
      </w:r>
      <w:r>
        <w:rPr>
          <w:lang w:val="en-GB" w:eastAsia="en-GB"/>
        </w:rPr>
        <w:t>D</w:t>
      </w:r>
      <w:r w:rsidRPr="002F3B42">
        <w:rPr>
          <w:lang w:eastAsia="en-GB"/>
        </w:rPr>
        <w:t xml:space="preserve"> провела исследования, касающиеся возможного использования наземного сегмента </w:t>
      </w:r>
      <w:r>
        <w:rPr>
          <w:lang w:val="en-GB" w:eastAsia="en-GB"/>
        </w:rPr>
        <w:t>IMT</w:t>
      </w:r>
      <w:r w:rsidRPr="002F3B42">
        <w:rPr>
          <w:lang w:eastAsia="en-GB"/>
        </w:rPr>
        <w:t xml:space="preserve">, </w:t>
      </w:r>
      <w:r w:rsidR="00C612F9">
        <w:rPr>
          <w:lang w:eastAsia="en-GB"/>
        </w:rPr>
        <w:t xml:space="preserve">в целях </w:t>
      </w:r>
      <w:r w:rsidRPr="002F3B42">
        <w:rPr>
          <w:lang w:eastAsia="en-GB"/>
        </w:rPr>
        <w:t>обеспечения защиты служб, которым эта полоса частот распределена на первичной основе.</w:t>
      </w:r>
      <w:r>
        <w:rPr>
          <w:lang w:eastAsia="en-GB"/>
        </w:rPr>
        <w:t xml:space="preserve"> </w:t>
      </w:r>
      <w:r w:rsidR="00C612F9">
        <w:t xml:space="preserve">Вместе с тем согласие по поводу параметров, которые предполагалось использовать в исследованиях, отсутствовало, и какого-либо вывода представлено не было. Представленные </w:t>
      </w:r>
      <w:r w:rsidR="00C612F9">
        <w:rPr>
          <w:rFonts w:eastAsia="MS Mincho"/>
          <w:lang w:eastAsia="ja-JP"/>
        </w:rPr>
        <w:t xml:space="preserve">заинтересованными сторонами </w:t>
      </w:r>
      <w:r w:rsidR="00C612F9">
        <w:t xml:space="preserve">результаты и условия лишь отражали подход, в котором </w:t>
      </w:r>
      <w:r w:rsidR="00C612F9">
        <w:rPr>
          <w:rFonts w:eastAsia="MS Mincho"/>
          <w:lang w:eastAsia="ja-JP"/>
        </w:rPr>
        <w:t>не учитываются</w:t>
      </w:r>
      <w:r w:rsidR="00C612F9">
        <w:t xml:space="preserve"> надлежащие условия для разв</w:t>
      </w:r>
      <w:r w:rsidR="00175D9C">
        <w:t>е</w:t>
      </w:r>
      <w:r w:rsidR="00C612F9">
        <w:t xml:space="preserve">ртывания сетей </w:t>
      </w:r>
      <w:r w:rsidR="00C612F9">
        <w:rPr>
          <w:lang w:val="en-US"/>
        </w:rPr>
        <w:t>IMT</w:t>
      </w:r>
      <w:r w:rsidR="00C612F9">
        <w:rPr>
          <w:rFonts w:eastAsia="MS Mincho"/>
          <w:lang w:eastAsia="ja-JP"/>
        </w:rPr>
        <w:t>, что способно сказаться на текущем использовании и дальнейшем развитии ФСС и фиксированной службы ФС; более того, данное обстоятельство способно воспрепятствовать развёртыванию других тех</w:t>
      </w:r>
      <w:r w:rsidR="00C612F9" w:rsidRPr="00B002CA">
        <w:rPr>
          <w:rFonts w:eastAsia="MS Mincho"/>
          <w:lang w:eastAsia="ja-JP"/>
        </w:rPr>
        <w:t>нологий подвижной связи, котор</w:t>
      </w:r>
      <w:r w:rsidR="00C612F9">
        <w:rPr>
          <w:rFonts w:eastAsia="MS Mincho"/>
          <w:lang w:eastAsia="ja-JP"/>
        </w:rPr>
        <w:t>ые также могут использоваться в рамках распределения</w:t>
      </w:r>
      <w:r w:rsidR="00C612F9" w:rsidRPr="00956261">
        <w:rPr>
          <w:rFonts w:eastAsia="MS Mincho"/>
          <w:lang w:eastAsia="ja-JP"/>
        </w:rPr>
        <w:t xml:space="preserve"> </w:t>
      </w:r>
      <w:r w:rsidR="00C612F9">
        <w:rPr>
          <w:rFonts w:eastAsia="MS Mincho"/>
          <w:lang w:eastAsia="ja-JP"/>
        </w:rPr>
        <w:t xml:space="preserve">подвижной службе </w:t>
      </w:r>
      <w:r w:rsidR="00C612F9" w:rsidRPr="00956261">
        <w:rPr>
          <w:rFonts w:eastAsia="MS Mincho"/>
          <w:lang w:eastAsia="ja-JP"/>
        </w:rPr>
        <w:t>на равной первичной основе</w:t>
      </w:r>
      <w:r w:rsidR="00C612F9">
        <w:rPr>
          <w:rFonts w:eastAsia="MS Mincho"/>
          <w:lang w:eastAsia="ja-JP"/>
        </w:rPr>
        <w:t>.</w:t>
      </w:r>
    </w:p>
    <w:p w14:paraId="2AFCC3EB" w14:textId="3AA42C35" w:rsidR="00A0298D" w:rsidRPr="00C91213" w:rsidRDefault="000A0DC6" w:rsidP="00C91213">
      <w:pPr>
        <w:rPr>
          <w:lang w:eastAsia="en-GB"/>
        </w:rPr>
      </w:pPr>
      <w:r>
        <w:rPr>
          <w:lang w:eastAsia="en-GB"/>
        </w:rPr>
        <w:t>Помимо</w:t>
      </w:r>
      <w:r w:rsidR="002F3B42" w:rsidRPr="002F3B42">
        <w:rPr>
          <w:lang w:eastAsia="en-GB"/>
        </w:rPr>
        <w:t xml:space="preserve"> того, в начале раздела 1/1.2/3.2 </w:t>
      </w:r>
      <w:r>
        <w:rPr>
          <w:lang w:eastAsia="en-GB"/>
        </w:rPr>
        <w:t>"</w:t>
      </w:r>
      <w:r w:rsidRPr="000A0DC6">
        <w:rPr>
          <w:lang w:eastAsia="en-GB"/>
        </w:rPr>
        <w:t>Исследования совместного использования и совместимости</w:t>
      </w:r>
      <w:r>
        <w:rPr>
          <w:lang w:eastAsia="en-GB"/>
        </w:rPr>
        <w:t>"</w:t>
      </w:r>
      <w:r w:rsidRPr="000A0DC6">
        <w:rPr>
          <w:lang w:eastAsia="en-GB"/>
        </w:rPr>
        <w:t xml:space="preserve"> </w:t>
      </w:r>
      <w:r w:rsidR="002F3B42" w:rsidRPr="002F3B42">
        <w:rPr>
          <w:lang w:eastAsia="en-GB"/>
        </w:rPr>
        <w:t xml:space="preserve">Отчета ПСК отмечается, что информация и материалы резюме результатов исследований, показанные в сравнительных таблицах, предназначены для </w:t>
      </w:r>
      <w:r>
        <w:rPr>
          <w:lang w:eastAsia="en-GB"/>
        </w:rPr>
        <w:t xml:space="preserve">предоставления </w:t>
      </w:r>
      <w:r w:rsidR="002F3B42" w:rsidRPr="002F3B42">
        <w:rPr>
          <w:lang w:eastAsia="en-GB"/>
        </w:rPr>
        <w:t>информации, основанной на следующем:</w:t>
      </w:r>
      <w:r>
        <w:rPr>
          <w:lang w:eastAsia="en-GB"/>
        </w:rPr>
        <w:t xml:space="preserve"> </w:t>
      </w:r>
      <w:r w:rsidR="00C91213" w:rsidRPr="002F3B42">
        <w:rPr>
          <w:lang w:eastAsia="en-GB"/>
        </w:rPr>
        <w:t>"</w:t>
      </w:r>
      <w:r w:rsidR="00A0298D" w:rsidRPr="002F3B42">
        <w:rPr>
          <w:lang w:eastAsia="en-GB"/>
        </w:rPr>
        <w:t xml:space="preserve">(…) </w:t>
      </w:r>
      <w:r w:rsidR="00C91213" w:rsidRPr="00C91213">
        <w:rPr>
          <w:rFonts w:eastAsia="MS Mincho"/>
          <w:lang w:eastAsia="ja-JP"/>
        </w:rPr>
        <w:t>что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допущения</w:t>
      </w:r>
      <w:r w:rsidR="00C91213" w:rsidRPr="002F3B42">
        <w:rPr>
          <w:rFonts w:eastAsia="MS Mincho"/>
          <w:lang w:eastAsia="ja-JP"/>
        </w:rPr>
        <w:t xml:space="preserve">, </w:t>
      </w:r>
      <w:r w:rsidR="00C91213" w:rsidRPr="004440B8">
        <w:rPr>
          <w:rFonts w:eastAsia="MS Mincho"/>
          <w:lang w:eastAsia="ja-JP"/>
        </w:rPr>
        <w:t>входные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параметры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критерии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помех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в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том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числе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использование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действующих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Рекомендаций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Отчетов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МСЭ</w:t>
      </w:r>
      <w:r w:rsidR="00C91213" w:rsidRPr="002F3B42">
        <w:rPr>
          <w:rFonts w:eastAsia="MS Mincho"/>
          <w:lang w:eastAsia="ja-JP"/>
        </w:rPr>
        <w:t>-</w:t>
      </w:r>
      <w:r w:rsidR="00C91213" w:rsidRPr="00C91213">
        <w:rPr>
          <w:rFonts w:eastAsia="MS Mincho"/>
          <w:lang w:val="en-GB" w:eastAsia="ja-JP"/>
        </w:rPr>
        <w:t>R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в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целом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разнятся</w:t>
      </w:r>
      <w:r w:rsidR="00C91213" w:rsidRPr="002F3B42">
        <w:rPr>
          <w:rFonts w:eastAsia="MS Mincho"/>
          <w:lang w:eastAsia="ja-JP"/>
        </w:rPr>
        <w:t xml:space="preserve">, </w:t>
      </w:r>
      <w:r w:rsidR="00C91213" w:rsidRPr="004440B8">
        <w:rPr>
          <w:rFonts w:eastAsia="MS Mincho"/>
          <w:lang w:eastAsia="ja-JP"/>
        </w:rPr>
        <w:t>не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репрезентативны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</w:t>
      </w:r>
      <w:r w:rsidR="00C91213" w:rsidRPr="002F3B42">
        <w:rPr>
          <w:rFonts w:eastAsia="MS Mincho"/>
          <w:lang w:eastAsia="ja-JP"/>
        </w:rPr>
        <w:t xml:space="preserve">, </w:t>
      </w:r>
      <w:r w:rsidR="00C91213" w:rsidRPr="004440B8">
        <w:rPr>
          <w:rFonts w:eastAsia="MS Mincho"/>
          <w:lang w:eastAsia="ja-JP"/>
        </w:rPr>
        <w:t>что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важно</w:t>
      </w:r>
      <w:r w:rsidR="00C91213" w:rsidRPr="002F3B42">
        <w:rPr>
          <w:rFonts w:eastAsia="MS Mincho"/>
          <w:lang w:eastAsia="ja-JP"/>
        </w:rPr>
        <w:t xml:space="preserve">, </w:t>
      </w:r>
      <w:r w:rsidR="00C91213" w:rsidRPr="004440B8">
        <w:rPr>
          <w:rFonts w:eastAsia="MS Mincho"/>
          <w:lang w:eastAsia="ja-JP"/>
        </w:rPr>
        <w:t>не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согласованы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МСЭ</w:t>
      </w:r>
      <w:r w:rsidR="00C91213" w:rsidRPr="002F3B42">
        <w:rPr>
          <w:rFonts w:eastAsia="MS Mincho"/>
          <w:lang w:eastAsia="ja-JP"/>
        </w:rPr>
        <w:t>-</w:t>
      </w:r>
      <w:r w:rsidR="00C91213" w:rsidRPr="00C91213">
        <w:rPr>
          <w:rFonts w:eastAsia="MS Mincho"/>
          <w:lang w:val="en-GB" w:eastAsia="ja-JP"/>
        </w:rPr>
        <w:t>R</w:t>
      </w:r>
      <w:r w:rsidR="00C91213" w:rsidRPr="002F3B42">
        <w:rPr>
          <w:lang w:eastAsia="en-GB"/>
        </w:rPr>
        <w:t xml:space="preserve"> </w:t>
      </w:r>
      <w:r w:rsidR="00A0298D" w:rsidRPr="002F3B42">
        <w:rPr>
          <w:lang w:eastAsia="en-GB"/>
        </w:rPr>
        <w:t>(…)</w:t>
      </w:r>
      <w:r w:rsidR="00C91213" w:rsidRPr="002F3B42">
        <w:rPr>
          <w:lang w:eastAsia="en-GB"/>
        </w:rPr>
        <w:t>"</w:t>
      </w:r>
      <w:r w:rsidR="00A0298D" w:rsidRPr="002F3B42">
        <w:rPr>
          <w:lang w:eastAsia="en-GB"/>
        </w:rPr>
        <w:t xml:space="preserve"> </w:t>
      </w:r>
      <w:r w:rsidR="00C91213" w:rsidRPr="00C91213">
        <w:rPr>
          <w:lang w:eastAsia="en-GB"/>
        </w:rPr>
        <w:t>и</w:t>
      </w:r>
      <w:r w:rsidR="00A0298D" w:rsidRPr="00C91213">
        <w:rPr>
          <w:lang w:val="en-GB" w:eastAsia="en-GB"/>
        </w:rPr>
        <w:t> </w:t>
      </w:r>
      <w:r w:rsidR="00C91213" w:rsidRPr="002F3B42">
        <w:rPr>
          <w:lang w:eastAsia="en-GB"/>
        </w:rPr>
        <w:t>"</w:t>
      </w:r>
      <w:r w:rsidR="00A0298D" w:rsidRPr="002F3B42">
        <w:rPr>
          <w:lang w:eastAsia="en-GB"/>
        </w:rPr>
        <w:t>(…)</w:t>
      </w:r>
      <w:r w:rsidR="00A0298D" w:rsidRPr="002F3B42">
        <w:rPr>
          <w:i/>
          <w:iCs/>
          <w:lang w:eastAsia="en-GB"/>
        </w:rPr>
        <w:t xml:space="preserve"> </w:t>
      </w:r>
      <w:r w:rsidR="00C91213" w:rsidRPr="004440B8">
        <w:rPr>
          <w:rFonts w:eastAsia="MS Mincho"/>
          <w:lang w:eastAsia="ja-JP"/>
        </w:rPr>
        <w:t>с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учетом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приведенных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выше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аргументов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объяснений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не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ожидается</w:t>
      </w:r>
      <w:r w:rsidR="00C91213" w:rsidRPr="002F3B42">
        <w:rPr>
          <w:rFonts w:eastAsia="MS Mincho"/>
          <w:lang w:eastAsia="ja-JP"/>
        </w:rPr>
        <w:t xml:space="preserve">, </w:t>
      </w:r>
      <w:r w:rsidR="00C91213" w:rsidRPr="004440B8">
        <w:rPr>
          <w:rFonts w:eastAsia="MS Mincho"/>
          <w:lang w:eastAsia="ja-JP"/>
        </w:rPr>
        <w:t>что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по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результатам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исследований</w:t>
      </w:r>
      <w:r w:rsidR="00C91213" w:rsidRPr="002F3B42">
        <w:rPr>
          <w:rFonts w:eastAsia="MS Mincho"/>
          <w:lang w:eastAsia="ja-JP"/>
        </w:rPr>
        <w:t xml:space="preserve">, </w:t>
      </w:r>
      <w:r w:rsidR="00C91213" w:rsidRPr="004440B8">
        <w:rPr>
          <w:rFonts w:eastAsia="MS Mincho"/>
          <w:lang w:eastAsia="ja-JP"/>
        </w:rPr>
        <w:t>представленным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в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разных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столбцах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таблиц</w:t>
      </w:r>
      <w:r w:rsidR="00C91213" w:rsidRPr="002F3B42">
        <w:rPr>
          <w:rFonts w:eastAsia="MS Mincho"/>
          <w:lang w:eastAsia="ja-JP"/>
        </w:rPr>
        <w:t xml:space="preserve">, </w:t>
      </w:r>
      <w:r w:rsidR="00C91213" w:rsidRPr="004440B8">
        <w:rPr>
          <w:rFonts w:eastAsia="MS Mincho"/>
          <w:lang w:eastAsia="ja-JP"/>
        </w:rPr>
        <w:t>будут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сделаны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определенные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или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общие</w:t>
      </w:r>
      <w:r w:rsidR="00C91213" w:rsidRPr="002F3B42">
        <w:rPr>
          <w:rFonts w:eastAsia="MS Mincho"/>
          <w:lang w:eastAsia="ja-JP"/>
        </w:rPr>
        <w:t xml:space="preserve"> </w:t>
      </w:r>
      <w:r w:rsidR="00C91213" w:rsidRPr="004440B8">
        <w:rPr>
          <w:rFonts w:eastAsia="MS Mincho"/>
          <w:lang w:eastAsia="ja-JP"/>
        </w:rPr>
        <w:t>выводы</w:t>
      </w:r>
      <w:r w:rsidR="00C91213" w:rsidRPr="002F3B42">
        <w:rPr>
          <w:rFonts w:eastAsia="MS Mincho"/>
          <w:lang w:eastAsia="ja-JP"/>
        </w:rPr>
        <w:t xml:space="preserve">. </w:t>
      </w:r>
      <w:r w:rsidR="00C91213" w:rsidRPr="004440B8">
        <w:rPr>
          <w:rFonts w:eastAsia="MS Mincho"/>
          <w:lang w:eastAsia="ja-JP"/>
        </w:rPr>
        <w:t>Индивидуальным членам и региональным организациям электросвязи предлагается провести собственный анализ исследований и сделать собственные выводы, принимая во внимание существующие обстоятельства и условия помех, а также другие условия в их странах/регионах, которые они сочтут целесообразными и обоснованными</w:t>
      </w:r>
      <w:r w:rsidR="00C91213">
        <w:rPr>
          <w:rFonts w:eastAsia="MS Mincho"/>
          <w:lang w:eastAsia="ja-JP"/>
        </w:rPr>
        <w:t>"</w:t>
      </w:r>
      <w:r w:rsidR="00A0298D" w:rsidRPr="00C91213">
        <w:rPr>
          <w:i/>
          <w:iCs/>
          <w:lang w:eastAsia="en-GB"/>
        </w:rPr>
        <w:t>.</w:t>
      </w:r>
    </w:p>
    <w:p w14:paraId="69023CAF" w14:textId="7FF07C19" w:rsidR="00051FC3" w:rsidRPr="00051FC3" w:rsidRDefault="00051FC3" w:rsidP="00051FC3">
      <w:r w:rsidRPr="00051FC3">
        <w:rPr>
          <w:lang w:eastAsia="en-GB"/>
        </w:rPr>
        <w:t>Таким образом, следует отметить</w:t>
      </w:r>
      <w:r w:rsidR="00B80342" w:rsidRPr="00B80342">
        <w:rPr>
          <w:lang w:eastAsia="en-GB"/>
        </w:rPr>
        <w:t xml:space="preserve"> </w:t>
      </w:r>
      <w:r w:rsidR="00B80342">
        <w:rPr>
          <w:lang w:eastAsia="en-GB"/>
        </w:rPr>
        <w:t xml:space="preserve">крайнюю важность соблюдения </w:t>
      </w:r>
      <w:r w:rsidRPr="00051FC3">
        <w:rPr>
          <w:lang w:eastAsia="en-GB"/>
        </w:rPr>
        <w:t xml:space="preserve">условий </w:t>
      </w:r>
      <w:r w:rsidR="00B80342">
        <w:rPr>
          <w:lang w:eastAsia="en-GB"/>
        </w:rPr>
        <w:t>о</w:t>
      </w:r>
      <w:r w:rsidRPr="00051FC3">
        <w:rPr>
          <w:lang w:eastAsia="en-GB"/>
        </w:rPr>
        <w:t xml:space="preserve"> </w:t>
      </w:r>
      <w:r w:rsidR="00B80342">
        <w:rPr>
          <w:lang w:eastAsia="en-GB"/>
        </w:rPr>
        <w:t>недопущении помех</w:t>
      </w:r>
      <w:r w:rsidRPr="00051FC3">
        <w:rPr>
          <w:lang w:eastAsia="en-GB"/>
        </w:rPr>
        <w:t xml:space="preserve"> </w:t>
      </w:r>
      <w:r w:rsidR="00B80342">
        <w:rPr>
          <w:lang w:eastAsia="en-GB"/>
        </w:rPr>
        <w:t xml:space="preserve">со стороны </w:t>
      </w:r>
      <w:r>
        <w:rPr>
          <w:lang w:val="en-GB" w:eastAsia="en-GB"/>
        </w:rPr>
        <w:t>IMT</w:t>
      </w:r>
      <w:r w:rsidRPr="00051FC3">
        <w:rPr>
          <w:lang w:eastAsia="en-GB"/>
        </w:rPr>
        <w:t xml:space="preserve"> и </w:t>
      </w:r>
      <w:r>
        <w:rPr>
          <w:lang w:val="en-GB" w:eastAsia="en-GB"/>
        </w:rPr>
        <w:t>WAS</w:t>
      </w:r>
      <w:r w:rsidRPr="00051FC3">
        <w:rPr>
          <w:lang w:eastAsia="en-GB"/>
        </w:rPr>
        <w:t>/</w:t>
      </w:r>
      <w:r>
        <w:rPr>
          <w:lang w:val="en-GB" w:eastAsia="en-GB"/>
        </w:rPr>
        <w:t>RLAN</w:t>
      </w:r>
      <w:r w:rsidRPr="00051FC3">
        <w:rPr>
          <w:lang w:eastAsia="en-GB"/>
        </w:rPr>
        <w:t xml:space="preserve"> в полосе частот 6425−7125 </w:t>
      </w:r>
      <w:r>
        <w:rPr>
          <w:lang w:eastAsia="en-GB"/>
        </w:rPr>
        <w:t>МГц</w:t>
      </w:r>
      <w:r w:rsidR="00B80342">
        <w:rPr>
          <w:lang w:eastAsia="en-GB"/>
        </w:rPr>
        <w:t xml:space="preserve"> ввиду</w:t>
      </w:r>
      <w:r w:rsidRPr="00051FC3">
        <w:rPr>
          <w:lang w:eastAsia="en-GB"/>
        </w:rPr>
        <w:t xml:space="preserve"> преимуществ, которые уже предоставляют ФСС и ФС, </w:t>
      </w:r>
      <w:r w:rsidR="00B80342">
        <w:rPr>
          <w:lang w:eastAsia="en-GB"/>
        </w:rPr>
        <w:t>в связи с чем</w:t>
      </w:r>
      <w:r w:rsidRPr="00051FC3">
        <w:rPr>
          <w:lang w:eastAsia="en-GB"/>
        </w:rPr>
        <w:t xml:space="preserve"> любое регулирование должно осуществляться</w:t>
      </w:r>
      <w:r w:rsidR="00B80342">
        <w:rPr>
          <w:lang w:eastAsia="en-GB"/>
        </w:rPr>
        <w:t xml:space="preserve"> таким образом, чтобы не создавать </w:t>
      </w:r>
      <w:r w:rsidRPr="00051FC3">
        <w:rPr>
          <w:lang w:eastAsia="en-GB"/>
        </w:rPr>
        <w:t>ограничений для уже используемых служб. Следует также отметить, что одн</w:t>
      </w:r>
      <w:r w:rsidR="00B80342">
        <w:rPr>
          <w:lang w:eastAsia="en-GB"/>
        </w:rPr>
        <w:t>и</w:t>
      </w:r>
      <w:r w:rsidRPr="00051FC3">
        <w:rPr>
          <w:lang w:eastAsia="en-GB"/>
        </w:rPr>
        <w:t xml:space="preserve"> администраци</w:t>
      </w:r>
      <w:r w:rsidR="00B80342">
        <w:rPr>
          <w:lang w:eastAsia="en-GB"/>
        </w:rPr>
        <w:t>и</w:t>
      </w:r>
      <w:r w:rsidRPr="00051FC3">
        <w:rPr>
          <w:lang w:eastAsia="en-GB"/>
        </w:rPr>
        <w:t xml:space="preserve"> принял</w:t>
      </w:r>
      <w:r w:rsidR="00B80342">
        <w:rPr>
          <w:lang w:eastAsia="en-GB"/>
        </w:rPr>
        <w:t>и</w:t>
      </w:r>
      <w:r w:rsidRPr="00051FC3">
        <w:rPr>
          <w:lang w:eastAsia="en-GB"/>
        </w:rPr>
        <w:t xml:space="preserve"> решение внедрить </w:t>
      </w:r>
      <w:r w:rsidR="00B80342">
        <w:rPr>
          <w:lang w:eastAsia="en-GB"/>
        </w:rPr>
        <w:t xml:space="preserve">в </w:t>
      </w:r>
      <w:r w:rsidR="00B80342" w:rsidRPr="00051FC3">
        <w:rPr>
          <w:lang w:eastAsia="en-GB"/>
        </w:rPr>
        <w:t>эт</w:t>
      </w:r>
      <w:r w:rsidR="00B80342">
        <w:rPr>
          <w:lang w:eastAsia="en-GB"/>
        </w:rPr>
        <w:t xml:space="preserve">ой </w:t>
      </w:r>
      <w:r w:rsidR="00B80342" w:rsidRPr="00051FC3">
        <w:rPr>
          <w:lang w:eastAsia="en-GB"/>
        </w:rPr>
        <w:t>полос</w:t>
      </w:r>
      <w:r w:rsidR="00B80342">
        <w:rPr>
          <w:lang w:eastAsia="en-GB"/>
        </w:rPr>
        <w:t>е</w:t>
      </w:r>
      <w:r w:rsidR="00B80342" w:rsidRPr="00051FC3">
        <w:rPr>
          <w:lang w:eastAsia="en-GB"/>
        </w:rPr>
        <w:t xml:space="preserve"> </w:t>
      </w:r>
      <w:r>
        <w:rPr>
          <w:lang w:val="en-GB" w:eastAsia="en-GB"/>
        </w:rPr>
        <w:t>IMT</w:t>
      </w:r>
      <w:r w:rsidRPr="00051FC3">
        <w:rPr>
          <w:lang w:eastAsia="en-GB"/>
        </w:rPr>
        <w:t xml:space="preserve">, </w:t>
      </w:r>
      <w:r w:rsidR="00B80342">
        <w:rPr>
          <w:lang w:eastAsia="en-GB"/>
        </w:rPr>
        <w:t>а</w:t>
      </w:r>
      <w:r w:rsidRPr="00051FC3">
        <w:rPr>
          <w:lang w:eastAsia="en-GB"/>
        </w:rPr>
        <w:t xml:space="preserve"> дру</w:t>
      </w:r>
      <w:r w:rsidR="00B80342">
        <w:rPr>
          <w:lang w:eastAsia="en-GB"/>
        </w:rPr>
        <w:t>гие</w:t>
      </w:r>
      <w:r w:rsidRPr="00051FC3">
        <w:rPr>
          <w:lang w:eastAsia="en-GB"/>
        </w:rPr>
        <w:t xml:space="preserve"> администраци</w:t>
      </w:r>
      <w:r w:rsidR="00B80342">
        <w:rPr>
          <w:lang w:eastAsia="en-GB"/>
        </w:rPr>
        <w:t xml:space="preserve">и </w:t>
      </w:r>
      <w:r w:rsidRPr="00051FC3">
        <w:rPr>
          <w:lang w:eastAsia="en-GB"/>
        </w:rPr>
        <w:t>решил</w:t>
      </w:r>
      <w:r w:rsidR="00B80342">
        <w:rPr>
          <w:lang w:eastAsia="en-GB"/>
        </w:rPr>
        <w:t>и</w:t>
      </w:r>
      <w:r w:rsidRPr="00051FC3">
        <w:rPr>
          <w:lang w:eastAsia="en-GB"/>
        </w:rPr>
        <w:t xml:space="preserve"> использовать </w:t>
      </w:r>
      <w:r w:rsidR="00B80342">
        <w:rPr>
          <w:lang w:eastAsia="en-GB"/>
        </w:rPr>
        <w:t xml:space="preserve">ее </w:t>
      </w:r>
      <w:r w:rsidRPr="00051FC3">
        <w:rPr>
          <w:lang w:eastAsia="en-GB"/>
        </w:rPr>
        <w:t xml:space="preserve">для </w:t>
      </w:r>
      <w:r>
        <w:rPr>
          <w:lang w:val="en-GB" w:eastAsia="en-GB"/>
        </w:rPr>
        <w:t>WAS</w:t>
      </w:r>
      <w:r w:rsidRPr="00051FC3">
        <w:rPr>
          <w:lang w:eastAsia="en-GB"/>
        </w:rPr>
        <w:t>/</w:t>
      </w:r>
      <w:r>
        <w:rPr>
          <w:lang w:val="en-GB" w:eastAsia="en-GB"/>
        </w:rPr>
        <w:t>RLAN</w:t>
      </w:r>
      <w:r w:rsidRPr="00051FC3">
        <w:rPr>
          <w:lang w:eastAsia="en-GB"/>
        </w:rPr>
        <w:t xml:space="preserve">. Следовательно, </w:t>
      </w:r>
      <w:r w:rsidR="00B80342" w:rsidRPr="00051FC3">
        <w:rPr>
          <w:lang w:eastAsia="en-GB"/>
        </w:rPr>
        <w:t xml:space="preserve">в целях </w:t>
      </w:r>
      <w:r w:rsidRPr="00051FC3">
        <w:rPr>
          <w:lang w:eastAsia="en-GB"/>
        </w:rPr>
        <w:t>рассмотрения</w:t>
      </w:r>
      <w:r w:rsidR="00B80342" w:rsidRPr="00B80342">
        <w:rPr>
          <w:lang w:eastAsia="en-GB"/>
        </w:rPr>
        <w:t xml:space="preserve"> </w:t>
      </w:r>
      <w:r w:rsidR="00B80342" w:rsidRPr="00051FC3">
        <w:rPr>
          <w:lang w:eastAsia="en-GB"/>
        </w:rPr>
        <w:t>на ВКР-23</w:t>
      </w:r>
      <w:r w:rsidRPr="00051FC3">
        <w:rPr>
          <w:lang w:eastAsia="en-GB"/>
        </w:rPr>
        <w:t xml:space="preserve"> наилучшего подхода к </w:t>
      </w:r>
      <w:r w:rsidR="00B80342">
        <w:rPr>
          <w:lang w:eastAsia="en-GB"/>
        </w:rPr>
        <w:t>текущему</w:t>
      </w:r>
      <w:r w:rsidRPr="00051FC3">
        <w:rPr>
          <w:lang w:eastAsia="en-GB"/>
        </w:rPr>
        <w:t xml:space="preserve"> и будущему использованию этой полосы частот и обеспечения</w:t>
      </w:r>
      <w:r w:rsidR="00DB62D2">
        <w:rPr>
          <w:lang w:eastAsia="en-GB"/>
        </w:rPr>
        <w:t xml:space="preserve"> </w:t>
      </w:r>
      <w:r w:rsidR="00DB62D2" w:rsidRPr="00051FC3">
        <w:rPr>
          <w:lang w:eastAsia="en-GB"/>
        </w:rPr>
        <w:t xml:space="preserve">каждой администрации </w:t>
      </w:r>
      <w:r w:rsidR="00B80342">
        <w:rPr>
          <w:lang w:eastAsia="en-GB"/>
        </w:rPr>
        <w:t xml:space="preserve">возможности выбора </w:t>
      </w:r>
      <w:r w:rsidRPr="00051FC3">
        <w:rPr>
          <w:lang w:eastAsia="en-GB"/>
        </w:rPr>
        <w:t xml:space="preserve">при развертывании </w:t>
      </w:r>
      <w:r w:rsidR="00DB62D2">
        <w:rPr>
          <w:lang w:eastAsia="en-GB"/>
        </w:rPr>
        <w:t>нескольких</w:t>
      </w:r>
      <w:r w:rsidRPr="00051FC3">
        <w:rPr>
          <w:lang w:eastAsia="en-GB"/>
        </w:rPr>
        <w:t xml:space="preserve"> технологий правильным подходом для этой полосы частот </w:t>
      </w:r>
      <w:r w:rsidR="006E0716">
        <w:rPr>
          <w:lang w:eastAsia="en-GB"/>
        </w:rPr>
        <w:t>представляется</w:t>
      </w:r>
      <w:r w:rsidRPr="00051FC3">
        <w:rPr>
          <w:lang w:eastAsia="en-GB"/>
        </w:rPr>
        <w:t xml:space="preserve"> позиция "</w:t>
      </w:r>
      <w:r w:rsidR="00B80342">
        <w:rPr>
          <w:lang w:eastAsia="en-GB"/>
        </w:rPr>
        <w:t>Б</w:t>
      </w:r>
      <w:r w:rsidRPr="00051FC3">
        <w:rPr>
          <w:lang w:eastAsia="en-GB"/>
        </w:rPr>
        <w:t>ез изменений".</w:t>
      </w:r>
    </w:p>
    <w:p w14:paraId="535D91AB" w14:textId="24160621" w:rsidR="00DB62D2" w:rsidRPr="00DB62D2" w:rsidRDefault="00DB62D2" w:rsidP="00A0298D">
      <w:pPr>
        <w:rPr>
          <w:rFonts w:eastAsia="Calibri"/>
        </w:rPr>
      </w:pPr>
      <w:r w:rsidRPr="00DB62D2">
        <w:rPr>
          <w:rFonts w:eastAsia="BatangChe"/>
          <w:lang w:eastAsia="ko-KR"/>
        </w:rPr>
        <w:t xml:space="preserve">Как отмечалось выше, </w:t>
      </w:r>
      <w:r>
        <w:rPr>
          <w:rFonts w:eastAsia="BatangChe"/>
          <w:lang w:eastAsia="ko-KR"/>
        </w:rPr>
        <w:t>подписавшие настоящий вклад</w:t>
      </w:r>
      <w:r w:rsidRPr="00DB62D2">
        <w:rPr>
          <w:rFonts w:eastAsia="BatangChe"/>
          <w:lang w:eastAsia="ko-KR"/>
        </w:rPr>
        <w:t xml:space="preserve"> администрации</w:t>
      </w:r>
      <w:r w:rsidRPr="00DB62D2">
        <w:rPr>
          <w:rFonts w:eastAsia="Calibri"/>
        </w:rPr>
        <w:t xml:space="preserve"> </w:t>
      </w:r>
      <w:r w:rsidR="00D765E7">
        <w:rPr>
          <w:rFonts w:eastAsia="Calibri"/>
        </w:rPr>
        <w:t>принимали к рассмотрению целый ряд</w:t>
      </w:r>
      <w:r w:rsidRPr="00DB62D2">
        <w:rPr>
          <w:rFonts w:eastAsia="Calibri"/>
        </w:rPr>
        <w:t xml:space="preserve"> факторов, </w:t>
      </w:r>
      <w:r w:rsidR="00D765E7">
        <w:rPr>
          <w:rFonts w:eastAsia="Calibri"/>
        </w:rPr>
        <w:t>включая</w:t>
      </w:r>
      <w:r w:rsidRPr="00DB62D2">
        <w:rPr>
          <w:rFonts w:eastAsia="Calibri"/>
        </w:rPr>
        <w:t xml:space="preserve"> следующие:</w:t>
      </w:r>
    </w:p>
    <w:p w14:paraId="33F737DE" w14:textId="173A6FAF" w:rsidR="00DB62D2" w:rsidRPr="00DB62D2" w:rsidRDefault="00A0298D" w:rsidP="00DB62D2">
      <w:pPr>
        <w:pStyle w:val="enumlev1"/>
        <w:rPr>
          <w:rFonts w:eastAsia="Batang"/>
        </w:rPr>
      </w:pPr>
      <w:r w:rsidRPr="00DB62D2">
        <w:rPr>
          <w:rFonts w:eastAsia="Batang"/>
        </w:rPr>
        <w:t>1</w:t>
      </w:r>
      <w:r w:rsidRPr="00DB62D2">
        <w:rPr>
          <w:rFonts w:eastAsia="Calibri"/>
          <w:iCs/>
          <w:szCs w:val="24"/>
        </w:rPr>
        <w:t>)</w:t>
      </w:r>
      <w:r w:rsidRPr="00DB62D2">
        <w:rPr>
          <w:rFonts w:eastAsia="Batang"/>
        </w:rPr>
        <w:tab/>
      </w:r>
      <w:r w:rsidR="00DB62D2">
        <w:rPr>
          <w:rFonts w:eastAsia="Batang"/>
        </w:rPr>
        <w:t>При п</w:t>
      </w:r>
      <w:r w:rsidR="00DB62D2" w:rsidRPr="00DB62D2">
        <w:rPr>
          <w:rFonts w:eastAsia="Batang"/>
        </w:rPr>
        <w:t>роведен</w:t>
      </w:r>
      <w:r w:rsidR="00DB62D2">
        <w:rPr>
          <w:rFonts w:eastAsia="Batang"/>
        </w:rPr>
        <w:t>ии</w:t>
      </w:r>
      <w:r w:rsidR="00DB62D2" w:rsidRPr="00DB62D2">
        <w:rPr>
          <w:rFonts w:eastAsia="Batang"/>
        </w:rPr>
        <w:t xml:space="preserve"> исследовани</w:t>
      </w:r>
      <w:r w:rsidR="00DB62D2">
        <w:rPr>
          <w:rFonts w:eastAsia="Batang"/>
        </w:rPr>
        <w:t>й</w:t>
      </w:r>
      <w:r w:rsidR="00DB62D2" w:rsidRPr="00DB62D2">
        <w:rPr>
          <w:rFonts w:eastAsia="Batang"/>
        </w:rPr>
        <w:t>, касающи</w:t>
      </w:r>
      <w:r w:rsidR="00DB62D2">
        <w:rPr>
          <w:rFonts w:eastAsia="Batang"/>
        </w:rPr>
        <w:t>х</w:t>
      </w:r>
      <w:r w:rsidR="00DB62D2" w:rsidRPr="00DB62D2">
        <w:rPr>
          <w:rFonts w:eastAsia="Batang"/>
        </w:rPr>
        <w:t xml:space="preserve">ся возможного внедрения наземного сегмента </w:t>
      </w:r>
      <w:r w:rsidR="00DB62D2">
        <w:rPr>
          <w:rFonts w:eastAsia="Batang"/>
          <w:lang w:val="en-GB"/>
        </w:rPr>
        <w:t>IMT</w:t>
      </w:r>
      <w:r w:rsidR="00DB62D2" w:rsidRPr="00DB62D2">
        <w:rPr>
          <w:rFonts w:eastAsia="Batang"/>
        </w:rPr>
        <w:t xml:space="preserve"> в полосе частот </w:t>
      </w:r>
      <w:r w:rsidR="00DB62D2" w:rsidRPr="00DB62D2">
        <w:rPr>
          <w:lang w:eastAsia="en-GB"/>
        </w:rPr>
        <w:t>6425−7125</w:t>
      </w:r>
      <w:r w:rsidR="00DB62D2">
        <w:rPr>
          <w:lang w:val="en-GB" w:eastAsia="en-GB"/>
        </w:rPr>
        <w:t> </w:t>
      </w:r>
      <w:r w:rsidR="00DB62D2">
        <w:rPr>
          <w:lang w:eastAsia="en-GB"/>
        </w:rPr>
        <w:t xml:space="preserve">МГц, </w:t>
      </w:r>
      <w:r w:rsidR="00DB62D2" w:rsidRPr="00DB62D2">
        <w:rPr>
          <w:rFonts w:eastAsia="Batang"/>
        </w:rPr>
        <w:t xml:space="preserve">использовались разнообразные допущения, входные параметры и критерии помех, которые </w:t>
      </w:r>
      <w:r w:rsidR="00DB62D2">
        <w:rPr>
          <w:rFonts w:eastAsia="Batang"/>
        </w:rPr>
        <w:t>варьировались от</w:t>
      </w:r>
      <w:r w:rsidR="00DB62D2" w:rsidRPr="00DB62D2">
        <w:rPr>
          <w:rFonts w:eastAsia="Batang"/>
        </w:rPr>
        <w:t xml:space="preserve"> исследовани</w:t>
      </w:r>
      <w:r w:rsidR="00DB62D2">
        <w:rPr>
          <w:rFonts w:eastAsia="Batang"/>
        </w:rPr>
        <w:t>я к исследованию</w:t>
      </w:r>
      <w:r w:rsidR="00DB62D2" w:rsidRPr="00DB62D2">
        <w:rPr>
          <w:rFonts w:eastAsia="Batang"/>
        </w:rPr>
        <w:t xml:space="preserve">. В связи с большим диапазоном различий, которые рассматривались в каждом исследовании, </w:t>
      </w:r>
      <w:r w:rsidR="006E0716">
        <w:rPr>
          <w:rFonts w:eastAsia="Batang"/>
        </w:rPr>
        <w:t xml:space="preserve">к </w:t>
      </w:r>
      <w:r w:rsidR="00DB62D2" w:rsidRPr="00DB62D2">
        <w:rPr>
          <w:rFonts w:eastAsia="Batang"/>
        </w:rPr>
        <w:t>консенсус</w:t>
      </w:r>
      <w:r w:rsidR="006E0716">
        <w:rPr>
          <w:rFonts w:eastAsia="Batang"/>
        </w:rPr>
        <w:t>у</w:t>
      </w:r>
      <w:r w:rsidR="00DB62D2" w:rsidRPr="00DB62D2">
        <w:rPr>
          <w:rFonts w:eastAsia="Batang"/>
        </w:rPr>
        <w:t xml:space="preserve"> или </w:t>
      </w:r>
      <w:r w:rsidR="006E0716">
        <w:rPr>
          <w:rFonts w:eastAsia="Batang"/>
        </w:rPr>
        <w:t>выводу</w:t>
      </w:r>
      <w:r w:rsidR="00DB62D2">
        <w:rPr>
          <w:rFonts w:eastAsia="Batang"/>
        </w:rPr>
        <w:t xml:space="preserve"> </w:t>
      </w:r>
      <w:r w:rsidR="006E0716">
        <w:rPr>
          <w:rFonts w:eastAsia="Batang"/>
        </w:rPr>
        <w:t>прийти</w:t>
      </w:r>
      <w:r w:rsidR="00DB62D2" w:rsidRPr="00DB62D2">
        <w:rPr>
          <w:rFonts w:eastAsia="Batang"/>
        </w:rPr>
        <w:t xml:space="preserve"> не удалось.</w:t>
      </w:r>
    </w:p>
    <w:p w14:paraId="2327BB99" w14:textId="04A29009" w:rsidR="00CE05C6" w:rsidRPr="00CE05C6" w:rsidRDefault="00A0298D" w:rsidP="00D765E7">
      <w:pPr>
        <w:pStyle w:val="enumlev1"/>
        <w:rPr>
          <w:rFonts w:eastAsia="Batang"/>
        </w:rPr>
      </w:pPr>
      <w:r w:rsidRPr="00CE05C6">
        <w:rPr>
          <w:rFonts w:eastAsia="Batang"/>
        </w:rPr>
        <w:t>2</w:t>
      </w:r>
      <w:r w:rsidRPr="00CE05C6">
        <w:rPr>
          <w:rFonts w:eastAsia="Calibri"/>
          <w:iCs/>
          <w:szCs w:val="24"/>
        </w:rPr>
        <w:t>)</w:t>
      </w:r>
      <w:r w:rsidRPr="00CE05C6">
        <w:rPr>
          <w:rFonts w:eastAsia="Batang"/>
        </w:rPr>
        <w:tab/>
      </w:r>
      <w:r w:rsidR="00CE05C6">
        <w:rPr>
          <w:rFonts w:eastAsia="Batang"/>
        </w:rPr>
        <w:t>С</w:t>
      </w:r>
      <w:r w:rsidR="00CE05C6" w:rsidRPr="00CE05C6">
        <w:rPr>
          <w:rFonts w:eastAsia="Batang"/>
        </w:rPr>
        <w:t xml:space="preserve">огласно Отчету ПСК </w:t>
      </w:r>
      <w:r w:rsidR="00CE05C6">
        <w:rPr>
          <w:rFonts w:eastAsia="Batang"/>
        </w:rPr>
        <w:t xml:space="preserve">в </w:t>
      </w:r>
      <w:r w:rsidR="00CE05C6" w:rsidRPr="00CE05C6">
        <w:rPr>
          <w:rFonts w:eastAsia="Batang"/>
        </w:rPr>
        <w:t xml:space="preserve">выводах по результатам исследований, проведенных в течение этого цикла, использовались предположения относительно параметров, </w:t>
      </w:r>
      <w:r w:rsidR="00CE05C6">
        <w:rPr>
          <w:rFonts w:eastAsia="Batang"/>
        </w:rPr>
        <w:t xml:space="preserve">в </w:t>
      </w:r>
      <w:r w:rsidR="00CE05C6" w:rsidRPr="00CE05C6">
        <w:rPr>
          <w:rFonts w:eastAsia="Batang"/>
        </w:rPr>
        <w:t>которы</w:t>
      </w:r>
      <w:r w:rsidR="00CE05C6">
        <w:rPr>
          <w:rFonts w:eastAsia="Batang"/>
        </w:rPr>
        <w:t>х</w:t>
      </w:r>
      <w:r w:rsidR="00CE05C6" w:rsidRPr="00CE05C6">
        <w:rPr>
          <w:rFonts w:eastAsia="Batang"/>
        </w:rPr>
        <w:t xml:space="preserve"> недооценивают</w:t>
      </w:r>
      <w:r w:rsidR="00CE05C6">
        <w:rPr>
          <w:rFonts w:eastAsia="Batang"/>
        </w:rPr>
        <w:t>ся</w:t>
      </w:r>
      <w:r w:rsidR="00CE05C6" w:rsidRPr="00CE05C6">
        <w:rPr>
          <w:rFonts w:eastAsia="Batang"/>
        </w:rPr>
        <w:t xml:space="preserve"> помехи приемникам ФСС</w:t>
      </w:r>
      <w:r w:rsidR="00CE05C6">
        <w:rPr>
          <w:rFonts w:eastAsia="Batang"/>
        </w:rPr>
        <w:t xml:space="preserve"> со стороны </w:t>
      </w:r>
      <w:r w:rsidR="00CE05C6">
        <w:rPr>
          <w:rFonts w:eastAsia="Batang"/>
          <w:lang w:val="en-GB"/>
        </w:rPr>
        <w:t>IMT</w:t>
      </w:r>
      <w:r w:rsidR="00CE05C6" w:rsidRPr="00CE05C6">
        <w:rPr>
          <w:rFonts w:eastAsia="Batang"/>
        </w:rPr>
        <w:t xml:space="preserve">. В некоторых исследованиях, </w:t>
      </w:r>
      <w:r w:rsidR="007F43AB">
        <w:rPr>
          <w:rFonts w:eastAsia="Batang"/>
        </w:rPr>
        <w:t xml:space="preserve">в </w:t>
      </w:r>
      <w:r w:rsidR="00CE05C6" w:rsidRPr="00CE05C6">
        <w:rPr>
          <w:rFonts w:eastAsia="Batang"/>
        </w:rPr>
        <w:t>которы</w:t>
      </w:r>
      <w:r w:rsidR="007F43AB">
        <w:rPr>
          <w:rFonts w:eastAsia="Batang"/>
        </w:rPr>
        <w:t>х</w:t>
      </w:r>
      <w:r w:rsidR="00CE05C6" w:rsidRPr="00CE05C6">
        <w:rPr>
          <w:rFonts w:eastAsia="Batang"/>
        </w:rPr>
        <w:t xml:space="preserve"> </w:t>
      </w:r>
      <w:r w:rsidR="007F43AB">
        <w:rPr>
          <w:rFonts w:eastAsia="Batang"/>
        </w:rPr>
        <w:t>демонстрируется возможность</w:t>
      </w:r>
      <w:r w:rsidR="00CE05C6" w:rsidRPr="00CE05C6">
        <w:rPr>
          <w:rFonts w:eastAsia="Batang"/>
        </w:rPr>
        <w:t xml:space="preserve"> сосуществования ФСС и </w:t>
      </w:r>
      <w:r w:rsidR="00CE05C6">
        <w:rPr>
          <w:rFonts w:eastAsia="Batang"/>
          <w:lang w:val="en-GB"/>
        </w:rPr>
        <w:t>IMT</w:t>
      </w:r>
      <w:r w:rsidR="00CE05C6" w:rsidRPr="00CE05C6">
        <w:rPr>
          <w:rFonts w:eastAsia="Batang"/>
        </w:rPr>
        <w:t xml:space="preserve">, использовались параметры или поправочные коэффициенты, которые не согласованы </w:t>
      </w:r>
      <w:r w:rsidR="00CE05C6" w:rsidRPr="00CE05C6">
        <w:rPr>
          <w:rFonts w:eastAsia="Batang"/>
        </w:rPr>
        <w:lastRenderedPageBreak/>
        <w:t>рабочими группами МСЭ-</w:t>
      </w:r>
      <w:r w:rsidR="00CE05C6">
        <w:rPr>
          <w:rFonts w:eastAsia="Batang"/>
          <w:lang w:val="en-GB"/>
        </w:rPr>
        <w:t>R</w:t>
      </w:r>
      <w:r w:rsidR="00CE05C6" w:rsidRPr="00CE05C6">
        <w:rPr>
          <w:rFonts w:eastAsia="Batang"/>
        </w:rPr>
        <w:t xml:space="preserve">. </w:t>
      </w:r>
      <w:r w:rsidR="007F43AB">
        <w:rPr>
          <w:rFonts w:eastAsia="Batang"/>
        </w:rPr>
        <w:t>При э</w:t>
      </w:r>
      <w:r w:rsidR="00CE05C6" w:rsidRPr="00CE05C6">
        <w:rPr>
          <w:rFonts w:eastAsia="Batang"/>
        </w:rPr>
        <w:t>ти</w:t>
      </w:r>
      <w:r w:rsidR="007F43AB">
        <w:rPr>
          <w:rFonts w:eastAsia="Batang"/>
        </w:rPr>
        <w:t>х</w:t>
      </w:r>
      <w:r w:rsidR="00CE05C6" w:rsidRPr="00CE05C6">
        <w:rPr>
          <w:rFonts w:eastAsia="Batang"/>
        </w:rPr>
        <w:t xml:space="preserve"> допущения</w:t>
      </w:r>
      <w:r w:rsidR="007F43AB">
        <w:rPr>
          <w:rFonts w:eastAsia="Batang"/>
        </w:rPr>
        <w:t>х</w:t>
      </w:r>
      <w:r w:rsidR="00CE05C6" w:rsidRPr="00CE05C6">
        <w:rPr>
          <w:rFonts w:eastAsia="Batang"/>
        </w:rPr>
        <w:t xml:space="preserve"> </w:t>
      </w:r>
      <w:r w:rsidR="00CE05C6" w:rsidRPr="00CE05C6">
        <w:t xml:space="preserve">не рассматриваются реалистичные сценарии развертывания сети </w:t>
      </w:r>
      <w:r w:rsidR="00CE05C6">
        <w:rPr>
          <w:lang w:val="en-GB"/>
        </w:rPr>
        <w:t>IMT</w:t>
      </w:r>
      <w:r w:rsidR="00CE05C6" w:rsidRPr="00CE05C6">
        <w:t xml:space="preserve"> и показаны </w:t>
      </w:r>
      <w:r w:rsidR="007F43AB">
        <w:t xml:space="preserve">необъективные </w:t>
      </w:r>
      <w:r w:rsidR="00CE05C6" w:rsidRPr="00CE05C6">
        <w:t>результаты</w:t>
      </w:r>
      <w:r w:rsidR="007F43AB">
        <w:t xml:space="preserve">, свидетельствующие в пользу </w:t>
      </w:r>
      <w:r w:rsidR="00CE05C6" w:rsidRPr="00CE05C6">
        <w:t>совместимости.</w:t>
      </w:r>
    </w:p>
    <w:p w14:paraId="5DD5CCD5" w14:textId="1CF1777E" w:rsidR="007F43AB" w:rsidRPr="007F43AB" w:rsidRDefault="00A0298D" w:rsidP="00A0298D">
      <w:pPr>
        <w:pStyle w:val="enumlev1"/>
        <w:rPr>
          <w:rFonts w:eastAsia="Batang"/>
        </w:rPr>
      </w:pPr>
      <w:r w:rsidRPr="007F43AB">
        <w:rPr>
          <w:rFonts w:eastAsia="Batang"/>
        </w:rPr>
        <w:t>3</w:t>
      </w:r>
      <w:r w:rsidRPr="007F43AB">
        <w:rPr>
          <w:rFonts w:eastAsia="Calibri"/>
          <w:iCs/>
          <w:szCs w:val="24"/>
        </w:rPr>
        <w:t>)</w:t>
      </w:r>
      <w:r w:rsidRPr="007F43AB">
        <w:rPr>
          <w:rFonts w:eastAsia="Batang"/>
        </w:rPr>
        <w:tab/>
      </w:r>
      <w:r w:rsidR="007F43AB">
        <w:rPr>
          <w:rFonts w:eastAsia="Batang"/>
        </w:rPr>
        <w:t>С</w:t>
      </w:r>
      <w:r w:rsidR="007F43AB" w:rsidRPr="00CE05C6">
        <w:rPr>
          <w:rFonts w:eastAsia="Batang"/>
        </w:rPr>
        <w:t xml:space="preserve">огласно Отчету ПСК </w:t>
      </w:r>
      <w:r w:rsidR="007F43AB">
        <w:rPr>
          <w:rFonts w:eastAsia="Batang"/>
        </w:rPr>
        <w:t xml:space="preserve">в </w:t>
      </w:r>
      <w:r w:rsidR="007F43AB" w:rsidRPr="007F43AB">
        <w:rPr>
          <w:rFonts w:eastAsia="Batang"/>
        </w:rPr>
        <w:t>вывод</w:t>
      </w:r>
      <w:r w:rsidR="007F43AB">
        <w:rPr>
          <w:rFonts w:eastAsia="Batang"/>
        </w:rPr>
        <w:t>ах</w:t>
      </w:r>
      <w:r w:rsidR="007F43AB" w:rsidRPr="007F43AB">
        <w:rPr>
          <w:rFonts w:eastAsia="Batang"/>
        </w:rPr>
        <w:t xml:space="preserve"> по результатам исследований, проведенных в течение данного исследовательского цикла, </w:t>
      </w:r>
      <w:r w:rsidR="007F43AB">
        <w:rPr>
          <w:rFonts w:eastAsia="Batang"/>
        </w:rPr>
        <w:t xml:space="preserve">утверждается, что </w:t>
      </w:r>
      <w:r w:rsidR="007F43AB" w:rsidRPr="007F43AB">
        <w:rPr>
          <w:rFonts w:eastAsia="Batang"/>
        </w:rPr>
        <w:t xml:space="preserve">для защиты ФС необходимо рассмотреть </w:t>
      </w:r>
      <w:r w:rsidR="007F43AB">
        <w:rPr>
          <w:rFonts w:eastAsia="Batang"/>
        </w:rPr>
        <w:t xml:space="preserve">возможность проведения </w:t>
      </w:r>
      <w:r w:rsidR="007F43AB" w:rsidRPr="007F43AB">
        <w:rPr>
          <w:rFonts w:eastAsia="Batang"/>
        </w:rPr>
        <w:t>анализ</w:t>
      </w:r>
      <w:r w:rsidR="007F43AB">
        <w:rPr>
          <w:rFonts w:eastAsia="Batang"/>
        </w:rPr>
        <w:t>а</w:t>
      </w:r>
      <w:r w:rsidR="007F43AB" w:rsidRPr="007F43AB">
        <w:rPr>
          <w:rFonts w:eastAsia="Batang"/>
        </w:rPr>
        <w:t xml:space="preserve"> каждого </w:t>
      </w:r>
      <w:r w:rsidR="00986800">
        <w:rPr>
          <w:rFonts w:eastAsia="Batang"/>
        </w:rPr>
        <w:t>отдельного</w:t>
      </w:r>
      <w:r w:rsidR="007F43AB" w:rsidRPr="007F43AB">
        <w:rPr>
          <w:rFonts w:eastAsia="Batang"/>
        </w:rPr>
        <w:t xml:space="preserve"> случая, </w:t>
      </w:r>
      <w:r w:rsidR="00986800">
        <w:rPr>
          <w:rFonts w:eastAsia="Batang"/>
        </w:rPr>
        <w:t>поскольку</w:t>
      </w:r>
      <w:r w:rsidR="007F43AB" w:rsidRPr="007F43AB">
        <w:rPr>
          <w:rFonts w:eastAsia="Batang"/>
        </w:rPr>
        <w:t xml:space="preserve"> зона защиты может </w:t>
      </w:r>
      <w:r w:rsidR="00986800">
        <w:rPr>
          <w:rFonts w:eastAsia="Batang"/>
        </w:rPr>
        <w:t>варьироваться</w:t>
      </w:r>
      <w:r w:rsidR="007F43AB" w:rsidRPr="007F43AB">
        <w:rPr>
          <w:rFonts w:eastAsia="Batang"/>
        </w:rPr>
        <w:t xml:space="preserve"> от десятков до сотен километров. Исходя из этих допущений, основа защиты</w:t>
      </w:r>
      <w:r w:rsidR="00F53C22">
        <w:rPr>
          <w:rFonts w:eastAsia="Batang"/>
        </w:rPr>
        <w:t xml:space="preserve"> не гарантирована</w:t>
      </w:r>
      <w:r w:rsidR="007F43AB" w:rsidRPr="007F43AB">
        <w:rPr>
          <w:rFonts w:eastAsia="Batang"/>
        </w:rPr>
        <w:t xml:space="preserve">, что создает неопределенность в отношении возможных вредных помех, создаваемых развертыванием сетей </w:t>
      </w:r>
      <w:r w:rsidR="007F43AB">
        <w:rPr>
          <w:rFonts w:eastAsia="Batang"/>
          <w:lang w:val="en-GB"/>
        </w:rPr>
        <w:t>IMT</w:t>
      </w:r>
      <w:r w:rsidR="007F43AB" w:rsidRPr="007F43AB">
        <w:rPr>
          <w:rFonts w:eastAsia="Batang"/>
        </w:rPr>
        <w:t>.</w:t>
      </w:r>
    </w:p>
    <w:p w14:paraId="6E8E0C21" w14:textId="366352D1" w:rsidR="00F53C22" w:rsidRPr="00F53C22" w:rsidRDefault="00A0298D" w:rsidP="00A0298D">
      <w:pPr>
        <w:pStyle w:val="enumlev1"/>
        <w:rPr>
          <w:rFonts w:eastAsia="Batang"/>
        </w:rPr>
      </w:pPr>
      <w:r w:rsidRPr="00F53C22">
        <w:rPr>
          <w:rFonts w:eastAsia="Batang"/>
        </w:rPr>
        <w:t>4</w:t>
      </w:r>
      <w:r w:rsidRPr="00F53C22">
        <w:rPr>
          <w:rFonts w:eastAsia="Calibri"/>
          <w:iCs/>
          <w:szCs w:val="24"/>
        </w:rPr>
        <w:t>)</w:t>
      </w:r>
      <w:r w:rsidRPr="00F53C22">
        <w:rPr>
          <w:rFonts w:eastAsia="Batang"/>
        </w:rPr>
        <w:tab/>
      </w:r>
      <w:r w:rsidR="00F53C22" w:rsidRPr="00F53C22">
        <w:rPr>
          <w:rFonts w:eastAsia="Batang"/>
        </w:rPr>
        <w:t>Сценарий</w:t>
      </w:r>
      <w:r w:rsidR="00F53C22">
        <w:rPr>
          <w:rFonts w:eastAsia="Batang"/>
        </w:rPr>
        <w:t>, при котором</w:t>
      </w:r>
      <w:r w:rsidR="00F53C22" w:rsidRPr="00F53C22">
        <w:rPr>
          <w:rFonts w:eastAsia="Batang"/>
        </w:rPr>
        <w:t xml:space="preserve"> кажд</w:t>
      </w:r>
      <w:r w:rsidR="00F53C22">
        <w:rPr>
          <w:rFonts w:eastAsia="Batang"/>
        </w:rPr>
        <w:t>ый</w:t>
      </w:r>
      <w:r w:rsidR="00F53C22" w:rsidRPr="00F53C22">
        <w:rPr>
          <w:rFonts w:eastAsia="Batang"/>
        </w:rPr>
        <w:t xml:space="preserve"> случа</w:t>
      </w:r>
      <w:r w:rsidR="00F53C22">
        <w:rPr>
          <w:rFonts w:eastAsia="Batang"/>
        </w:rPr>
        <w:t>й рассматривается отдельно,</w:t>
      </w:r>
      <w:r w:rsidR="00F53C22" w:rsidRPr="00F53C22">
        <w:rPr>
          <w:rFonts w:eastAsia="Batang"/>
        </w:rPr>
        <w:t xml:space="preserve"> </w:t>
      </w:r>
      <w:r w:rsidR="00F53C22">
        <w:rPr>
          <w:rFonts w:eastAsia="Batang"/>
        </w:rPr>
        <w:t xml:space="preserve">станет дополнительным </w:t>
      </w:r>
      <w:r w:rsidR="00F53C22" w:rsidRPr="00F53C22">
        <w:rPr>
          <w:rFonts w:eastAsia="Batang"/>
        </w:rPr>
        <w:t>регламентарн</w:t>
      </w:r>
      <w:r w:rsidR="00F53C22">
        <w:rPr>
          <w:rFonts w:eastAsia="Batang"/>
        </w:rPr>
        <w:t>ым</w:t>
      </w:r>
      <w:r w:rsidR="00F53C22" w:rsidRPr="00F53C22">
        <w:rPr>
          <w:rFonts w:eastAsia="Batang"/>
        </w:rPr>
        <w:t xml:space="preserve"> бремен</w:t>
      </w:r>
      <w:r w:rsidR="00F53C22">
        <w:rPr>
          <w:rFonts w:eastAsia="Batang"/>
        </w:rPr>
        <w:t>ем</w:t>
      </w:r>
      <w:r w:rsidR="00F53C22" w:rsidRPr="00F53C22">
        <w:rPr>
          <w:rFonts w:eastAsia="Batang"/>
        </w:rPr>
        <w:t xml:space="preserve"> для администраций, поскольку многим странам придется адаптировать свою </w:t>
      </w:r>
      <w:r w:rsidR="00D559E2">
        <w:rPr>
          <w:rFonts w:eastAsia="Batang"/>
        </w:rPr>
        <w:t>регламентарную</w:t>
      </w:r>
      <w:r w:rsidR="00F53C22" w:rsidRPr="00F53C22">
        <w:rPr>
          <w:rFonts w:eastAsia="Batang"/>
        </w:rPr>
        <w:t xml:space="preserve"> базу </w:t>
      </w:r>
      <w:r w:rsidR="00D559E2">
        <w:rPr>
          <w:rFonts w:eastAsia="Batang"/>
        </w:rPr>
        <w:t>таким образом, чтобы</w:t>
      </w:r>
      <w:r w:rsidR="00F53C22" w:rsidRPr="00F53C22">
        <w:rPr>
          <w:rFonts w:eastAsia="Batang"/>
        </w:rPr>
        <w:t xml:space="preserve"> </w:t>
      </w:r>
      <w:r w:rsidR="00D559E2">
        <w:rPr>
          <w:rFonts w:eastAsia="Batang"/>
        </w:rPr>
        <w:t xml:space="preserve">учитывать все </w:t>
      </w:r>
      <w:r w:rsidR="00F53C22" w:rsidRPr="00F53C22">
        <w:rPr>
          <w:rFonts w:eastAsia="Batang"/>
        </w:rPr>
        <w:t>возможны</w:t>
      </w:r>
      <w:r w:rsidR="00D559E2">
        <w:rPr>
          <w:rFonts w:eastAsia="Batang"/>
        </w:rPr>
        <w:t>е</w:t>
      </w:r>
      <w:r w:rsidR="00F53C22" w:rsidRPr="00F53C22">
        <w:rPr>
          <w:rFonts w:eastAsia="Batang"/>
        </w:rPr>
        <w:t xml:space="preserve"> сценари</w:t>
      </w:r>
      <w:r w:rsidR="00D559E2">
        <w:rPr>
          <w:rFonts w:eastAsia="Batang"/>
        </w:rPr>
        <w:t>и</w:t>
      </w:r>
      <w:r w:rsidR="00F53C22" w:rsidRPr="00F53C22">
        <w:rPr>
          <w:rFonts w:eastAsia="Batang"/>
        </w:rPr>
        <w:t xml:space="preserve"> помех </w:t>
      </w:r>
      <w:r w:rsidR="00D559E2">
        <w:rPr>
          <w:rFonts w:eastAsia="Batang"/>
        </w:rPr>
        <w:t>в целях</w:t>
      </w:r>
      <w:r w:rsidR="00F53C22" w:rsidRPr="00F53C22">
        <w:rPr>
          <w:rFonts w:eastAsia="Batang"/>
        </w:rPr>
        <w:t xml:space="preserve"> защиты своих действующих служб. Анализ включает координацию между их системами и системами, используемыми соседними с ними странами. Этот процесс приведет к появлению дополнительного бремени </w:t>
      </w:r>
      <w:r w:rsidR="00D559E2">
        <w:rPr>
          <w:rFonts w:eastAsia="Batang"/>
        </w:rPr>
        <w:t xml:space="preserve">в виде </w:t>
      </w:r>
      <w:r w:rsidR="00F53C22" w:rsidRPr="00F53C22">
        <w:rPr>
          <w:rFonts w:eastAsia="Batang"/>
        </w:rPr>
        <w:t>времен</w:t>
      </w:r>
      <w:r w:rsidR="00D559E2">
        <w:rPr>
          <w:rFonts w:eastAsia="Batang"/>
        </w:rPr>
        <w:t>ных</w:t>
      </w:r>
      <w:r w:rsidR="00F53C22" w:rsidRPr="00F53C22">
        <w:rPr>
          <w:rFonts w:eastAsia="Batang"/>
        </w:rPr>
        <w:t xml:space="preserve"> и</w:t>
      </w:r>
      <w:r w:rsidR="00D559E2">
        <w:rPr>
          <w:rFonts w:eastAsia="Batang"/>
        </w:rPr>
        <w:t xml:space="preserve"> денежных издержек</w:t>
      </w:r>
      <w:r w:rsidR="00F53C22" w:rsidRPr="00F53C22">
        <w:rPr>
          <w:rFonts w:eastAsia="Batang"/>
        </w:rPr>
        <w:t xml:space="preserve"> в зависимости от технических сценариев, не говоря уже о необходимости дальнейшего планирования спектра, </w:t>
      </w:r>
      <w:r w:rsidR="00D559E2">
        <w:rPr>
          <w:rFonts w:eastAsia="Batang"/>
        </w:rPr>
        <w:t>с тем чтобы</w:t>
      </w:r>
      <w:r w:rsidR="00F53C22" w:rsidRPr="00F53C22">
        <w:rPr>
          <w:rFonts w:eastAsia="Batang"/>
        </w:rPr>
        <w:t xml:space="preserve"> избежать ограничений для будущего развития сетей ФСС и ФС.</w:t>
      </w:r>
    </w:p>
    <w:p w14:paraId="4B2BC184" w14:textId="2F8A509A" w:rsidR="00D559E2" w:rsidRPr="00D559E2" w:rsidRDefault="00A0298D" w:rsidP="00A0298D">
      <w:pPr>
        <w:pStyle w:val="enumlev1"/>
        <w:rPr>
          <w:rFonts w:eastAsia="Batang"/>
        </w:rPr>
      </w:pPr>
      <w:r w:rsidRPr="00D559E2">
        <w:rPr>
          <w:rFonts w:eastAsia="Batang"/>
        </w:rPr>
        <w:t>5</w:t>
      </w:r>
      <w:r w:rsidRPr="00D559E2">
        <w:rPr>
          <w:rFonts w:eastAsia="Calibri"/>
          <w:iCs/>
          <w:szCs w:val="24"/>
        </w:rPr>
        <w:t>)</w:t>
      </w:r>
      <w:r w:rsidRPr="00D559E2">
        <w:rPr>
          <w:rFonts w:eastAsia="Batang"/>
        </w:rPr>
        <w:tab/>
      </w:r>
      <w:r w:rsidR="00D559E2" w:rsidRPr="00D559E2">
        <w:rPr>
          <w:rFonts w:eastAsia="Batang"/>
        </w:rPr>
        <w:t xml:space="preserve">Признание важности </w:t>
      </w:r>
      <w:r w:rsidR="00D559E2">
        <w:rPr>
          <w:rFonts w:eastAsia="Batang"/>
        </w:rPr>
        <w:t xml:space="preserve">Приложения </w:t>
      </w:r>
      <w:r w:rsidR="00D559E2" w:rsidRPr="00D559E2">
        <w:rPr>
          <w:rFonts w:eastAsia="Batang"/>
          <w:b/>
          <w:bCs/>
        </w:rPr>
        <w:t>30</w:t>
      </w:r>
      <w:r w:rsidR="00D559E2">
        <w:rPr>
          <w:rFonts w:eastAsia="Batang"/>
          <w:b/>
          <w:bCs/>
          <w:lang w:val="en-GB"/>
        </w:rPr>
        <w:t>B</w:t>
      </w:r>
      <w:r w:rsidR="00D559E2" w:rsidRPr="00D559E2">
        <w:rPr>
          <w:rFonts w:eastAsia="Batang"/>
        </w:rPr>
        <w:t xml:space="preserve"> и </w:t>
      </w:r>
      <w:r w:rsidR="00D559E2">
        <w:rPr>
          <w:rFonts w:eastAsia="Batang"/>
        </w:rPr>
        <w:t>его</w:t>
      </w:r>
      <w:r w:rsidR="00D559E2" w:rsidRPr="00D559E2">
        <w:rPr>
          <w:rFonts w:eastAsia="Batang"/>
        </w:rPr>
        <w:t xml:space="preserve"> защита рассматрива</w:t>
      </w:r>
      <w:r w:rsidR="00910384">
        <w:rPr>
          <w:rFonts w:eastAsia="Batang"/>
        </w:rPr>
        <w:t>ю</w:t>
      </w:r>
      <w:r w:rsidR="00D559E2" w:rsidRPr="00D559E2">
        <w:rPr>
          <w:rFonts w:eastAsia="Batang"/>
        </w:rPr>
        <w:t xml:space="preserve">тся в качестве одного из основных </w:t>
      </w:r>
      <w:r w:rsidR="00D559E2">
        <w:rPr>
          <w:rFonts w:eastAsia="Batang"/>
        </w:rPr>
        <w:t>факторов</w:t>
      </w:r>
      <w:r w:rsidR="00D559E2" w:rsidRPr="00D559E2">
        <w:rPr>
          <w:rFonts w:eastAsia="Batang"/>
        </w:rPr>
        <w:t xml:space="preserve">, позволяющих использовать новые технологии в полосе частот </w:t>
      </w:r>
      <w:r w:rsidR="00D559E2" w:rsidRPr="00D559E2">
        <w:rPr>
          <w:rFonts w:eastAsia="BatangChe"/>
          <w:szCs w:val="24"/>
        </w:rPr>
        <w:t>6725−7025</w:t>
      </w:r>
      <w:r w:rsidR="00D559E2">
        <w:rPr>
          <w:rFonts w:eastAsia="BatangChe"/>
          <w:szCs w:val="24"/>
          <w:lang w:val="en-GB"/>
        </w:rPr>
        <w:t> </w:t>
      </w:r>
      <w:r w:rsidR="00D559E2">
        <w:rPr>
          <w:rFonts w:eastAsia="BatangChe"/>
          <w:szCs w:val="24"/>
        </w:rPr>
        <w:t>МГц</w:t>
      </w:r>
      <w:r w:rsidR="00D559E2" w:rsidRPr="00D559E2">
        <w:rPr>
          <w:rFonts w:eastAsia="Batang"/>
        </w:rPr>
        <w:t xml:space="preserve">. Несмотря на то, что сторонники </w:t>
      </w:r>
      <w:r w:rsidR="00D559E2">
        <w:rPr>
          <w:rFonts w:eastAsia="Batang"/>
          <w:lang w:val="en-GB"/>
        </w:rPr>
        <w:t>IMT</w:t>
      </w:r>
      <w:r w:rsidR="00D559E2" w:rsidRPr="00D559E2">
        <w:rPr>
          <w:rFonts w:eastAsia="Batang"/>
        </w:rPr>
        <w:t xml:space="preserve"> </w:t>
      </w:r>
      <w:r w:rsidR="00910384">
        <w:rPr>
          <w:rFonts w:eastAsia="Batang"/>
        </w:rPr>
        <w:t>подчеркивают преимущества</w:t>
      </w:r>
      <w:r w:rsidR="00D559E2" w:rsidRPr="00D559E2">
        <w:rPr>
          <w:rFonts w:eastAsia="Batang"/>
        </w:rPr>
        <w:t xml:space="preserve"> </w:t>
      </w:r>
      <w:r w:rsidR="00D559E2">
        <w:rPr>
          <w:rFonts w:eastAsia="Batang"/>
          <w:lang w:val="en-GB"/>
        </w:rPr>
        <w:t>IMT</w:t>
      </w:r>
      <w:r w:rsidR="00D559E2" w:rsidRPr="00D559E2">
        <w:rPr>
          <w:rFonts w:eastAsia="Batang"/>
        </w:rPr>
        <w:t xml:space="preserve">, </w:t>
      </w:r>
      <w:r w:rsidR="00D559E2">
        <w:rPr>
          <w:rFonts w:eastAsia="Batang"/>
        </w:rPr>
        <w:t xml:space="preserve">при этом </w:t>
      </w:r>
      <w:r w:rsidR="00D559E2" w:rsidRPr="00D559E2">
        <w:rPr>
          <w:rFonts w:eastAsia="Batang"/>
        </w:rPr>
        <w:t>защита ФСС не гарантируется</w:t>
      </w:r>
      <w:r w:rsidR="00D559E2">
        <w:rPr>
          <w:rFonts w:eastAsia="Batang"/>
        </w:rPr>
        <w:t>, что</w:t>
      </w:r>
      <w:r w:rsidR="00D559E2" w:rsidRPr="00D559E2">
        <w:rPr>
          <w:rFonts w:eastAsia="Batang"/>
        </w:rPr>
        <w:t xml:space="preserve"> </w:t>
      </w:r>
      <w:r w:rsidR="00D559E2">
        <w:rPr>
          <w:rFonts w:eastAsia="Batang"/>
        </w:rPr>
        <w:t xml:space="preserve">может </w:t>
      </w:r>
      <w:r w:rsidR="00D559E2" w:rsidRPr="00D559E2">
        <w:rPr>
          <w:rFonts w:eastAsia="Batang"/>
        </w:rPr>
        <w:t>поставит</w:t>
      </w:r>
      <w:r w:rsidR="00D559E2">
        <w:rPr>
          <w:rFonts w:eastAsia="Batang"/>
        </w:rPr>
        <w:t>ь</w:t>
      </w:r>
      <w:r w:rsidR="00D559E2" w:rsidRPr="00D559E2">
        <w:rPr>
          <w:rFonts w:eastAsia="Batang"/>
        </w:rPr>
        <w:t xml:space="preserve"> под угрозу международные усилия по обеспечению надежн</w:t>
      </w:r>
      <w:r w:rsidR="00D559E2">
        <w:rPr>
          <w:rFonts w:eastAsia="Batang"/>
        </w:rPr>
        <w:t>ого обслуживания</w:t>
      </w:r>
      <w:r w:rsidR="00D559E2" w:rsidRPr="00D559E2">
        <w:rPr>
          <w:rFonts w:eastAsia="Batang"/>
        </w:rPr>
        <w:t>, позволяюще</w:t>
      </w:r>
      <w:r w:rsidR="00D559E2">
        <w:rPr>
          <w:rFonts w:eastAsia="Batang"/>
        </w:rPr>
        <w:t>го</w:t>
      </w:r>
      <w:r w:rsidR="00D559E2" w:rsidRPr="00D559E2">
        <w:rPr>
          <w:rFonts w:eastAsia="Batang"/>
        </w:rPr>
        <w:t xml:space="preserve"> </w:t>
      </w:r>
      <w:r w:rsidR="00910384">
        <w:rPr>
          <w:rFonts w:eastAsia="Batang"/>
        </w:rPr>
        <w:t xml:space="preserve">внедрять </w:t>
      </w:r>
      <w:r w:rsidR="00D559E2" w:rsidRPr="00D559E2">
        <w:rPr>
          <w:rFonts w:eastAsia="Batang"/>
        </w:rPr>
        <w:t>важнейшие применения, которые не могут быть заменены полосами более высоких частот, более чувствительны</w:t>
      </w:r>
      <w:r w:rsidR="00910384">
        <w:rPr>
          <w:rFonts w:eastAsia="Batang"/>
        </w:rPr>
        <w:t>х</w:t>
      </w:r>
      <w:r w:rsidR="00D559E2" w:rsidRPr="00D559E2">
        <w:rPr>
          <w:rFonts w:eastAsia="Batang"/>
        </w:rPr>
        <w:t xml:space="preserve"> к затуханию в атмосфере из-за дождя, </w:t>
      </w:r>
      <w:r w:rsidR="00D559E2" w:rsidRPr="00D559E2">
        <w:rPr>
          <w:rFonts w:eastAsia="Calibri"/>
          <w:iCs/>
          <w:szCs w:val="24"/>
        </w:rPr>
        <w:t xml:space="preserve">и </w:t>
      </w:r>
      <w:r w:rsidR="00D559E2" w:rsidRPr="00D559E2">
        <w:rPr>
          <w:rFonts w:eastAsia="Batang"/>
        </w:rPr>
        <w:t>используе</w:t>
      </w:r>
      <w:r w:rsidR="00910384">
        <w:rPr>
          <w:rFonts w:eastAsia="Batang"/>
        </w:rPr>
        <w:t>мого</w:t>
      </w:r>
      <w:r w:rsidR="00D559E2" w:rsidRPr="00D559E2">
        <w:rPr>
          <w:rFonts w:eastAsia="Batang"/>
        </w:rPr>
        <w:t xml:space="preserve"> для обеспечения возможности установления соединений не только для городских и пригородных, но и для сельских районов, где услуги связи являются важнейшим </w:t>
      </w:r>
      <w:r w:rsidR="00910384">
        <w:rPr>
          <w:rFonts w:eastAsia="Batang"/>
        </w:rPr>
        <w:t xml:space="preserve">трансформационным </w:t>
      </w:r>
      <w:r w:rsidR="00D559E2" w:rsidRPr="00D559E2">
        <w:rPr>
          <w:rFonts w:eastAsia="Batang"/>
        </w:rPr>
        <w:t xml:space="preserve">инструментом для создания сценариев, </w:t>
      </w:r>
      <w:r w:rsidR="00910384">
        <w:rPr>
          <w:rFonts w:eastAsia="Batang"/>
        </w:rPr>
        <w:t>приносящих пользу</w:t>
      </w:r>
      <w:r w:rsidR="00D559E2" w:rsidRPr="00D559E2">
        <w:rPr>
          <w:rFonts w:eastAsia="Batang"/>
        </w:rPr>
        <w:t xml:space="preserve"> сельским обществам.</w:t>
      </w:r>
    </w:p>
    <w:p w14:paraId="6A5D5EAB" w14:textId="5F647DBD" w:rsidR="00910384" w:rsidRPr="00910384" w:rsidRDefault="00A0298D" w:rsidP="00910384">
      <w:pPr>
        <w:pStyle w:val="enumlev1"/>
        <w:rPr>
          <w:rFonts w:eastAsia="Calibri"/>
          <w:iCs/>
          <w:szCs w:val="24"/>
        </w:rPr>
      </w:pPr>
      <w:r w:rsidRPr="00910384">
        <w:rPr>
          <w:rFonts w:eastAsia="Calibri"/>
          <w:iCs/>
          <w:szCs w:val="24"/>
        </w:rPr>
        <w:t>6)</w:t>
      </w:r>
      <w:r w:rsidRPr="00910384">
        <w:rPr>
          <w:rFonts w:eastAsia="Calibri"/>
          <w:iCs/>
          <w:szCs w:val="24"/>
        </w:rPr>
        <w:tab/>
      </w:r>
      <w:r w:rsidR="00910384" w:rsidRPr="00910384">
        <w:rPr>
          <w:rFonts w:eastAsia="Calibri"/>
          <w:iCs/>
          <w:szCs w:val="24"/>
        </w:rPr>
        <w:t xml:space="preserve">Измерения температуры поверхности </w:t>
      </w:r>
      <w:r w:rsidR="00D765E7">
        <w:rPr>
          <w:rFonts w:eastAsia="Calibri"/>
          <w:iCs/>
          <w:szCs w:val="24"/>
        </w:rPr>
        <w:t xml:space="preserve">моря </w:t>
      </w:r>
      <w:r w:rsidR="00910384" w:rsidRPr="00910384">
        <w:rPr>
          <w:rFonts w:eastAsia="Calibri"/>
          <w:iCs/>
          <w:szCs w:val="24"/>
        </w:rPr>
        <w:t xml:space="preserve">оказывают </w:t>
      </w:r>
      <w:r w:rsidR="00910384">
        <w:rPr>
          <w:rFonts w:eastAsia="Calibri"/>
          <w:iCs/>
          <w:szCs w:val="24"/>
        </w:rPr>
        <w:t>большое</w:t>
      </w:r>
      <w:r w:rsidR="00910384" w:rsidRPr="00910384">
        <w:rPr>
          <w:rFonts w:eastAsia="Calibri"/>
          <w:iCs/>
          <w:szCs w:val="24"/>
        </w:rPr>
        <w:t xml:space="preserve"> </w:t>
      </w:r>
      <w:r w:rsidR="00910384">
        <w:rPr>
          <w:rFonts w:eastAsia="Calibri"/>
          <w:iCs/>
          <w:szCs w:val="24"/>
        </w:rPr>
        <w:t>влияние</w:t>
      </w:r>
      <w:r w:rsidR="00910384" w:rsidRPr="00910384">
        <w:rPr>
          <w:rFonts w:eastAsia="Calibri"/>
          <w:iCs/>
          <w:szCs w:val="24"/>
        </w:rPr>
        <w:t xml:space="preserve"> на метеорологические измерения, </w:t>
      </w:r>
      <w:r w:rsidR="00910384">
        <w:rPr>
          <w:rFonts w:eastAsia="Calibri"/>
          <w:iCs/>
          <w:szCs w:val="24"/>
        </w:rPr>
        <w:t>необходимые</w:t>
      </w:r>
      <w:r w:rsidR="00910384" w:rsidRPr="00910384">
        <w:rPr>
          <w:rFonts w:eastAsia="Calibri"/>
          <w:iCs/>
          <w:szCs w:val="24"/>
        </w:rPr>
        <w:t xml:space="preserve"> для </w:t>
      </w:r>
      <w:r w:rsidR="00910384">
        <w:rPr>
          <w:rFonts w:eastAsia="Calibri"/>
          <w:iCs/>
          <w:szCs w:val="24"/>
        </w:rPr>
        <w:t xml:space="preserve">обеспечения </w:t>
      </w:r>
      <w:r w:rsidR="00910384" w:rsidRPr="00910384">
        <w:rPr>
          <w:rFonts w:eastAsia="Calibri"/>
          <w:iCs/>
          <w:szCs w:val="24"/>
        </w:rPr>
        <w:t xml:space="preserve">защиты человеческой жизни </w:t>
      </w:r>
      <w:r w:rsidR="00910384">
        <w:rPr>
          <w:rFonts w:eastAsia="Calibri"/>
          <w:iCs/>
          <w:szCs w:val="24"/>
        </w:rPr>
        <w:t>в случае</w:t>
      </w:r>
      <w:r w:rsidR="00910384" w:rsidRPr="00910384">
        <w:rPr>
          <w:rFonts w:eastAsia="Calibri"/>
          <w:iCs/>
          <w:szCs w:val="24"/>
        </w:rPr>
        <w:t xml:space="preserve"> </w:t>
      </w:r>
      <w:r w:rsidR="00910384">
        <w:rPr>
          <w:rFonts w:eastAsia="Calibri"/>
          <w:iCs/>
          <w:szCs w:val="24"/>
        </w:rPr>
        <w:t>опасных</w:t>
      </w:r>
      <w:r w:rsidR="00910384" w:rsidRPr="00910384">
        <w:rPr>
          <w:rFonts w:eastAsia="Calibri"/>
          <w:iCs/>
          <w:szCs w:val="24"/>
        </w:rPr>
        <w:t xml:space="preserve"> климатических явлений. Развертывание </w:t>
      </w:r>
      <w:r w:rsidR="00910384">
        <w:rPr>
          <w:rFonts w:eastAsia="Calibri"/>
          <w:iCs/>
          <w:szCs w:val="24"/>
          <w:lang w:val="en-US"/>
        </w:rPr>
        <w:t>IMT</w:t>
      </w:r>
      <w:r w:rsidR="00910384" w:rsidRPr="00910384">
        <w:rPr>
          <w:rFonts w:eastAsia="Calibri"/>
          <w:iCs/>
          <w:szCs w:val="24"/>
        </w:rPr>
        <w:t xml:space="preserve"> </w:t>
      </w:r>
      <w:r w:rsidR="00910384">
        <w:rPr>
          <w:rFonts w:eastAsia="Calibri"/>
          <w:iCs/>
          <w:szCs w:val="24"/>
        </w:rPr>
        <w:t>серьезным образом скажется</w:t>
      </w:r>
      <w:r w:rsidR="00910384" w:rsidRPr="00910384">
        <w:rPr>
          <w:rFonts w:eastAsia="Calibri"/>
          <w:iCs/>
          <w:szCs w:val="24"/>
        </w:rPr>
        <w:t xml:space="preserve"> на эти</w:t>
      </w:r>
      <w:r w:rsidR="00910384">
        <w:rPr>
          <w:rFonts w:eastAsia="Calibri"/>
          <w:iCs/>
          <w:szCs w:val="24"/>
        </w:rPr>
        <w:t>х</w:t>
      </w:r>
      <w:r w:rsidR="00910384" w:rsidRPr="00910384">
        <w:rPr>
          <w:rFonts w:eastAsia="Calibri"/>
          <w:iCs/>
          <w:szCs w:val="24"/>
        </w:rPr>
        <w:t xml:space="preserve"> измерения</w:t>
      </w:r>
      <w:r w:rsidR="00910384">
        <w:rPr>
          <w:rFonts w:eastAsia="Calibri"/>
          <w:iCs/>
          <w:szCs w:val="24"/>
        </w:rPr>
        <w:t>х</w:t>
      </w:r>
      <w:r w:rsidR="00910384" w:rsidRPr="00910384">
        <w:rPr>
          <w:rFonts w:eastAsia="Calibri"/>
          <w:iCs/>
          <w:szCs w:val="24"/>
        </w:rPr>
        <w:t xml:space="preserve"> в местах, </w:t>
      </w:r>
      <w:r w:rsidR="00471DD8">
        <w:rPr>
          <w:rFonts w:eastAsia="Calibri"/>
          <w:iCs/>
          <w:szCs w:val="24"/>
        </w:rPr>
        <w:t>находящихся</w:t>
      </w:r>
      <w:r w:rsidR="00910384" w:rsidRPr="00910384">
        <w:rPr>
          <w:rFonts w:eastAsia="Calibri"/>
          <w:iCs/>
          <w:szCs w:val="24"/>
        </w:rPr>
        <w:t xml:space="preserve"> на расстояни</w:t>
      </w:r>
      <w:r w:rsidR="00910384">
        <w:rPr>
          <w:rFonts w:eastAsia="Calibri"/>
          <w:iCs/>
          <w:szCs w:val="24"/>
        </w:rPr>
        <w:t xml:space="preserve">и </w:t>
      </w:r>
      <w:r w:rsidR="00910384" w:rsidRPr="00910384">
        <w:rPr>
          <w:rFonts w:eastAsia="Calibri"/>
          <w:iCs/>
          <w:szCs w:val="24"/>
        </w:rPr>
        <w:t xml:space="preserve">до нескольких тысяч километров от побережья. Следовательно, в первую очередь следует изучить альтернативные полосы для </w:t>
      </w:r>
      <w:r w:rsidR="00910384">
        <w:rPr>
          <w:rFonts w:eastAsia="Calibri"/>
          <w:iCs/>
          <w:szCs w:val="24"/>
        </w:rPr>
        <w:t xml:space="preserve">измерения </w:t>
      </w:r>
      <w:r w:rsidR="00910384" w:rsidRPr="00910384">
        <w:rPr>
          <w:rFonts w:eastAsia="Calibri"/>
          <w:iCs/>
          <w:szCs w:val="24"/>
        </w:rPr>
        <w:t xml:space="preserve">температуры поверхности моря, которые будут </w:t>
      </w:r>
      <w:r w:rsidR="008E66E0">
        <w:rPr>
          <w:rFonts w:eastAsia="Calibri"/>
          <w:iCs/>
          <w:szCs w:val="24"/>
        </w:rPr>
        <w:t>обладать</w:t>
      </w:r>
      <w:r w:rsidR="00910384" w:rsidRPr="00910384">
        <w:rPr>
          <w:rFonts w:eastAsia="Calibri"/>
          <w:iCs/>
          <w:szCs w:val="24"/>
        </w:rPr>
        <w:t xml:space="preserve"> лучшими </w:t>
      </w:r>
      <w:r w:rsidR="00910384">
        <w:rPr>
          <w:rFonts w:eastAsia="Calibri"/>
          <w:iCs/>
          <w:szCs w:val="24"/>
        </w:rPr>
        <w:t>характеристиками</w:t>
      </w:r>
      <w:r w:rsidR="00910384" w:rsidRPr="00910384">
        <w:rPr>
          <w:rFonts w:eastAsia="Calibri"/>
          <w:iCs/>
          <w:szCs w:val="24"/>
        </w:rPr>
        <w:t xml:space="preserve"> сосуществования.</w:t>
      </w:r>
    </w:p>
    <w:p w14:paraId="6EC6A6C5" w14:textId="32144B90" w:rsidR="008E66E0" w:rsidRPr="008E66E0" w:rsidRDefault="00A0298D" w:rsidP="00A0298D">
      <w:pPr>
        <w:pStyle w:val="enumlev1"/>
        <w:rPr>
          <w:rFonts w:eastAsia="Calibri"/>
          <w:iCs/>
          <w:szCs w:val="24"/>
        </w:rPr>
      </w:pPr>
      <w:r w:rsidRPr="008E66E0">
        <w:rPr>
          <w:rFonts w:eastAsia="Calibri"/>
          <w:iCs/>
          <w:szCs w:val="24"/>
        </w:rPr>
        <w:t>7)</w:t>
      </w:r>
      <w:r w:rsidRPr="008E66E0">
        <w:rPr>
          <w:rFonts w:eastAsia="Calibri"/>
          <w:iCs/>
          <w:szCs w:val="24"/>
        </w:rPr>
        <w:tab/>
      </w:r>
      <w:r w:rsidR="002826BB">
        <w:rPr>
          <w:rFonts w:eastAsia="Calibri"/>
          <w:iCs/>
          <w:szCs w:val="24"/>
        </w:rPr>
        <w:t>В позиции</w:t>
      </w:r>
      <w:r w:rsidR="008E66E0" w:rsidRPr="008E66E0">
        <w:rPr>
          <w:rFonts w:eastAsia="Calibri"/>
          <w:iCs/>
          <w:szCs w:val="24"/>
        </w:rPr>
        <w:t xml:space="preserve"> ИКАО в отношении использования</w:t>
      </w:r>
      <w:r w:rsidR="008E66E0" w:rsidRPr="008E66E0">
        <w:rPr>
          <w:rFonts w:eastAsia="Batang"/>
        </w:rPr>
        <w:t xml:space="preserve"> </w:t>
      </w:r>
      <w:r w:rsidR="008E66E0">
        <w:rPr>
          <w:lang w:eastAsia="en-GB"/>
        </w:rPr>
        <w:t>полосы частот</w:t>
      </w:r>
      <w:r w:rsidR="008E66E0" w:rsidRPr="008E66E0">
        <w:rPr>
          <w:lang w:eastAsia="en-GB"/>
        </w:rPr>
        <w:t xml:space="preserve"> </w:t>
      </w:r>
      <w:r w:rsidR="008E66E0" w:rsidRPr="008E66E0">
        <w:rPr>
          <w:rFonts w:eastAsia="Calibri"/>
          <w:iCs/>
          <w:szCs w:val="24"/>
        </w:rPr>
        <w:t>6425–6575</w:t>
      </w:r>
      <w:r w:rsidR="008E66E0">
        <w:rPr>
          <w:rFonts w:eastAsia="Calibri"/>
          <w:iCs/>
          <w:szCs w:val="24"/>
          <w:lang w:val="en-GB"/>
        </w:rPr>
        <w:t> </w:t>
      </w:r>
      <w:r w:rsidR="008E66E0">
        <w:rPr>
          <w:rFonts w:eastAsia="Calibri"/>
          <w:iCs/>
          <w:szCs w:val="24"/>
        </w:rPr>
        <w:t>МГц</w:t>
      </w:r>
      <w:r w:rsidR="008E66E0" w:rsidRPr="008E66E0">
        <w:rPr>
          <w:rFonts w:eastAsia="Calibri"/>
          <w:iCs/>
          <w:szCs w:val="24"/>
        </w:rPr>
        <w:t xml:space="preserve"> в Районе 1 </w:t>
      </w:r>
      <w:r w:rsidR="002826BB">
        <w:rPr>
          <w:rFonts w:eastAsia="Calibri"/>
          <w:iCs/>
          <w:szCs w:val="24"/>
        </w:rPr>
        <w:t>указывается</w:t>
      </w:r>
      <w:r w:rsidR="008E66E0" w:rsidRPr="008E66E0">
        <w:rPr>
          <w:rFonts w:eastAsia="Calibri"/>
          <w:iCs/>
          <w:szCs w:val="24"/>
        </w:rPr>
        <w:t xml:space="preserve"> </w:t>
      </w:r>
      <w:r w:rsidR="002826BB">
        <w:rPr>
          <w:rFonts w:eastAsia="Calibri"/>
          <w:iCs/>
          <w:szCs w:val="24"/>
        </w:rPr>
        <w:t>на</w:t>
      </w:r>
      <w:r w:rsidR="008E66E0" w:rsidRPr="008E66E0">
        <w:rPr>
          <w:rFonts w:eastAsia="Calibri"/>
          <w:iCs/>
          <w:szCs w:val="24"/>
        </w:rPr>
        <w:t xml:space="preserve"> необходимост</w:t>
      </w:r>
      <w:r w:rsidR="002826BB">
        <w:rPr>
          <w:rFonts w:eastAsia="Calibri"/>
          <w:iCs/>
          <w:szCs w:val="24"/>
        </w:rPr>
        <w:t>ь внедрения</w:t>
      </w:r>
      <w:r w:rsidR="008E66E0" w:rsidRPr="008E66E0">
        <w:rPr>
          <w:rFonts w:eastAsia="Calibri"/>
          <w:iCs/>
          <w:szCs w:val="24"/>
        </w:rPr>
        <w:t xml:space="preserve"> регламентарных положений для защиты линий вверх ФСС, с тем чтобы продолжать использование сетей ГСО ФСС для предоставления </w:t>
      </w:r>
      <w:r w:rsidR="002826BB">
        <w:rPr>
          <w:rFonts w:eastAsia="Calibri"/>
          <w:iCs/>
          <w:szCs w:val="24"/>
        </w:rPr>
        <w:t>авиационного обслуживания</w:t>
      </w:r>
      <w:r w:rsidR="008E66E0" w:rsidRPr="008E66E0">
        <w:rPr>
          <w:rFonts w:eastAsia="Calibri"/>
          <w:iCs/>
          <w:szCs w:val="24"/>
        </w:rPr>
        <w:t xml:space="preserve">, </w:t>
      </w:r>
      <w:r w:rsidR="002826BB">
        <w:rPr>
          <w:rFonts w:eastAsia="Calibri"/>
          <w:iCs/>
          <w:szCs w:val="24"/>
        </w:rPr>
        <w:t xml:space="preserve">так </w:t>
      </w:r>
      <w:r w:rsidR="008E66E0" w:rsidRPr="008E66E0">
        <w:rPr>
          <w:rFonts w:eastAsia="Calibri"/>
          <w:iCs/>
          <w:szCs w:val="24"/>
        </w:rPr>
        <w:t xml:space="preserve">как любые помехи фидерным линиям вверх ПСС в </w:t>
      </w:r>
      <w:r w:rsidR="002826BB">
        <w:rPr>
          <w:rFonts w:eastAsia="Calibri"/>
          <w:iCs/>
          <w:szCs w:val="24"/>
        </w:rPr>
        <w:t>п</w:t>
      </w:r>
      <w:r w:rsidR="008E66E0" w:rsidRPr="008E66E0">
        <w:rPr>
          <w:rFonts w:eastAsia="Calibri"/>
          <w:iCs/>
          <w:szCs w:val="24"/>
        </w:rPr>
        <w:t>олосе частот 6425−6575</w:t>
      </w:r>
      <w:r w:rsidR="008E66E0">
        <w:rPr>
          <w:rFonts w:eastAsia="Calibri"/>
          <w:iCs/>
          <w:szCs w:val="24"/>
          <w:lang w:val="en-GB"/>
        </w:rPr>
        <w:t> </w:t>
      </w:r>
      <w:r w:rsidR="008E66E0">
        <w:rPr>
          <w:rFonts w:eastAsia="Calibri"/>
          <w:iCs/>
          <w:szCs w:val="24"/>
        </w:rPr>
        <w:t>МГц</w:t>
      </w:r>
      <w:r w:rsidR="008E66E0" w:rsidRPr="008E66E0">
        <w:rPr>
          <w:rFonts w:eastAsia="Calibri"/>
          <w:iCs/>
          <w:szCs w:val="24"/>
        </w:rPr>
        <w:t xml:space="preserve"> мо</w:t>
      </w:r>
      <w:r w:rsidR="002826BB">
        <w:rPr>
          <w:rFonts w:eastAsia="Calibri"/>
          <w:iCs/>
          <w:szCs w:val="24"/>
        </w:rPr>
        <w:t>гут</w:t>
      </w:r>
      <w:r w:rsidR="008E66E0" w:rsidRPr="008E66E0">
        <w:rPr>
          <w:rFonts w:eastAsia="Calibri"/>
          <w:iCs/>
          <w:szCs w:val="24"/>
        </w:rPr>
        <w:t xml:space="preserve"> поставить под угрозу </w:t>
      </w:r>
      <w:r w:rsidR="002826BB">
        <w:rPr>
          <w:rFonts w:eastAsia="Calibri"/>
          <w:iCs/>
          <w:szCs w:val="24"/>
        </w:rPr>
        <w:t xml:space="preserve">производство полетов </w:t>
      </w:r>
      <w:r w:rsidR="008E66E0" w:rsidRPr="008E66E0">
        <w:rPr>
          <w:rFonts w:eastAsia="Calibri"/>
          <w:iCs/>
          <w:szCs w:val="24"/>
        </w:rPr>
        <w:t>воздушных судов. Администрации, подпис</w:t>
      </w:r>
      <w:r w:rsidR="00DB3FE7">
        <w:rPr>
          <w:rFonts w:eastAsia="Calibri"/>
          <w:iCs/>
          <w:szCs w:val="24"/>
        </w:rPr>
        <w:t xml:space="preserve">авшие настоящий вклад, </w:t>
      </w:r>
      <w:r w:rsidR="008E66E0" w:rsidRPr="008E66E0">
        <w:rPr>
          <w:rFonts w:eastAsia="Calibri"/>
          <w:iCs/>
          <w:szCs w:val="24"/>
        </w:rPr>
        <w:t xml:space="preserve">и другие администрации считают, что системы ФСС, используемые для национальных чрезвычайных ситуаций и </w:t>
      </w:r>
      <w:r w:rsidR="00444247">
        <w:rPr>
          <w:rFonts w:eastAsia="Calibri"/>
          <w:iCs/>
          <w:szCs w:val="24"/>
        </w:rPr>
        <w:t xml:space="preserve">при </w:t>
      </w:r>
      <w:r w:rsidR="008E66E0" w:rsidRPr="008E66E0">
        <w:rPr>
          <w:rFonts w:eastAsia="Calibri"/>
          <w:iCs/>
          <w:szCs w:val="24"/>
        </w:rPr>
        <w:t>бедстви</w:t>
      </w:r>
      <w:r w:rsidR="00444247">
        <w:rPr>
          <w:rFonts w:eastAsia="Calibri"/>
          <w:iCs/>
          <w:szCs w:val="24"/>
        </w:rPr>
        <w:t>ях в воздушном пространстве</w:t>
      </w:r>
      <w:r w:rsidR="008E66E0" w:rsidRPr="008E66E0">
        <w:rPr>
          <w:rFonts w:eastAsia="Calibri"/>
          <w:iCs/>
          <w:szCs w:val="24"/>
        </w:rPr>
        <w:t>, не могут быть поставлены под угрозу.</w:t>
      </w:r>
    </w:p>
    <w:p w14:paraId="4F9685EF" w14:textId="128F4751" w:rsidR="00444247" w:rsidRPr="00FB416A" w:rsidRDefault="00A0298D" w:rsidP="00444247">
      <w:pPr>
        <w:pStyle w:val="enumlev1"/>
        <w:rPr>
          <w:rFonts w:eastAsia="Calibri"/>
          <w:iCs/>
          <w:szCs w:val="22"/>
        </w:rPr>
      </w:pPr>
      <w:r w:rsidRPr="00444247">
        <w:rPr>
          <w:rFonts w:eastAsia="Batang"/>
          <w:szCs w:val="24"/>
        </w:rPr>
        <w:t>8</w:t>
      </w:r>
      <w:r w:rsidRPr="00444247">
        <w:rPr>
          <w:rFonts w:eastAsia="Malgun Gothic"/>
          <w:iCs/>
          <w:szCs w:val="24"/>
          <w:lang w:eastAsia="ko-KR"/>
        </w:rPr>
        <w:t>)</w:t>
      </w:r>
      <w:r w:rsidRPr="00444247">
        <w:rPr>
          <w:rFonts w:eastAsia="Batang"/>
          <w:szCs w:val="24"/>
        </w:rPr>
        <w:tab/>
      </w:r>
      <w:r w:rsidR="00444247" w:rsidRPr="00444247">
        <w:rPr>
          <w:rFonts w:eastAsia="Batang"/>
          <w:szCs w:val="24"/>
        </w:rPr>
        <w:t xml:space="preserve">Некоторые администрации уже разрешили использование </w:t>
      </w:r>
      <w:r w:rsidR="00444247" w:rsidRPr="00444247">
        <w:rPr>
          <w:lang w:eastAsia="en-GB"/>
        </w:rPr>
        <w:t xml:space="preserve">полосы частот </w:t>
      </w:r>
      <w:r w:rsidR="00444247" w:rsidRPr="00444247">
        <w:rPr>
          <w:rFonts w:eastAsia="Batang"/>
        </w:rPr>
        <w:t>6425−7025</w:t>
      </w:r>
      <w:r w:rsidR="00444247">
        <w:rPr>
          <w:rFonts w:eastAsia="Batang"/>
          <w:lang w:val="en-GB"/>
        </w:rPr>
        <w:t> </w:t>
      </w:r>
      <w:r w:rsidR="00444247">
        <w:rPr>
          <w:rFonts w:eastAsia="Batang"/>
        </w:rPr>
        <w:t>МГц</w:t>
      </w:r>
      <w:r w:rsidR="00444247" w:rsidRPr="00444247">
        <w:rPr>
          <w:rFonts w:eastAsia="Batang"/>
        </w:rPr>
        <w:t xml:space="preserve"> и 7025−7125</w:t>
      </w:r>
      <w:r w:rsidR="00444247">
        <w:rPr>
          <w:rFonts w:eastAsia="Batang"/>
          <w:lang w:val="en-GB"/>
        </w:rPr>
        <w:t> </w:t>
      </w:r>
      <w:r w:rsidR="00444247">
        <w:rPr>
          <w:rFonts w:eastAsia="Batang"/>
        </w:rPr>
        <w:t>МГц</w:t>
      </w:r>
      <w:r w:rsidR="00444247" w:rsidRPr="00444247">
        <w:rPr>
          <w:rFonts w:eastAsia="Batang"/>
        </w:rPr>
        <w:t xml:space="preserve"> для освобожденных от лицензирования технологий путем разработки регламентарных и технических положений, которые упрощают </w:t>
      </w:r>
      <w:r w:rsidR="00FB416A">
        <w:rPr>
          <w:rFonts w:eastAsia="Batang"/>
        </w:rPr>
        <w:t>непосредственное</w:t>
      </w:r>
      <w:r w:rsidR="00444247" w:rsidRPr="00444247">
        <w:rPr>
          <w:rFonts w:eastAsia="Batang"/>
        </w:rPr>
        <w:t xml:space="preserve"> использование имеющихся устройств, </w:t>
      </w:r>
      <w:r w:rsidR="00FB416A">
        <w:rPr>
          <w:rFonts w:eastAsia="Batang"/>
        </w:rPr>
        <w:t xml:space="preserve">что </w:t>
      </w:r>
      <w:r w:rsidR="00444247" w:rsidRPr="00444247">
        <w:rPr>
          <w:rFonts w:eastAsia="Batang"/>
        </w:rPr>
        <w:t>способству</w:t>
      </w:r>
      <w:r w:rsidR="00FB416A">
        <w:rPr>
          <w:rFonts w:eastAsia="Batang"/>
        </w:rPr>
        <w:t>е</w:t>
      </w:r>
      <w:r w:rsidR="00444247" w:rsidRPr="00444247">
        <w:rPr>
          <w:rFonts w:eastAsia="Batang"/>
        </w:rPr>
        <w:t xml:space="preserve">т экономии </w:t>
      </w:r>
      <w:r w:rsidR="00CA5235">
        <w:rPr>
          <w:rFonts w:eastAsia="Batang"/>
        </w:rPr>
        <w:t>от</w:t>
      </w:r>
      <w:r w:rsidR="00444247" w:rsidRPr="00444247">
        <w:rPr>
          <w:rFonts w:eastAsia="Batang"/>
        </w:rPr>
        <w:t xml:space="preserve"> масштаба и принос</w:t>
      </w:r>
      <w:r w:rsidR="00FB416A">
        <w:rPr>
          <w:rFonts w:eastAsia="Batang"/>
        </w:rPr>
        <w:t>и</w:t>
      </w:r>
      <w:r w:rsidR="00444247" w:rsidRPr="00444247">
        <w:rPr>
          <w:rFonts w:eastAsia="Batang"/>
        </w:rPr>
        <w:t>т пользу предприятиям, потребителям и экономик</w:t>
      </w:r>
      <w:r w:rsidR="00FB416A">
        <w:rPr>
          <w:rFonts w:eastAsia="Batang"/>
        </w:rPr>
        <w:t>е</w:t>
      </w:r>
      <w:r w:rsidR="00444247" w:rsidRPr="00444247">
        <w:rPr>
          <w:rFonts w:eastAsia="Batang"/>
        </w:rPr>
        <w:t>.</w:t>
      </w:r>
      <w:r w:rsidR="00444247" w:rsidRPr="00444247">
        <w:rPr>
          <w:rFonts w:eastAsia="Batang"/>
          <w:szCs w:val="24"/>
        </w:rPr>
        <w:t xml:space="preserve"> </w:t>
      </w:r>
    </w:p>
    <w:p w14:paraId="45EEC1C4" w14:textId="0C2FE2F1" w:rsidR="00FB416A" w:rsidRPr="00FB416A" w:rsidRDefault="00A0298D" w:rsidP="00FB416A">
      <w:pPr>
        <w:pStyle w:val="enumlev1"/>
        <w:rPr>
          <w:rFonts w:eastAsia="Calibri"/>
          <w:iCs/>
          <w:szCs w:val="24"/>
        </w:rPr>
      </w:pPr>
      <w:r w:rsidRPr="00FB416A">
        <w:rPr>
          <w:rFonts w:eastAsia="Calibri"/>
          <w:iCs/>
          <w:szCs w:val="24"/>
        </w:rPr>
        <w:t>9</w:t>
      </w:r>
      <w:r w:rsidRPr="00FB416A">
        <w:rPr>
          <w:rFonts w:eastAsia="Malgun Gothic"/>
          <w:iCs/>
          <w:szCs w:val="24"/>
          <w:lang w:eastAsia="ko-KR"/>
        </w:rPr>
        <w:t>)</w:t>
      </w:r>
      <w:r w:rsidRPr="00FB416A">
        <w:rPr>
          <w:rFonts w:eastAsia="Calibri"/>
          <w:iCs/>
          <w:szCs w:val="24"/>
        </w:rPr>
        <w:tab/>
      </w:r>
      <w:r w:rsidR="00FB416A" w:rsidRPr="00FB416A">
        <w:rPr>
          <w:rFonts w:eastAsia="Calibri"/>
          <w:iCs/>
          <w:szCs w:val="24"/>
        </w:rPr>
        <w:t xml:space="preserve">Некоторые администрации эффективно используют </w:t>
      </w:r>
      <w:r w:rsidR="00FB416A">
        <w:rPr>
          <w:rFonts w:eastAsia="Calibri"/>
          <w:iCs/>
          <w:szCs w:val="24"/>
        </w:rPr>
        <w:t>безлицензионную</w:t>
      </w:r>
      <w:r w:rsidR="00FB416A" w:rsidRPr="00FB416A">
        <w:rPr>
          <w:rFonts w:eastAsia="Calibri"/>
          <w:iCs/>
          <w:szCs w:val="24"/>
        </w:rPr>
        <w:t xml:space="preserve"> непрерывн</w:t>
      </w:r>
      <w:r w:rsidR="00FB416A">
        <w:rPr>
          <w:rFonts w:eastAsia="Calibri"/>
          <w:iCs/>
          <w:szCs w:val="24"/>
        </w:rPr>
        <w:t>ую полосу</w:t>
      </w:r>
      <w:r w:rsidR="00FB416A" w:rsidRPr="00FB416A">
        <w:rPr>
          <w:rFonts w:eastAsia="Calibri"/>
          <w:iCs/>
          <w:szCs w:val="24"/>
        </w:rPr>
        <w:t xml:space="preserve"> ширин</w:t>
      </w:r>
      <w:r w:rsidR="00FB416A">
        <w:rPr>
          <w:rFonts w:eastAsia="Calibri"/>
          <w:iCs/>
          <w:szCs w:val="24"/>
        </w:rPr>
        <w:t xml:space="preserve">ой </w:t>
      </w:r>
      <w:r w:rsidR="00FB416A" w:rsidRPr="00FB416A">
        <w:rPr>
          <w:rFonts w:eastAsia="Calibri"/>
          <w:iCs/>
          <w:szCs w:val="24"/>
        </w:rPr>
        <w:t>в пределах 5925−7125</w:t>
      </w:r>
      <w:r w:rsidR="00FB416A">
        <w:rPr>
          <w:rFonts w:eastAsia="Calibri"/>
          <w:iCs/>
          <w:szCs w:val="24"/>
          <w:lang w:val="en-GB"/>
        </w:rPr>
        <w:t> </w:t>
      </w:r>
      <w:r w:rsidR="00FB416A">
        <w:rPr>
          <w:rFonts w:eastAsia="Calibri"/>
          <w:iCs/>
          <w:szCs w:val="24"/>
        </w:rPr>
        <w:t>МГц для</w:t>
      </w:r>
      <w:r w:rsidR="00FB416A" w:rsidRPr="00FB416A">
        <w:rPr>
          <w:rFonts w:eastAsia="Calibri"/>
          <w:iCs/>
          <w:szCs w:val="24"/>
        </w:rPr>
        <w:t xml:space="preserve"> поддерж</w:t>
      </w:r>
      <w:r w:rsidR="00FB416A">
        <w:rPr>
          <w:rFonts w:eastAsia="Calibri"/>
          <w:iCs/>
          <w:szCs w:val="24"/>
        </w:rPr>
        <w:t>ки</w:t>
      </w:r>
      <w:r w:rsidR="00FB416A" w:rsidRPr="00FB416A">
        <w:rPr>
          <w:rFonts w:eastAsia="Calibri"/>
          <w:iCs/>
          <w:szCs w:val="24"/>
        </w:rPr>
        <w:t xml:space="preserve"> интернет-приложений </w:t>
      </w:r>
      <w:r w:rsidR="00471DD8" w:rsidRPr="00FB416A">
        <w:rPr>
          <w:rFonts w:eastAsia="Calibri"/>
          <w:iCs/>
          <w:szCs w:val="24"/>
        </w:rPr>
        <w:t>следующе</w:t>
      </w:r>
      <w:r w:rsidR="00471DD8">
        <w:rPr>
          <w:rFonts w:eastAsia="Calibri"/>
          <w:iCs/>
          <w:szCs w:val="24"/>
        </w:rPr>
        <w:t>го</w:t>
      </w:r>
      <w:r w:rsidR="00471DD8" w:rsidRPr="00FB416A">
        <w:rPr>
          <w:rFonts w:eastAsia="Calibri"/>
          <w:iCs/>
          <w:szCs w:val="24"/>
        </w:rPr>
        <w:t xml:space="preserve"> поколени</w:t>
      </w:r>
      <w:r w:rsidR="00471DD8">
        <w:rPr>
          <w:rFonts w:eastAsia="Calibri"/>
          <w:iCs/>
          <w:szCs w:val="24"/>
        </w:rPr>
        <w:t>я</w:t>
      </w:r>
      <w:r w:rsidR="00471DD8" w:rsidRPr="00FB416A">
        <w:rPr>
          <w:rFonts w:eastAsia="Calibri"/>
          <w:iCs/>
          <w:szCs w:val="24"/>
        </w:rPr>
        <w:t xml:space="preserve"> </w:t>
      </w:r>
      <w:r w:rsidR="00FB416A" w:rsidRPr="00FB416A">
        <w:rPr>
          <w:rFonts w:eastAsia="Calibri"/>
          <w:iCs/>
          <w:szCs w:val="24"/>
        </w:rPr>
        <w:t xml:space="preserve">путем использования технологий, основанных на соединениях </w:t>
      </w:r>
      <w:r w:rsidR="00FB416A">
        <w:rPr>
          <w:rFonts w:eastAsia="Calibri"/>
          <w:iCs/>
          <w:szCs w:val="24"/>
          <w:lang w:val="en-US"/>
        </w:rPr>
        <w:t>Wi</w:t>
      </w:r>
      <w:r w:rsidR="00FB416A" w:rsidRPr="00FB416A">
        <w:rPr>
          <w:rFonts w:eastAsia="Calibri"/>
          <w:iCs/>
          <w:szCs w:val="24"/>
        </w:rPr>
        <w:t>-</w:t>
      </w:r>
      <w:r w:rsidR="00FB416A">
        <w:rPr>
          <w:rFonts w:eastAsia="Calibri"/>
          <w:iCs/>
          <w:szCs w:val="24"/>
          <w:lang w:val="en-US"/>
        </w:rPr>
        <w:t>Fi</w:t>
      </w:r>
      <w:r w:rsidR="00FB416A" w:rsidRPr="00FB416A">
        <w:rPr>
          <w:rFonts w:eastAsia="Calibri"/>
          <w:iCs/>
          <w:szCs w:val="24"/>
        </w:rPr>
        <w:t xml:space="preserve">. Такие </w:t>
      </w:r>
      <w:r w:rsidR="00876619">
        <w:rPr>
          <w:rFonts w:eastAsia="Calibri"/>
          <w:iCs/>
          <w:szCs w:val="24"/>
        </w:rPr>
        <w:t>применения</w:t>
      </w:r>
      <w:r w:rsidR="00FB416A" w:rsidRPr="00FB416A">
        <w:rPr>
          <w:rFonts w:eastAsia="Calibri"/>
          <w:iCs/>
          <w:szCs w:val="24"/>
        </w:rPr>
        <w:t xml:space="preserve">, как </w:t>
      </w:r>
      <w:r w:rsidR="00FB416A">
        <w:rPr>
          <w:rFonts w:eastAsia="Calibri"/>
          <w:iCs/>
          <w:szCs w:val="24"/>
          <w:lang w:val="en-US"/>
        </w:rPr>
        <w:t>AR</w:t>
      </w:r>
      <w:r w:rsidR="00FB416A" w:rsidRPr="00FB416A">
        <w:rPr>
          <w:rFonts w:eastAsia="Calibri"/>
          <w:iCs/>
          <w:szCs w:val="24"/>
        </w:rPr>
        <w:t>/</w:t>
      </w:r>
      <w:r w:rsidR="00FB416A">
        <w:rPr>
          <w:rFonts w:eastAsia="Calibri"/>
          <w:iCs/>
          <w:szCs w:val="24"/>
          <w:lang w:val="en-US"/>
        </w:rPr>
        <w:t>VR</w:t>
      </w:r>
      <w:r w:rsidR="00FB416A" w:rsidRPr="00FB416A">
        <w:rPr>
          <w:rFonts w:eastAsia="Calibri"/>
          <w:iCs/>
          <w:szCs w:val="24"/>
        </w:rPr>
        <w:t xml:space="preserve"> для </w:t>
      </w:r>
      <w:r w:rsidR="00FB416A">
        <w:rPr>
          <w:rFonts w:eastAsia="Calibri"/>
          <w:iCs/>
          <w:szCs w:val="24"/>
        </w:rPr>
        <w:t xml:space="preserve">нужд </w:t>
      </w:r>
      <w:r w:rsidR="00FB416A" w:rsidRPr="00FB416A">
        <w:rPr>
          <w:rFonts w:eastAsia="Calibri"/>
          <w:iCs/>
          <w:szCs w:val="24"/>
        </w:rPr>
        <w:t xml:space="preserve">образования, здравоохранения, </w:t>
      </w:r>
      <w:r w:rsidR="00FB416A" w:rsidRPr="00FB416A">
        <w:rPr>
          <w:rFonts w:eastAsia="Calibri"/>
          <w:iCs/>
          <w:szCs w:val="24"/>
        </w:rPr>
        <w:lastRenderedPageBreak/>
        <w:t xml:space="preserve">электронного правительства, промышленной автоматизации, </w:t>
      </w:r>
      <w:r w:rsidR="00FB416A">
        <w:rPr>
          <w:rFonts w:eastAsia="Calibri"/>
          <w:iCs/>
          <w:szCs w:val="24"/>
          <w:lang w:val="en-US"/>
        </w:rPr>
        <w:t>IoT</w:t>
      </w:r>
      <w:r w:rsidR="00FB416A" w:rsidRPr="00FB416A">
        <w:rPr>
          <w:rFonts w:eastAsia="Calibri"/>
          <w:iCs/>
          <w:szCs w:val="24"/>
        </w:rPr>
        <w:t>, 3</w:t>
      </w:r>
      <w:r w:rsidR="00FB416A">
        <w:rPr>
          <w:rFonts w:eastAsia="Calibri"/>
          <w:iCs/>
          <w:szCs w:val="24"/>
          <w:lang w:val="en-US"/>
        </w:rPr>
        <w:t>D</w:t>
      </w:r>
      <w:r w:rsidR="00FB416A" w:rsidRPr="00FB416A">
        <w:rPr>
          <w:rFonts w:eastAsia="Calibri"/>
          <w:iCs/>
          <w:szCs w:val="24"/>
        </w:rPr>
        <w:t xml:space="preserve">-видео и ИИ, </w:t>
      </w:r>
      <w:r w:rsidR="00FB416A">
        <w:rPr>
          <w:rFonts w:eastAsia="Calibri"/>
          <w:iCs/>
          <w:szCs w:val="24"/>
        </w:rPr>
        <w:t>нуждаются во все</w:t>
      </w:r>
      <w:r w:rsidR="00FB416A" w:rsidRPr="00FB416A">
        <w:rPr>
          <w:rFonts w:eastAsia="Calibri"/>
          <w:iCs/>
          <w:szCs w:val="24"/>
        </w:rPr>
        <w:t xml:space="preserve"> более широких полос</w:t>
      </w:r>
      <w:r w:rsidR="00FB416A">
        <w:rPr>
          <w:rFonts w:eastAsia="Calibri"/>
          <w:iCs/>
          <w:szCs w:val="24"/>
        </w:rPr>
        <w:t>ах</w:t>
      </w:r>
      <w:r w:rsidR="00FB416A" w:rsidRPr="00FB416A">
        <w:rPr>
          <w:rFonts w:eastAsia="Calibri"/>
          <w:iCs/>
          <w:szCs w:val="24"/>
        </w:rPr>
        <w:t xml:space="preserve"> пропускания каналов.</w:t>
      </w:r>
    </w:p>
    <w:p w14:paraId="7E53FC72" w14:textId="05F7C217" w:rsidR="00FB416A" w:rsidRPr="00657388" w:rsidRDefault="00A0298D" w:rsidP="00A0298D">
      <w:pPr>
        <w:pStyle w:val="enumlev1"/>
        <w:rPr>
          <w:rFonts w:eastAsia="Malgun Gothic"/>
          <w:iCs/>
          <w:szCs w:val="24"/>
          <w:lang w:eastAsia="ko-KR"/>
        </w:rPr>
      </w:pPr>
      <w:r w:rsidRPr="00FB416A">
        <w:rPr>
          <w:rFonts w:eastAsia="Malgun Gothic"/>
          <w:iCs/>
          <w:szCs w:val="24"/>
          <w:lang w:eastAsia="ko-KR"/>
        </w:rPr>
        <w:t>10)</w:t>
      </w:r>
      <w:r w:rsidRPr="00FB416A">
        <w:rPr>
          <w:rFonts w:eastAsia="Malgun Gothic"/>
          <w:iCs/>
          <w:szCs w:val="24"/>
          <w:lang w:eastAsia="ko-KR"/>
        </w:rPr>
        <w:tab/>
      </w:r>
      <w:r w:rsidR="00FB416A" w:rsidRPr="00FB416A">
        <w:rPr>
          <w:rFonts w:eastAsia="Malgun Gothic"/>
          <w:iCs/>
          <w:szCs w:val="24"/>
          <w:lang w:eastAsia="ko-KR"/>
        </w:rPr>
        <w:t>МСЭ-</w:t>
      </w:r>
      <w:r w:rsidR="00FB416A">
        <w:rPr>
          <w:rFonts w:eastAsia="Malgun Gothic"/>
          <w:iCs/>
          <w:szCs w:val="24"/>
          <w:lang w:val="en-US" w:eastAsia="ko-KR"/>
        </w:rPr>
        <w:t>R</w:t>
      </w:r>
      <w:r w:rsidR="00FB416A" w:rsidRPr="00FB416A">
        <w:rPr>
          <w:rFonts w:eastAsia="Malgun Gothic"/>
          <w:iCs/>
          <w:szCs w:val="24"/>
          <w:lang w:eastAsia="ko-KR"/>
        </w:rPr>
        <w:t xml:space="preserve">, </w:t>
      </w:r>
      <w:r w:rsidR="00FB416A">
        <w:rPr>
          <w:rFonts w:eastAsia="Malgun Gothic"/>
          <w:iCs/>
          <w:szCs w:val="24"/>
          <w:lang w:eastAsia="ko-KR"/>
        </w:rPr>
        <w:t>стараясь извлекать</w:t>
      </w:r>
      <w:r w:rsidR="00FB416A" w:rsidRPr="00FB416A">
        <w:rPr>
          <w:rFonts w:eastAsia="Malgun Gothic"/>
          <w:iCs/>
          <w:szCs w:val="24"/>
          <w:lang w:eastAsia="ko-KR"/>
        </w:rPr>
        <w:t xml:space="preserve"> максимальн</w:t>
      </w:r>
      <w:r w:rsidR="00FB416A">
        <w:rPr>
          <w:rFonts w:eastAsia="Malgun Gothic"/>
          <w:iCs/>
          <w:szCs w:val="24"/>
          <w:lang w:eastAsia="ko-KR"/>
        </w:rPr>
        <w:t xml:space="preserve">ые </w:t>
      </w:r>
      <w:r w:rsidR="00FB416A" w:rsidRPr="00FB416A">
        <w:rPr>
          <w:rFonts w:eastAsia="Malgun Gothic"/>
          <w:iCs/>
          <w:szCs w:val="24"/>
          <w:lang w:eastAsia="ko-KR"/>
        </w:rPr>
        <w:t>преимуществ</w:t>
      </w:r>
      <w:r w:rsidR="00FB416A">
        <w:rPr>
          <w:rFonts w:eastAsia="Malgun Gothic"/>
          <w:iCs/>
          <w:szCs w:val="24"/>
          <w:lang w:eastAsia="ko-KR"/>
        </w:rPr>
        <w:t>а</w:t>
      </w:r>
      <w:r w:rsidR="00FB416A" w:rsidRPr="00FB416A">
        <w:rPr>
          <w:rFonts w:eastAsia="Malgun Gothic"/>
          <w:iCs/>
          <w:szCs w:val="24"/>
          <w:lang w:eastAsia="ko-KR"/>
        </w:rPr>
        <w:t xml:space="preserve"> </w:t>
      </w:r>
      <w:r w:rsidR="00FB416A">
        <w:rPr>
          <w:rFonts w:eastAsia="Malgun Gothic"/>
          <w:iCs/>
          <w:szCs w:val="24"/>
          <w:lang w:eastAsia="ko-KR"/>
        </w:rPr>
        <w:t xml:space="preserve">из </w:t>
      </w:r>
      <w:r w:rsidR="00FB416A" w:rsidRPr="00FB416A">
        <w:rPr>
          <w:rFonts w:eastAsia="Malgun Gothic"/>
          <w:iCs/>
          <w:szCs w:val="24"/>
          <w:lang w:eastAsia="ko-KR"/>
        </w:rPr>
        <w:t>использовани</w:t>
      </w:r>
      <w:r w:rsidR="00FB416A">
        <w:rPr>
          <w:rFonts w:eastAsia="Malgun Gothic"/>
          <w:iCs/>
          <w:szCs w:val="24"/>
          <w:lang w:eastAsia="ko-KR"/>
        </w:rPr>
        <w:t xml:space="preserve">я </w:t>
      </w:r>
      <w:r w:rsidR="00FB416A" w:rsidRPr="00FB416A">
        <w:rPr>
          <w:rFonts w:eastAsia="Malgun Gothic"/>
          <w:iCs/>
          <w:szCs w:val="24"/>
          <w:lang w:eastAsia="ko-KR"/>
        </w:rPr>
        <w:t xml:space="preserve">спектра, работает над пересмотром Рекомендации </w:t>
      </w:r>
      <w:r w:rsidR="00FB416A">
        <w:rPr>
          <w:rFonts w:eastAsia="Malgun Gothic"/>
          <w:iCs/>
          <w:szCs w:val="24"/>
          <w:lang w:eastAsia="ko-KR"/>
        </w:rPr>
        <w:t>МСЭ</w:t>
      </w:r>
      <w:r w:rsidR="00FB416A" w:rsidRPr="00FB416A">
        <w:rPr>
          <w:rFonts w:eastAsia="Malgun Gothic"/>
          <w:iCs/>
          <w:szCs w:val="24"/>
          <w:lang w:eastAsia="ko-KR"/>
        </w:rPr>
        <w:t>-</w:t>
      </w:r>
      <w:r w:rsidR="00FB416A">
        <w:rPr>
          <w:rFonts w:eastAsia="Malgun Gothic"/>
          <w:iCs/>
          <w:szCs w:val="24"/>
          <w:lang w:val="en-US" w:eastAsia="ko-KR"/>
        </w:rPr>
        <w:t>R</w:t>
      </w:r>
      <w:r w:rsidR="00FB416A" w:rsidRPr="00FB416A">
        <w:rPr>
          <w:rFonts w:eastAsia="Malgun Gothic"/>
          <w:iCs/>
          <w:szCs w:val="24"/>
          <w:lang w:eastAsia="ko-KR"/>
        </w:rPr>
        <w:t xml:space="preserve"> </w:t>
      </w:r>
      <w:r w:rsidR="00FB416A">
        <w:rPr>
          <w:rFonts w:eastAsia="Malgun Gothic"/>
          <w:iCs/>
          <w:szCs w:val="24"/>
          <w:lang w:val="en-US" w:eastAsia="ko-KR"/>
        </w:rPr>
        <w:t>M</w:t>
      </w:r>
      <w:r w:rsidR="00FB416A" w:rsidRPr="00FB416A">
        <w:rPr>
          <w:rFonts w:eastAsia="Malgun Gothic"/>
          <w:iCs/>
          <w:szCs w:val="24"/>
          <w:lang w:eastAsia="ko-KR"/>
        </w:rPr>
        <w:t>.1801-2 "</w:t>
      </w:r>
      <w:r w:rsidR="00FB416A" w:rsidRPr="00FB416A">
        <w:rPr>
          <w:rFonts w:eastAsia="Batang"/>
        </w:rPr>
        <w:t>Стандарты радиоинтерфейс</w:t>
      </w:r>
      <w:r w:rsidR="00657388">
        <w:rPr>
          <w:rFonts w:eastAsia="Batang"/>
        </w:rPr>
        <w:t>а</w:t>
      </w:r>
      <w:r w:rsidR="00FB416A" w:rsidRPr="00FB416A">
        <w:rPr>
          <w:rFonts w:eastAsia="Batang"/>
        </w:rPr>
        <w:t xml:space="preserve"> для систем широкополосного беспроводного доступа</w:t>
      </w:r>
      <w:r w:rsidR="00657388">
        <w:rPr>
          <w:rFonts w:eastAsia="Batang"/>
        </w:rPr>
        <w:t xml:space="preserve"> </w:t>
      </w:r>
      <w:r w:rsidR="00657388" w:rsidRPr="00657388">
        <w:rPr>
          <w:rFonts w:eastAsia="Batang"/>
        </w:rPr>
        <w:t>подвижной службы, включая мобильные и кочевые применения</w:t>
      </w:r>
      <w:r w:rsidR="00FB416A" w:rsidRPr="00FB416A">
        <w:rPr>
          <w:rFonts w:eastAsia="Batang"/>
        </w:rPr>
        <w:t xml:space="preserve">". В настоящем пересмотре отражены усилия по определению наиболее подходящих стандартов для поддержки </w:t>
      </w:r>
      <w:r w:rsidR="00657388">
        <w:rPr>
          <w:rFonts w:eastAsia="Batang"/>
        </w:rPr>
        <w:t>обширного</w:t>
      </w:r>
      <w:r w:rsidR="00FB416A" w:rsidRPr="00FB416A">
        <w:rPr>
          <w:rFonts w:eastAsia="Batang"/>
        </w:rPr>
        <w:t xml:space="preserve"> диапазона данных широкополосного интернета и данных</w:t>
      </w:r>
      <w:r w:rsidR="00657388">
        <w:rPr>
          <w:rFonts w:eastAsia="Batang"/>
        </w:rPr>
        <w:t>, получаемых</w:t>
      </w:r>
      <w:r w:rsidR="00FB416A" w:rsidRPr="00FB416A">
        <w:rPr>
          <w:rFonts w:eastAsia="Batang"/>
        </w:rPr>
        <w:t xml:space="preserve"> в реальном времени</w:t>
      </w:r>
      <w:r w:rsidR="00657388">
        <w:rPr>
          <w:rFonts w:eastAsia="Batang"/>
        </w:rPr>
        <w:t>,</w:t>
      </w:r>
      <w:r w:rsidR="00FB416A" w:rsidRPr="00FB416A">
        <w:rPr>
          <w:rFonts w:eastAsia="Batang"/>
        </w:rPr>
        <w:t xml:space="preserve"> для городских, пригородных и сельских районов с определением систем широкополосного беспроводного доступа в рамках подвижной службы в верхн</w:t>
      </w:r>
      <w:r w:rsidR="00657388">
        <w:rPr>
          <w:rFonts w:eastAsia="Batang"/>
        </w:rPr>
        <w:t xml:space="preserve">ей части </w:t>
      </w:r>
      <w:r w:rsidR="00B306F6">
        <w:rPr>
          <w:rFonts w:eastAsia="Batang"/>
        </w:rPr>
        <w:t xml:space="preserve">полосы </w:t>
      </w:r>
      <w:r w:rsidR="00FB416A" w:rsidRPr="00FB416A">
        <w:rPr>
          <w:rFonts w:eastAsia="Batang"/>
        </w:rPr>
        <w:t xml:space="preserve">6 </w:t>
      </w:r>
      <w:r w:rsidR="00FB416A">
        <w:rPr>
          <w:rFonts w:eastAsia="Batang"/>
        </w:rPr>
        <w:t>ГГц</w:t>
      </w:r>
      <w:r w:rsidR="00FB416A" w:rsidRPr="00657388">
        <w:rPr>
          <w:rFonts w:eastAsia="Batang"/>
        </w:rPr>
        <w:t>.</w:t>
      </w:r>
    </w:p>
    <w:p w14:paraId="64EF4AB9" w14:textId="7F098750" w:rsidR="00657388" w:rsidRPr="00657388" w:rsidRDefault="00A0298D" w:rsidP="00657388">
      <w:pPr>
        <w:pStyle w:val="enumlev1"/>
        <w:rPr>
          <w:rFonts w:eastAsia="Calibri"/>
          <w:iCs/>
          <w:szCs w:val="24"/>
        </w:rPr>
      </w:pPr>
      <w:r w:rsidRPr="00657388">
        <w:rPr>
          <w:rFonts w:eastAsia="Calibri"/>
          <w:iCs/>
          <w:szCs w:val="24"/>
        </w:rPr>
        <w:t>11)</w:t>
      </w:r>
      <w:r w:rsidRPr="00657388">
        <w:rPr>
          <w:rFonts w:eastAsia="Calibri"/>
          <w:iCs/>
          <w:szCs w:val="24"/>
        </w:rPr>
        <w:tab/>
      </w:r>
      <w:r w:rsidR="00657388">
        <w:rPr>
          <w:rFonts w:eastAsia="Calibri"/>
          <w:iCs/>
          <w:szCs w:val="24"/>
        </w:rPr>
        <w:t>Ч</w:t>
      </w:r>
      <w:r w:rsidR="00657388" w:rsidRPr="00657388">
        <w:rPr>
          <w:rFonts w:eastAsia="Calibri"/>
          <w:iCs/>
          <w:szCs w:val="24"/>
        </w:rPr>
        <w:t xml:space="preserve">то в решениях, принятых на ВКР-23, должны учитываться </w:t>
      </w:r>
      <w:r w:rsidR="00657388">
        <w:rPr>
          <w:rFonts w:eastAsia="Calibri"/>
          <w:iCs/>
          <w:szCs w:val="24"/>
        </w:rPr>
        <w:t xml:space="preserve">следующие </w:t>
      </w:r>
      <w:r w:rsidR="00657388" w:rsidRPr="00657388">
        <w:rPr>
          <w:rFonts w:eastAsia="Calibri"/>
          <w:iCs/>
          <w:szCs w:val="24"/>
        </w:rPr>
        <w:t xml:space="preserve">принципы, изложенные в </w:t>
      </w:r>
      <w:r w:rsidR="00657388">
        <w:rPr>
          <w:rFonts w:eastAsia="Calibri"/>
          <w:iCs/>
          <w:szCs w:val="24"/>
        </w:rPr>
        <w:t>Рекомендации</w:t>
      </w:r>
      <w:r w:rsidR="00657388" w:rsidRPr="00657388">
        <w:rPr>
          <w:rFonts w:eastAsia="Calibri"/>
          <w:iCs/>
          <w:szCs w:val="24"/>
        </w:rPr>
        <w:t xml:space="preserve"> </w:t>
      </w:r>
      <w:r w:rsidR="00657388" w:rsidRPr="00657388">
        <w:rPr>
          <w:rFonts w:eastAsia="Calibri"/>
          <w:b/>
          <w:bCs/>
          <w:iCs/>
          <w:szCs w:val="24"/>
        </w:rPr>
        <w:t xml:space="preserve">34 </w:t>
      </w:r>
      <w:r w:rsidR="00657388" w:rsidRPr="00657388">
        <w:rPr>
          <w:b/>
          <w:bCs/>
          <w:lang w:eastAsia="en-GB"/>
        </w:rPr>
        <w:t>(</w:t>
      </w:r>
      <w:r w:rsidR="00657388">
        <w:rPr>
          <w:b/>
          <w:bCs/>
          <w:lang w:eastAsia="en-GB"/>
        </w:rPr>
        <w:t>Пересм</w:t>
      </w:r>
      <w:r w:rsidR="00657388" w:rsidRPr="00657388">
        <w:rPr>
          <w:b/>
          <w:bCs/>
          <w:lang w:eastAsia="en-GB"/>
        </w:rPr>
        <w:t xml:space="preserve">. </w:t>
      </w:r>
      <w:r w:rsidR="00657388">
        <w:rPr>
          <w:b/>
          <w:bCs/>
          <w:lang w:eastAsia="en-GB"/>
        </w:rPr>
        <w:t>ВКР</w:t>
      </w:r>
      <w:r w:rsidR="00657388" w:rsidRPr="00657388">
        <w:rPr>
          <w:b/>
          <w:bCs/>
          <w:lang w:eastAsia="en-GB"/>
        </w:rPr>
        <w:t>-12)</w:t>
      </w:r>
      <w:r w:rsidR="00657388" w:rsidRPr="00657388">
        <w:rPr>
          <w:lang w:eastAsia="en-GB"/>
        </w:rPr>
        <w:t xml:space="preserve"> </w:t>
      </w:r>
      <w:r w:rsidR="00657388" w:rsidRPr="00657388">
        <w:rPr>
          <w:rFonts w:eastAsia="Calibri"/>
          <w:iCs/>
          <w:szCs w:val="24"/>
        </w:rPr>
        <w:t>"</w:t>
      </w:r>
      <w:r w:rsidR="00657388">
        <w:rPr>
          <w:rFonts w:eastAsia="Calibri"/>
          <w:iCs/>
          <w:szCs w:val="24"/>
        </w:rPr>
        <w:t>Принципы</w:t>
      </w:r>
      <w:r w:rsidR="00657388" w:rsidRPr="00657388">
        <w:rPr>
          <w:rFonts w:eastAsia="Calibri"/>
          <w:iCs/>
          <w:szCs w:val="24"/>
        </w:rPr>
        <w:t xml:space="preserve"> </w:t>
      </w:r>
      <w:r w:rsidR="00657388">
        <w:rPr>
          <w:rFonts w:eastAsia="Calibri"/>
          <w:iCs/>
          <w:szCs w:val="24"/>
        </w:rPr>
        <w:t>распределения</w:t>
      </w:r>
      <w:r w:rsidR="00657388" w:rsidRPr="00657388">
        <w:rPr>
          <w:rFonts w:eastAsia="Calibri"/>
          <w:iCs/>
          <w:szCs w:val="24"/>
        </w:rPr>
        <w:t xml:space="preserve"> </w:t>
      </w:r>
      <w:r w:rsidR="00657388">
        <w:rPr>
          <w:rFonts w:eastAsia="Calibri"/>
          <w:iCs/>
          <w:szCs w:val="24"/>
        </w:rPr>
        <w:t>полос</w:t>
      </w:r>
      <w:r w:rsidR="00657388" w:rsidRPr="00657388">
        <w:rPr>
          <w:rFonts w:eastAsia="Calibri"/>
          <w:iCs/>
          <w:szCs w:val="24"/>
        </w:rPr>
        <w:t xml:space="preserve"> </w:t>
      </w:r>
      <w:r w:rsidR="00657388">
        <w:rPr>
          <w:rFonts w:eastAsia="Calibri"/>
          <w:iCs/>
          <w:szCs w:val="24"/>
        </w:rPr>
        <w:t>частот</w:t>
      </w:r>
      <w:r w:rsidR="00657388" w:rsidRPr="00657388">
        <w:rPr>
          <w:rFonts w:eastAsia="Calibri"/>
          <w:iCs/>
          <w:szCs w:val="24"/>
        </w:rPr>
        <w:t>"</w:t>
      </w:r>
      <w:r w:rsidR="00657388">
        <w:rPr>
          <w:rFonts w:eastAsia="Calibri"/>
          <w:iCs/>
          <w:szCs w:val="24"/>
        </w:rPr>
        <w:t>:</w:t>
      </w:r>
    </w:p>
    <w:p w14:paraId="28D176BB" w14:textId="38D1D543" w:rsidR="00A0298D" w:rsidRPr="00005974" w:rsidRDefault="00A0298D" w:rsidP="00A0298D">
      <w:pPr>
        <w:rPr>
          <w:rFonts w:eastAsia="Calibri"/>
          <w:i/>
          <w:iCs/>
        </w:rPr>
      </w:pPr>
      <w:r w:rsidRPr="00C91213">
        <w:rPr>
          <w:rFonts w:eastAsia="Calibri"/>
          <w:i/>
          <w:iCs/>
        </w:rPr>
        <w:tab/>
      </w:r>
      <w:r w:rsidR="00286FB8">
        <w:rPr>
          <w:rFonts w:eastAsia="Calibri"/>
        </w:rPr>
        <w:t>"</w:t>
      </w:r>
      <w:r w:rsidRPr="00005974">
        <w:rPr>
          <w:rFonts w:eastAsia="Calibri"/>
          <w:i/>
          <w:iCs/>
        </w:rPr>
        <w:t>(…)</w:t>
      </w:r>
    </w:p>
    <w:p w14:paraId="06C4B35D" w14:textId="13C2B9EF" w:rsidR="00A0298D" w:rsidRPr="00C91213" w:rsidRDefault="00A0298D" w:rsidP="00A0298D">
      <w:pPr>
        <w:rPr>
          <w:rFonts w:eastAsia="Calibri"/>
          <w:i/>
          <w:iCs/>
        </w:rPr>
      </w:pPr>
      <w:r w:rsidRPr="00005974">
        <w:rPr>
          <w:rFonts w:eastAsia="Calibri"/>
          <w:i/>
          <w:iCs/>
        </w:rPr>
        <w:tab/>
      </w:r>
      <w:r w:rsidR="00C91213">
        <w:rPr>
          <w:rFonts w:eastAsia="Calibri"/>
          <w:i/>
          <w:iCs/>
        </w:rPr>
        <w:t>рекомендует, чтобы будущие всемирные конференции радиосвязи</w:t>
      </w:r>
      <w:r w:rsidRPr="00C91213">
        <w:rPr>
          <w:rFonts w:eastAsia="Calibri"/>
          <w:i/>
          <w:iCs/>
        </w:rPr>
        <w:t xml:space="preserve"> </w:t>
      </w:r>
    </w:p>
    <w:p w14:paraId="43219894" w14:textId="525DA46E" w:rsidR="00A0298D" w:rsidRPr="00C91213" w:rsidRDefault="00A0298D" w:rsidP="00A0298D">
      <w:pPr>
        <w:ind w:left="1134" w:hanging="1134"/>
        <w:rPr>
          <w:rFonts w:eastAsia="Batang"/>
          <w:i/>
          <w:iCs/>
        </w:rPr>
      </w:pPr>
      <w:r w:rsidRPr="00C91213">
        <w:rPr>
          <w:rFonts w:eastAsia="Batang"/>
          <w:i/>
          <w:iCs/>
        </w:rPr>
        <w:tab/>
        <w:t>1</w:t>
      </w:r>
      <w:r w:rsidRPr="00C91213">
        <w:rPr>
          <w:rFonts w:eastAsia="Batang"/>
          <w:i/>
          <w:iCs/>
        </w:rPr>
        <w:tab/>
      </w:r>
      <w:r w:rsidR="00C91213">
        <w:rPr>
          <w:rFonts w:eastAsia="Batang"/>
          <w:i/>
          <w:iCs/>
        </w:rPr>
        <w:t>по возможности распределяли полосы частот наиболее широко определенным службам для предоставления администрациям максимальной гибкости в использовании спектра, учитывая вопросы безопасности, технические, эксплуатационные, экономические и другие соответствующие факторы;</w:t>
      </w:r>
    </w:p>
    <w:p w14:paraId="7AE73C88" w14:textId="77777777" w:rsidR="00A0298D" w:rsidRPr="00005974" w:rsidRDefault="00A0298D" w:rsidP="00A0298D">
      <w:pPr>
        <w:rPr>
          <w:rFonts w:eastAsia="Batang"/>
          <w:i/>
          <w:iCs/>
        </w:rPr>
      </w:pPr>
      <w:r w:rsidRPr="00C91213">
        <w:rPr>
          <w:rFonts w:eastAsia="Batang"/>
          <w:i/>
          <w:iCs/>
        </w:rPr>
        <w:tab/>
      </w:r>
      <w:r w:rsidRPr="00005974">
        <w:rPr>
          <w:rFonts w:eastAsia="Batang"/>
          <w:i/>
          <w:iCs/>
        </w:rPr>
        <w:t>(…)</w:t>
      </w:r>
    </w:p>
    <w:p w14:paraId="140A1449" w14:textId="06E504EE" w:rsidR="00A0298D" w:rsidRPr="00C91213" w:rsidRDefault="00A0298D" w:rsidP="00A0298D">
      <w:pPr>
        <w:ind w:left="1134" w:hanging="1134"/>
        <w:rPr>
          <w:rFonts w:eastAsia="Batang"/>
          <w:i/>
          <w:iCs/>
        </w:rPr>
      </w:pPr>
      <w:r w:rsidRPr="00005974">
        <w:rPr>
          <w:rFonts w:eastAsia="Batang"/>
          <w:i/>
          <w:iCs/>
        </w:rPr>
        <w:tab/>
      </w:r>
      <w:r w:rsidRPr="00C91213">
        <w:rPr>
          <w:rFonts w:eastAsia="Batang"/>
          <w:i/>
          <w:iCs/>
        </w:rPr>
        <w:t>4</w:t>
      </w:r>
      <w:r w:rsidRPr="00C91213">
        <w:rPr>
          <w:rFonts w:eastAsia="Batang"/>
          <w:i/>
          <w:iCs/>
        </w:rPr>
        <w:tab/>
      </w:r>
      <w:r w:rsidR="00C91213">
        <w:rPr>
          <w:rFonts w:eastAsia="Batang"/>
          <w:i/>
          <w:iCs/>
        </w:rPr>
        <w:t>учитывали соответствующие исследования Сектора радиосвязи и отчет(ы) соответствующего(их) Подготовительного(ых</w:t>
      </w:r>
      <w:r w:rsidR="00286FB8">
        <w:rPr>
          <w:rFonts w:eastAsia="Batang"/>
          <w:i/>
          <w:iCs/>
        </w:rPr>
        <w:t>)</w:t>
      </w:r>
      <w:r w:rsidR="00C91213">
        <w:rPr>
          <w:rFonts w:eastAsia="Batang"/>
          <w:i/>
          <w:iCs/>
        </w:rPr>
        <w:t xml:space="preserve"> собрания(й) к конференции(ям) (ПСК), в зависимости от случая, рассматривая также вклады членов Союза, включая технические и эксплуатационные достижения, прогнозы и использования в соответствии с повесткой дня ВКР</w:t>
      </w:r>
      <w:r w:rsidRPr="00C91213">
        <w:rPr>
          <w:rFonts w:eastAsia="Batang"/>
          <w:i/>
          <w:iCs/>
        </w:rPr>
        <w:t>,</w:t>
      </w:r>
    </w:p>
    <w:p w14:paraId="61B8F721" w14:textId="77777777" w:rsidR="00A0298D" w:rsidRPr="00005974" w:rsidRDefault="00A0298D" w:rsidP="00A0298D">
      <w:pPr>
        <w:rPr>
          <w:rFonts w:eastAsia="Batang"/>
          <w:i/>
          <w:iCs/>
        </w:rPr>
      </w:pPr>
      <w:r w:rsidRPr="00C91213">
        <w:rPr>
          <w:rFonts w:eastAsia="Batang"/>
          <w:i/>
          <w:iCs/>
        </w:rPr>
        <w:tab/>
      </w:r>
      <w:r w:rsidRPr="00005974">
        <w:rPr>
          <w:rFonts w:eastAsia="Batang"/>
          <w:i/>
          <w:iCs/>
        </w:rPr>
        <w:t>(…)</w:t>
      </w:r>
    </w:p>
    <w:p w14:paraId="0FED9930" w14:textId="4740AE11" w:rsidR="00A0298D" w:rsidRPr="00286FB8" w:rsidRDefault="00A0298D" w:rsidP="00A0298D">
      <w:pPr>
        <w:ind w:left="1134" w:hanging="1134"/>
        <w:rPr>
          <w:rFonts w:eastAsia="Batang"/>
          <w:i/>
          <w:iCs/>
        </w:rPr>
      </w:pPr>
      <w:r w:rsidRPr="00005974">
        <w:rPr>
          <w:rFonts w:eastAsia="Batang"/>
          <w:i/>
          <w:iCs/>
        </w:rPr>
        <w:tab/>
      </w:r>
      <w:r w:rsidR="00286FB8">
        <w:rPr>
          <w:rFonts w:eastAsia="Batang"/>
          <w:i/>
          <w:iCs/>
        </w:rPr>
        <w:t>поручает Директору Бюро радиосвязи и просит исследовательские комиссии МСЭ-</w:t>
      </w:r>
      <w:r w:rsidR="00286FB8">
        <w:rPr>
          <w:rFonts w:eastAsia="Batang"/>
          <w:i/>
          <w:iCs/>
          <w:lang w:val="en-US"/>
        </w:rPr>
        <w:t>R</w:t>
      </w:r>
    </w:p>
    <w:p w14:paraId="291A8501" w14:textId="77777777" w:rsidR="00A0298D" w:rsidRPr="00005974" w:rsidRDefault="00A0298D" w:rsidP="00A0298D">
      <w:pPr>
        <w:rPr>
          <w:rFonts w:eastAsia="Batang"/>
          <w:i/>
          <w:iCs/>
        </w:rPr>
      </w:pPr>
      <w:r w:rsidRPr="00286FB8">
        <w:rPr>
          <w:rFonts w:eastAsia="Batang"/>
          <w:i/>
          <w:iCs/>
        </w:rPr>
        <w:tab/>
      </w:r>
      <w:r w:rsidRPr="00005974">
        <w:rPr>
          <w:rFonts w:eastAsia="Batang"/>
          <w:i/>
          <w:iCs/>
        </w:rPr>
        <w:t>(…)</w:t>
      </w:r>
    </w:p>
    <w:p w14:paraId="796D4489" w14:textId="0CE4E511" w:rsidR="00A0298D" w:rsidRPr="00286FB8" w:rsidRDefault="00A0298D" w:rsidP="00A0298D">
      <w:pPr>
        <w:ind w:left="1134" w:hanging="1134"/>
        <w:rPr>
          <w:rFonts w:eastAsia="Batang"/>
          <w:i/>
          <w:iCs/>
        </w:rPr>
      </w:pPr>
      <w:r w:rsidRPr="00005974">
        <w:rPr>
          <w:rFonts w:eastAsia="Batang"/>
          <w:i/>
          <w:iCs/>
        </w:rPr>
        <w:tab/>
      </w:r>
      <w:r w:rsidRPr="00286FB8">
        <w:rPr>
          <w:rFonts w:eastAsia="Batang"/>
          <w:i/>
          <w:iCs/>
        </w:rPr>
        <w:t>2</w:t>
      </w:r>
      <w:r w:rsidRPr="00286FB8">
        <w:rPr>
          <w:rFonts w:eastAsia="Batang"/>
          <w:i/>
          <w:iCs/>
        </w:rPr>
        <w:tab/>
      </w:r>
      <w:r w:rsidR="00286FB8">
        <w:rPr>
          <w:rFonts w:eastAsia="Batang"/>
          <w:i/>
          <w:iCs/>
        </w:rPr>
        <w:t>провести данные исследования при участии Международной организации гражданской авиации (ИКАО), Международной морской организации (ИМО), Всемирной метеорологической организации (ВМО) и других заинтересованных международных организаций, в зависимости от случая</w:t>
      </w:r>
      <w:r w:rsidRPr="00286FB8">
        <w:rPr>
          <w:rFonts w:eastAsia="Batang"/>
          <w:i/>
          <w:iCs/>
        </w:rPr>
        <w:t>;</w:t>
      </w:r>
      <w:r w:rsidR="00286FB8" w:rsidRPr="00286FB8">
        <w:rPr>
          <w:rFonts w:eastAsia="Batang"/>
        </w:rPr>
        <w:t>"</w:t>
      </w:r>
    </w:p>
    <w:p w14:paraId="2C232C14" w14:textId="034CA3CB" w:rsidR="00657388" w:rsidRPr="00657388" w:rsidRDefault="00657388" w:rsidP="00657388">
      <w:pPr>
        <w:rPr>
          <w:rFonts w:eastAsia="Calibri"/>
          <w:iCs/>
        </w:rPr>
      </w:pPr>
      <w:r w:rsidRPr="00657388">
        <w:rPr>
          <w:rFonts w:eastAsia="Batang"/>
        </w:rPr>
        <w:t>В связи с вышеприведенным</w:t>
      </w:r>
      <w:r>
        <w:rPr>
          <w:rFonts w:eastAsia="Batang"/>
        </w:rPr>
        <w:t xml:space="preserve">и аргументами </w:t>
      </w:r>
      <w:r w:rsidRPr="00657388">
        <w:rPr>
          <w:rFonts w:eastAsia="Batang"/>
        </w:rPr>
        <w:t>подпис</w:t>
      </w:r>
      <w:r>
        <w:rPr>
          <w:rFonts w:eastAsia="Batang"/>
        </w:rPr>
        <w:t xml:space="preserve">авшие настоящий вклад </w:t>
      </w:r>
      <w:r w:rsidRPr="00657388">
        <w:rPr>
          <w:rFonts w:eastAsia="Batang"/>
        </w:rPr>
        <w:t xml:space="preserve">администрации поддерживают </w:t>
      </w:r>
      <w:r>
        <w:rPr>
          <w:rFonts w:eastAsia="Batang"/>
        </w:rPr>
        <w:t>М</w:t>
      </w:r>
      <w:r w:rsidRPr="00657388">
        <w:rPr>
          <w:rFonts w:eastAsia="Batang"/>
        </w:rPr>
        <w:t>етоды 4</w:t>
      </w:r>
      <w:r>
        <w:rPr>
          <w:rFonts w:eastAsia="Batang"/>
          <w:lang w:val="en-GB"/>
        </w:rPr>
        <w:t>A</w:t>
      </w:r>
      <w:r w:rsidRPr="00657388">
        <w:rPr>
          <w:rFonts w:eastAsia="Batang"/>
        </w:rPr>
        <w:t xml:space="preserve"> и 5</w:t>
      </w:r>
      <w:r>
        <w:rPr>
          <w:rFonts w:eastAsia="Batang"/>
          <w:lang w:val="en-GB"/>
        </w:rPr>
        <w:t>A</w:t>
      </w:r>
      <w:r w:rsidRPr="00657388">
        <w:rPr>
          <w:rFonts w:eastAsia="Batang"/>
        </w:rPr>
        <w:t xml:space="preserve"> без изменений</w:t>
      </w:r>
      <w:r>
        <w:rPr>
          <w:rFonts w:eastAsia="Batang"/>
        </w:rPr>
        <w:t xml:space="preserve"> </w:t>
      </w:r>
      <w:r>
        <w:rPr>
          <w:rFonts w:eastAsia="Calibri"/>
          <w:iCs/>
        </w:rPr>
        <w:t>в отношении</w:t>
      </w:r>
      <w:r w:rsidRPr="00657388">
        <w:rPr>
          <w:rFonts w:eastAsia="Calibri"/>
          <w:iCs/>
        </w:rPr>
        <w:t xml:space="preserve"> распределени</w:t>
      </w:r>
      <w:r>
        <w:rPr>
          <w:rFonts w:eastAsia="Calibri"/>
          <w:iCs/>
        </w:rPr>
        <w:t>й</w:t>
      </w:r>
      <w:r w:rsidRPr="00657388">
        <w:rPr>
          <w:rFonts w:eastAsia="Calibri"/>
          <w:iCs/>
        </w:rPr>
        <w:t xml:space="preserve"> в полосе частот 6425−7125</w:t>
      </w:r>
      <w:r>
        <w:rPr>
          <w:rFonts w:eastAsia="Calibri"/>
          <w:iCs/>
          <w:lang w:val="en-GB"/>
        </w:rPr>
        <w:t> </w:t>
      </w:r>
      <w:r>
        <w:rPr>
          <w:rFonts w:eastAsia="Calibri"/>
          <w:iCs/>
        </w:rPr>
        <w:t>МГц</w:t>
      </w:r>
      <w:r w:rsidRPr="00657388">
        <w:rPr>
          <w:rFonts w:eastAsia="Calibri"/>
          <w:iCs/>
        </w:rPr>
        <w:t>.</w:t>
      </w:r>
    </w:p>
    <w:p w14:paraId="2EECCB42" w14:textId="55EFCE49" w:rsidR="00A0298D" w:rsidRPr="003D164E" w:rsidRDefault="00A0298D" w:rsidP="00A0298D">
      <w:pPr>
        <w:pStyle w:val="Heading1"/>
        <w:rPr>
          <w:rFonts w:eastAsia="Batang"/>
        </w:rPr>
      </w:pPr>
      <w:r w:rsidRPr="003D164E">
        <w:rPr>
          <w:rFonts w:eastAsia="Batang"/>
        </w:rPr>
        <w:t>2</w:t>
      </w:r>
      <w:r>
        <w:rPr>
          <w:rFonts w:eastAsia="Batang"/>
        </w:rPr>
        <w:tab/>
      </w:r>
      <w:r w:rsidR="00657388">
        <w:rPr>
          <w:rFonts w:eastAsia="Batang"/>
        </w:rPr>
        <w:t>Предложения</w:t>
      </w:r>
    </w:p>
    <w:p w14:paraId="4D3E5F4B" w14:textId="77777777" w:rsidR="00A0298D" w:rsidRDefault="00A0298D" w:rsidP="00A0298D"/>
    <w:p w14:paraId="6CDAA28D" w14:textId="77777777" w:rsidR="00A0298D" w:rsidRPr="003D164E" w:rsidRDefault="00A0298D" w:rsidP="00A0298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D164E">
        <w:br w:type="page"/>
      </w:r>
    </w:p>
    <w:p w14:paraId="7EAC1FC3" w14:textId="77777777" w:rsidR="00286FB8" w:rsidRPr="00624E15" w:rsidRDefault="00286FB8" w:rsidP="00FB5E69">
      <w:pPr>
        <w:pStyle w:val="ArtNo"/>
        <w:spacing w:before="0"/>
      </w:pPr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2C4B8855" w14:textId="77777777" w:rsidR="00286FB8" w:rsidRPr="00624E15" w:rsidRDefault="00286FB8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68B9EE88" w14:textId="77777777" w:rsidR="00286FB8" w:rsidRPr="00624E15" w:rsidRDefault="00286FB8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4000C673" w14:textId="77777777" w:rsidR="00505391" w:rsidRPr="0044586A" w:rsidRDefault="00286FB8">
      <w:pPr>
        <w:pStyle w:val="Proposal"/>
        <w:rPr>
          <w:lang w:val="en-GB"/>
        </w:rPr>
      </w:pPr>
      <w:r w:rsidRPr="0044586A">
        <w:rPr>
          <w:u w:val="single"/>
          <w:lang w:val="en-GB"/>
        </w:rPr>
        <w:t>NOC</w:t>
      </w:r>
      <w:r w:rsidRPr="0044586A">
        <w:rPr>
          <w:lang w:val="en-GB"/>
        </w:rPr>
        <w:tab/>
        <w:t>ARS/LBY/QAT/SOM/173/1</w:t>
      </w:r>
    </w:p>
    <w:p w14:paraId="78CA0AF5" w14:textId="77777777" w:rsidR="00286FB8" w:rsidRPr="00624E15" w:rsidRDefault="00286FB8" w:rsidP="00FB5E69">
      <w:pPr>
        <w:pStyle w:val="Tabletitle"/>
      </w:pPr>
      <w:r w:rsidRPr="00624E15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FB5E69" w:rsidRPr="00624E15" w14:paraId="50F39336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965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04D1A205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1A2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6B9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D00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5B93B6BB" w14:textId="77777777" w:rsidTr="00FB5E6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1130AA" w14:textId="77777777" w:rsidR="00286FB8" w:rsidRPr="00624E15" w:rsidRDefault="00286FB8" w:rsidP="00E06566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24E15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84CCF7" w14:textId="77777777" w:rsidR="00286FB8" w:rsidRPr="00624E15" w:rsidRDefault="00286FB8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  <w:r w:rsidRPr="00624E15">
              <w:rPr>
                <w:rStyle w:val="Artref"/>
                <w:lang w:val="ru-RU"/>
              </w:rPr>
              <w:t xml:space="preserve">  5.457</w:t>
            </w:r>
          </w:p>
          <w:p w14:paraId="51B7E616" w14:textId="77777777" w:rsidR="00286FB8" w:rsidRPr="00624E15" w:rsidRDefault="00286FB8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>5.457А  5.457В</w:t>
            </w:r>
          </w:p>
          <w:p w14:paraId="1702C957" w14:textId="77777777" w:rsidR="00286FB8" w:rsidRPr="00624E15" w:rsidRDefault="00286FB8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624E15">
              <w:rPr>
                <w:lang w:val="ru-RU"/>
              </w:rPr>
              <w:t xml:space="preserve">ПОДВИЖНАЯ  </w:t>
            </w:r>
            <w:r w:rsidRPr="00624E15">
              <w:rPr>
                <w:rStyle w:val="Artref"/>
                <w:lang w:val="ru-RU"/>
              </w:rPr>
              <w:t>5.457С</w:t>
            </w:r>
          </w:p>
          <w:p w14:paraId="60F2BEEF" w14:textId="77777777" w:rsidR="00286FB8" w:rsidRPr="00624E15" w:rsidRDefault="00286FB8" w:rsidP="00E06566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5.149  5.440  5.458</w:t>
            </w:r>
          </w:p>
        </w:tc>
      </w:tr>
    </w:tbl>
    <w:p w14:paraId="130C89C5" w14:textId="4F3E91A0" w:rsidR="00177DCC" w:rsidRPr="00177DCC" w:rsidRDefault="00286FB8" w:rsidP="00177DCC">
      <w:pPr>
        <w:pStyle w:val="Reasons"/>
      </w:pPr>
      <w:r>
        <w:rPr>
          <w:b/>
        </w:rPr>
        <w:t>Основания</w:t>
      </w:r>
      <w:r w:rsidRPr="00177DCC">
        <w:rPr>
          <w:bCs/>
        </w:rPr>
        <w:t>:</w:t>
      </w:r>
      <w:r w:rsidRPr="00177DCC">
        <w:tab/>
      </w:r>
      <w:r w:rsidR="00177DCC">
        <w:t xml:space="preserve">Подписавшие настоящий вклад </w:t>
      </w:r>
      <w:r w:rsidR="00177DCC">
        <w:rPr>
          <w:rFonts w:eastAsia="Batang"/>
        </w:rPr>
        <w:t>с</w:t>
      </w:r>
      <w:r w:rsidR="00177DCC" w:rsidRPr="00177DCC">
        <w:rPr>
          <w:rFonts w:eastAsia="Batang"/>
        </w:rPr>
        <w:t>тран</w:t>
      </w:r>
      <w:r w:rsidR="00177DCC">
        <w:rPr>
          <w:rFonts w:eastAsia="Batang"/>
        </w:rPr>
        <w:t>ы</w:t>
      </w:r>
      <w:r w:rsidR="00177DCC" w:rsidRPr="00177DCC">
        <w:rPr>
          <w:rFonts w:eastAsia="Batang"/>
        </w:rPr>
        <w:t xml:space="preserve"> предлагают не вносить изменений в отношении полос частот 6425−7025 и 7025−7125</w:t>
      </w:r>
      <w:r w:rsidR="00177DCC">
        <w:rPr>
          <w:rFonts w:eastAsia="Batang"/>
          <w:lang w:val="en-GB"/>
        </w:rPr>
        <w:t> </w:t>
      </w:r>
      <w:r w:rsidR="00177DCC">
        <w:rPr>
          <w:rFonts w:eastAsia="Batang"/>
        </w:rPr>
        <w:t>МГц</w:t>
      </w:r>
      <w:r w:rsidR="00177DCC" w:rsidRPr="00177DCC">
        <w:rPr>
          <w:rFonts w:eastAsia="Batang"/>
        </w:rPr>
        <w:t xml:space="preserve">. Такое решение позволило бы обеспечить защиту действующих служб и их будущее развитие, сохраняя при этом гибкость, </w:t>
      </w:r>
      <w:r w:rsidR="00FF55E8">
        <w:rPr>
          <w:rFonts w:eastAsia="Batang"/>
        </w:rPr>
        <w:t>что дает возможность</w:t>
      </w:r>
      <w:r w:rsidR="00177DCC" w:rsidRPr="00177DCC">
        <w:rPr>
          <w:rFonts w:eastAsia="Batang"/>
        </w:rPr>
        <w:t xml:space="preserve"> наилучшим образом использовать </w:t>
      </w:r>
      <w:r w:rsidR="00177DCC">
        <w:rPr>
          <w:rFonts w:eastAsia="Batang"/>
        </w:rPr>
        <w:t xml:space="preserve">эти </w:t>
      </w:r>
      <w:r w:rsidR="00177DCC" w:rsidRPr="00177DCC">
        <w:rPr>
          <w:rFonts w:eastAsia="Batang"/>
        </w:rPr>
        <w:t xml:space="preserve">полосы в рамках существующих распределений, </w:t>
      </w:r>
      <w:r w:rsidR="00FF55E8">
        <w:rPr>
          <w:rFonts w:eastAsia="Batang"/>
        </w:rPr>
        <w:t>поддерживая</w:t>
      </w:r>
      <w:r w:rsidR="00177DCC" w:rsidRPr="00177DCC">
        <w:rPr>
          <w:rFonts w:eastAsia="Batang"/>
        </w:rPr>
        <w:t xml:space="preserve"> при этом их будущее развитие.</w:t>
      </w:r>
      <w:r w:rsidR="00177DCC" w:rsidRPr="00177DCC">
        <w:rPr>
          <w:rFonts w:eastAsia="Batang"/>
        </w:rPr>
        <w:br/>
      </w:r>
      <w:r w:rsidR="00FF55E8">
        <w:rPr>
          <w:rFonts w:eastAsia="Batang"/>
        </w:rPr>
        <w:t>Аналогичным образом</w:t>
      </w:r>
      <w:r w:rsidR="00177DCC" w:rsidRPr="00177DCC">
        <w:rPr>
          <w:rFonts w:eastAsia="Batang"/>
        </w:rPr>
        <w:t xml:space="preserve">, </w:t>
      </w:r>
      <w:r w:rsidR="00FF55E8">
        <w:rPr>
          <w:rFonts w:eastAsia="Batang"/>
        </w:rPr>
        <w:t>масштабные</w:t>
      </w:r>
      <w:r w:rsidR="00177DCC" w:rsidRPr="00177DCC">
        <w:rPr>
          <w:rFonts w:eastAsia="Batang"/>
        </w:rPr>
        <w:t xml:space="preserve"> технические исследования показали, что сети </w:t>
      </w:r>
      <w:r w:rsidR="00177DCC">
        <w:rPr>
          <w:rFonts w:eastAsia="Batang"/>
          <w:lang w:val="en-GB"/>
        </w:rPr>
        <w:t>IMT</w:t>
      </w:r>
      <w:r w:rsidR="00177DCC" w:rsidRPr="00177DCC">
        <w:rPr>
          <w:rFonts w:eastAsia="Batang"/>
        </w:rPr>
        <w:t xml:space="preserve"> не могут сосуществовать с важными действующими службами в полосе частот 6425−7125</w:t>
      </w:r>
      <w:r w:rsidR="00177DCC">
        <w:rPr>
          <w:rFonts w:eastAsia="Batang"/>
          <w:lang w:val="en-GB"/>
        </w:rPr>
        <w:t> </w:t>
      </w:r>
      <w:r w:rsidR="00177DCC">
        <w:rPr>
          <w:rFonts w:eastAsia="Batang"/>
        </w:rPr>
        <w:t>МГц</w:t>
      </w:r>
      <w:r w:rsidR="00177DCC" w:rsidRPr="00177DCC">
        <w:rPr>
          <w:rFonts w:eastAsia="Batang"/>
        </w:rPr>
        <w:t xml:space="preserve">. Более широкое согласование </w:t>
      </w:r>
      <w:r w:rsidR="00177DCC">
        <w:rPr>
          <w:rFonts w:eastAsia="Batang"/>
          <w:lang w:val="en-GB"/>
        </w:rPr>
        <w:t>IMT</w:t>
      </w:r>
      <w:r w:rsidR="00177DCC" w:rsidRPr="00177DCC">
        <w:rPr>
          <w:rFonts w:eastAsia="Batang"/>
        </w:rPr>
        <w:t xml:space="preserve"> в полосе частот 6425−7125</w:t>
      </w:r>
      <w:r w:rsidR="00177DCC">
        <w:rPr>
          <w:rFonts w:eastAsia="Batang"/>
          <w:lang w:val="en-GB"/>
        </w:rPr>
        <w:t> </w:t>
      </w:r>
      <w:r w:rsidR="00177DCC">
        <w:rPr>
          <w:rFonts w:eastAsia="Batang"/>
        </w:rPr>
        <w:t>МГц</w:t>
      </w:r>
      <w:r w:rsidR="00177DCC" w:rsidRPr="00177DCC">
        <w:rPr>
          <w:rFonts w:eastAsia="Batang"/>
        </w:rPr>
        <w:t xml:space="preserve"> не представляется возможным в связи с </w:t>
      </w:r>
      <w:r w:rsidR="00177DCC">
        <w:rPr>
          <w:rFonts w:eastAsia="Batang"/>
        </w:rPr>
        <w:t>проблемами, связанными с</w:t>
      </w:r>
      <w:r w:rsidR="00177DCC" w:rsidRPr="00177DCC">
        <w:rPr>
          <w:rFonts w:eastAsia="Batang"/>
        </w:rPr>
        <w:t xml:space="preserve"> сосуществовани</w:t>
      </w:r>
      <w:r w:rsidR="00177DCC">
        <w:rPr>
          <w:rFonts w:eastAsia="Batang"/>
        </w:rPr>
        <w:t>ем,</w:t>
      </w:r>
      <w:r w:rsidR="00177DCC" w:rsidRPr="00177DCC">
        <w:rPr>
          <w:rFonts w:eastAsia="Batang"/>
        </w:rPr>
        <w:t xml:space="preserve"> и решениями ряда администраций не использовать этот спектр для развертывания сетей </w:t>
      </w:r>
      <w:r w:rsidR="00177DCC">
        <w:rPr>
          <w:rFonts w:eastAsia="Batang"/>
          <w:lang w:val="en-GB"/>
        </w:rPr>
        <w:t>IMT</w:t>
      </w:r>
      <w:r w:rsidR="00177DCC" w:rsidRPr="00177DCC">
        <w:rPr>
          <w:rFonts w:eastAsia="Batang"/>
        </w:rPr>
        <w:t xml:space="preserve">. Важно отметить, что при внедрении </w:t>
      </w:r>
      <w:r w:rsidR="00177DCC">
        <w:rPr>
          <w:rFonts w:eastAsia="Batang"/>
          <w:lang w:val="en-GB"/>
        </w:rPr>
        <w:t>IMT</w:t>
      </w:r>
      <w:r w:rsidR="00177DCC" w:rsidRPr="00177DCC">
        <w:rPr>
          <w:rFonts w:eastAsia="Batang"/>
        </w:rPr>
        <w:t xml:space="preserve"> </w:t>
      </w:r>
      <w:r w:rsidR="00177DCC">
        <w:rPr>
          <w:rFonts w:eastAsia="Batang"/>
        </w:rPr>
        <w:t>будет отсутствовать</w:t>
      </w:r>
      <w:r w:rsidR="00177DCC" w:rsidRPr="00177DCC">
        <w:rPr>
          <w:rFonts w:eastAsia="Batang"/>
        </w:rPr>
        <w:t xml:space="preserve"> экономи</w:t>
      </w:r>
      <w:r w:rsidR="00177DCC">
        <w:rPr>
          <w:rFonts w:eastAsia="Batang"/>
        </w:rPr>
        <w:t>я от</w:t>
      </w:r>
      <w:r w:rsidR="00177DCC" w:rsidRPr="00177DCC">
        <w:rPr>
          <w:rFonts w:eastAsia="Batang"/>
        </w:rPr>
        <w:t xml:space="preserve"> масштаба, необходим</w:t>
      </w:r>
      <w:r w:rsidR="00177DCC">
        <w:rPr>
          <w:rFonts w:eastAsia="Batang"/>
        </w:rPr>
        <w:t>ая</w:t>
      </w:r>
      <w:r w:rsidR="00177DCC" w:rsidRPr="00177DCC">
        <w:rPr>
          <w:rFonts w:eastAsia="Batang"/>
        </w:rPr>
        <w:t xml:space="preserve"> для </w:t>
      </w:r>
      <w:r w:rsidR="009533B3">
        <w:rPr>
          <w:rFonts w:eastAsia="Batang"/>
        </w:rPr>
        <w:t xml:space="preserve">создания </w:t>
      </w:r>
      <w:r w:rsidR="00177DCC" w:rsidRPr="00177DCC">
        <w:rPr>
          <w:rFonts w:eastAsia="Batang"/>
        </w:rPr>
        <w:t>устойчивой экосистемы оборудования и коммерческой жизнеспособности.</w:t>
      </w:r>
    </w:p>
    <w:p w14:paraId="4B55457E" w14:textId="77777777" w:rsidR="00505391" w:rsidRPr="0044586A" w:rsidRDefault="00286FB8">
      <w:pPr>
        <w:pStyle w:val="Proposal"/>
        <w:rPr>
          <w:lang w:val="en-GB"/>
        </w:rPr>
      </w:pPr>
      <w:r w:rsidRPr="0044586A">
        <w:rPr>
          <w:u w:val="single"/>
          <w:lang w:val="en-GB"/>
        </w:rPr>
        <w:t>NOC</w:t>
      </w:r>
      <w:r w:rsidRPr="0044586A">
        <w:rPr>
          <w:lang w:val="en-GB"/>
        </w:rPr>
        <w:tab/>
        <w:t>ARS/LBY/QAT/SOM/173/2</w:t>
      </w:r>
    </w:p>
    <w:p w14:paraId="2157DF59" w14:textId="77777777" w:rsidR="00286FB8" w:rsidRPr="00624E15" w:rsidRDefault="00286FB8" w:rsidP="00FB5E69">
      <w:pPr>
        <w:pStyle w:val="Tabletitle"/>
      </w:pPr>
      <w:r w:rsidRPr="00624E15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FB5E69" w:rsidRPr="00624E15" w14:paraId="40BA85CF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460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5F7A3A31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55C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81F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4F6" w14:textId="77777777" w:rsidR="00286FB8" w:rsidRPr="00624E15" w:rsidRDefault="00286FB8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0A2E2969" w14:textId="77777777" w:rsidTr="00286FB8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17480F" w14:textId="77777777" w:rsidR="00286FB8" w:rsidRPr="00624E15" w:rsidRDefault="00286FB8" w:rsidP="00FB5E69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34549E" w14:textId="77777777" w:rsidR="00286FB8" w:rsidRPr="00624E15" w:rsidRDefault="00286FB8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519F2443" w14:textId="77777777" w:rsidR="00286FB8" w:rsidRPr="00624E15" w:rsidRDefault="00286FB8" w:rsidP="00FB5E69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624E15">
              <w:rPr>
                <w:rStyle w:val="Artref"/>
                <w:lang w:val="ru-RU"/>
              </w:rPr>
              <w:t>5.441</w:t>
            </w:r>
          </w:p>
          <w:p w14:paraId="613F09B6" w14:textId="77777777" w:rsidR="00286FB8" w:rsidRPr="00624E15" w:rsidRDefault="00286FB8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14:paraId="4A64701F" w14:textId="77777777" w:rsidR="00286FB8" w:rsidRPr="00624E15" w:rsidRDefault="00286FB8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5.458  5.458A  5.458B</w:t>
            </w:r>
          </w:p>
        </w:tc>
      </w:tr>
      <w:tr w:rsidR="00FB5E69" w:rsidRPr="00624E15" w14:paraId="5404CB2F" w14:textId="77777777" w:rsidTr="00286FB8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F753F3" w14:textId="77777777" w:rsidR="00286FB8" w:rsidRPr="00624E15" w:rsidRDefault="00286FB8" w:rsidP="00FB5E69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624E15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5C4A99" w14:textId="77777777" w:rsidR="00286FB8" w:rsidRPr="00624E15" w:rsidRDefault="00286FB8" w:rsidP="00FB5E69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2DA6A7B3" w14:textId="77777777" w:rsidR="00286FB8" w:rsidRPr="00624E15" w:rsidRDefault="00286FB8" w:rsidP="00FB5E69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14:paraId="6D7C48E1" w14:textId="77777777" w:rsidR="00286FB8" w:rsidRPr="00624E15" w:rsidRDefault="00286FB8" w:rsidP="00FB5E69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7248CAF4" w14:textId="09BA96C1" w:rsidR="00505391" w:rsidRDefault="00286FB8">
      <w:pPr>
        <w:pStyle w:val="Reasons"/>
      </w:pPr>
      <w:r>
        <w:rPr>
          <w:b/>
        </w:rPr>
        <w:t>Основания</w:t>
      </w:r>
      <w:r w:rsidRPr="00286FB8">
        <w:rPr>
          <w:bCs/>
        </w:rPr>
        <w:t>:</w:t>
      </w:r>
      <w:r>
        <w:tab/>
      </w:r>
      <w:r w:rsidR="009533B3">
        <w:t xml:space="preserve">Подписавшие настоящий вклад </w:t>
      </w:r>
      <w:r w:rsidR="009533B3">
        <w:rPr>
          <w:rFonts w:eastAsia="Batang"/>
        </w:rPr>
        <w:t>с</w:t>
      </w:r>
      <w:r w:rsidR="009533B3" w:rsidRPr="00177DCC">
        <w:rPr>
          <w:rFonts w:eastAsia="Batang"/>
        </w:rPr>
        <w:t>тран</w:t>
      </w:r>
      <w:r w:rsidR="009533B3">
        <w:rPr>
          <w:rFonts w:eastAsia="Batang"/>
        </w:rPr>
        <w:t>ы</w:t>
      </w:r>
      <w:r w:rsidR="009533B3" w:rsidRPr="00177DCC">
        <w:rPr>
          <w:rFonts w:eastAsia="Batang"/>
        </w:rPr>
        <w:t xml:space="preserve"> предлагают не вносить изменений в отношении полос частот 6425−7025 и 7025−7125</w:t>
      </w:r>
      <w:r w:rsidR="009533B3">
        <w:rPr>
          <w:rFonts w:eastAsia="Batang"/>
          <w:lang w:val="en-GB"/>
        </w:rPr>
        <w:t> </w:t>
      </w:r>
      <w:r w:rsidR="009533B3">
        <w:rPr>
          <w:rFonts w:eastAsia="Batang"/>
        </w:rPr>
        <w:t>МГц</w:t>
      </w:r>
      <w:r w:rsidR="009533B3" w:rsidRPr="00177DCC">
        <w:rPr>
          <w:rFonts w:eastAsia="Batang"/>
        </w:rPr>
        <w:t xml:space="preserve">. Такое решение позволило бы обеспечить защиту действующих служб и их будущее развитие, сохраняя при этом гибкость, </w:t>
      </w:r>
      <w:r w:rsidR="00FF55E8">
        <w:rPr>
          <w:rFonts w:eastAsia="Batang"/>
        </w:rPr>
        <w:t>что дает возможность</w:t>
      </w:r>
      <w:r w:rsidR="00FF55E8" w:rsidRPr="00177DCC">
        <w:rPr>
          <w:rFonts w:eastAsia="Batang"/>
        </w:rPr>
        <w:t xml:space="preserve"> </w:t>
      </w:r>
      <w:r w:rsidR="009533B3" w:rsidRPr="00177DCC">
        <w:rPr>
          <w:rFonts w:eastAsia="Batang"/>
        </w:rPr>
        <w:t xml:space="preserve">наилучшим образом использовать </w:t>
      </w:r>
      <w:r w:rsidR="009533B3">
        <w:rPr>
          <w:rFonts w:eastAsia="Batang"/>
        </w:rPr>
        <w:t xml:space="preserve">эти </w:t>
      </w:r>
      <w:r w:rsidR="009533B3" w:rsidRPr="00177DCC">
        <w:rPr>
          <w:rFonts w:eastAsia="Batang"/>
        </w:rPr>
        <w:t xml:space="preserve">полосы в рамках существующих распределений, </w:t>
      </w:r>
      <w:r w:rsidR="00FF55E8">
        <w:rPr>
          <w:rFonts w:eastAsia="Batang"/>
        </w:rPr>
        <w:t>поддерживая</w:t>
      </w:r>
      <w:r w:rsidR="00FF55E8" w:rsidRPr="00177DCC">
        <w:rPr>
          <w:rFonts w:eastAsia="Batang"/>
        </w:rPr>
        <w:t xml:space="preserve"> </w:t>
      </w:r>
      <w:r w:rsidR="009533B3" w:rsidRPr="00177DCC">
        <w:rPr>
          <w:rFonts w:eastAsia="Batang"/>
        </w:rPr>
        <w:t>при этом их будущее развитие.</w:t>
      </w:r>
      <w:r w:rsidR="009533B3" w:rsidRPr="00177DCC">
        <w:rPr>
          <w:rFonts w:eastAsia="Batang"/>
        </w:rPr>
        <w:br/>
      </w:r>
      <w:r w:rsidR="00FF55E8">
        <w:rPr>
          <w:rFonts w:eastAsia="Batang"/>
        </w:rPr>
        <w:t>Аналогичным образом</w:t>
      </w:r>
      <w:r w:rsidR="009533B3" w:rsidRPr="00177DCC">
        <w:rPr>
          <w:rFonts w:eastAsia="Batang"/>
        </w:rPr>
        <w:t xml:space="preserve">, </w:t>
      </w:r>
      <w:r w:rsidR="00FF55E8">
        <w:rPr>
          <w:rFonts w:eastAsia="Batang"/>
        </w:rPr>
        <w:t>масштабные</w:t>
      </w:r>
      <w:r w:rsidR="00FF55E8" w:rsidRPr="00177DCC">
        <w:rPr>
          <w:rFonts w:eastAsia="Batang"/>
        </w:rPr>
        <w:t xml:space="preserve"> </w:t>
      </w:r>
      <w:r w:rsidR="009533B3" w:rsidRPr="00177DCC">
        <w:rPr>
          <w:rFonts w:eastAsia="Batang"/>
        </w:rPr>
        <w:t xml:space="preserve">технические исследования показали, что сети </w:t>
      </w:r>
      <w:r w:rsidR="009533B3">
        <w:rPr>
          <w:rFonts w:eastAsia="Batang"/>
          <w:lang w:val="en-GB"/>
        </w:rPr>
        <w:t>IMT</w:t>
      </w:r>
      <w:r w:rsidR="009533B3" w:rsidRPr="00177DCC">
        <w:rPr>
          <w:rFonts w:eastAsia="Batang"/>
        </w:rPr>
        <w:t xml:space="preserve"> не могут сосуществовать с важными действующими службами в полосе частот 6425−7125</w:t>
      </w:r>
      <w:r w:rsidR="009533B3">
        <w:rPr>
          <w:rFonts w:eastAsia="Batang"/>
          <w:lang w:val="en-GB"/>
        </w:rPr>
        <w:t> </w:t>
      </w:r>
      <w:r w:rsidR="009533B3">
        <w:rPr>
          <w:rFonts w:eastAsia="Batang"/>
        </w:rPr>
        <w:t>МГц</w:t>
      </w:r>
      <w:r w:rsidR="009533B3" w:rsidRPr="00177DCC">
        <w:rPr>
          <w:rFonts w:eastAsia="Batang"/>
        </w:rPr>
        <w:t xml:space="preserve">. Более широкое согласование </w:t>
      </w:r>
      <w:r w:rsidR="009533B3">
        <w:rPr>
          <w:rFonts w:eastAsia="Batang"/>
          <w:lang w:val="en-GB"/>
        </w:rPr>
        <w:t>IMT</w:t>
      </w:r>
      <w:r w:rsidR="009533B3" w:rsidRPr="00177DCC">
        <w:rPr>
          <w:rFonts w:eastAsia="Batang"/>
        </w:rPr>
        <w:t xml:space="preserve"> в полосе частот 6425−7125</w:t>
      </w:r>
      <w:r w:rsidR="009533B3">
        <w:rPr>
          <w:rFonts w:eastAsia="Batang"/>
          <w:lang w:val="en-GB"/>
        </w:rPr>
        <w:t> </w:t>
      </w:r>
      <w:r w:rsidR="009533B3">
        <w:rPr>
          <w:rFonts w:eastAsia="Batang"/>
        </w:rPr>
        <w:t>МГц</w:t>
      </w:r>
      <w:r w:rsidR="009533B3" w:rsidRPr="00177DCC">
        <w:rPr>
          <w:rFonts w:eastAsia="Batang"/>
        </w:rPr>
        <w:t xml:space="preserve"> не представляется возможным в связи с </w:t>
      </w:r>
      <w:r w:rsidR="009533B3">
        <w:rPr>
          <w:rFonts w:eastAsia="Batang"/>
        </w:rPr>
        <w:t>проблемами, связанными с</w:t>
      </w:r>
      <w:r w:rsidR="009533B3" w:rsidRPr="00177DCC">
        <w:rPr>
          <w:rFonts w:eastAsia="Batang"/>
        </w:rPr>
        <w:t xml:space="preserve"> сосуществовани</w:t>
      </w:r>
      <w:r w:rsidR="009533B3">
        <w:rPr>
          <w:rFonts w:eastAsia="Batang"/>
        </w:rPr>
        <w:t>ем,</w:t>
      </w:r>
      <w:r w:rsidR="009533B3" w:rsidRPr="00177DCC">
        <w:rPr>
          <w:rFonts w:eastAsia="Batang"/>
        </w:rPr>
        <w:t xml:space="preserve"> и решениями ряда администраций не использовать этот спектр для развертывания сетей </w:t>
      </w:r>
      <w:r w:rsidR="009533B3">
        <w:rPr>
          <w:rFonts w:eastAsia="Batang"/>
          <w:lang w:val="en-GB"/>
        </w:rPr>
        <w:t>IMT</w:t>
      </w:r>
      <w:r w:rsidR="009533B3" w:rsidRPr="00177DCC">
        <w:rPr>
          <w:rFonts w:eastAsia="Batang"/>
        </w:rPr>
        <w:t xml:space="preserve">. Важно отметить, что при внедрении </w:t>
      </w:r>
      <w:r w:rsidR="009533B3">
        <w:rPr>
          <w:rFonts w:eastAsia="Batang"/>
          <w:lang w:val="en-GB"/>
        </w:rPr>
        <w:t>IMT</w:t>
      </w:r>
      <w:r w:rsidR="009533B3" w:rsidRPr="00177DCC">
        <w:rPr>
          <w:rFonts w:eastAsia="Batang"/>
        </w:rPr>
        <w:t xml:space="preserve"> </w:t>
      </w:r>
      <w:r w:rsidR="009533B3">
        <w:rPr>
          <w:rFonts w:eastAsia="Batang"/>
        </w:rPr>
        <w:t xml:space="preserve">будет </w:t>
      </w:r>
      <w:r w:rsidR="009533B3">
        <w:rPr>
          <w:rFonts w:eastAsia="Batang"/>
        </w:rPr>
        <w:lastRenderedPageBreak/>
        <w:t>отсутствовать</w:t>
      </w:r>
      <w:r w:rsidR="009533B3" w:rsidRPr="00177DCC">
        <w:rPr>
          <w:rFonts w:eastAsia="Batang"/>
        </w:rPr>
        <w:t xml:space="preserve"> экономи</w:t>
      </w:r>
      <w:r w:rsidR="009533B3">
        <w:rPr>
          <w:rFonts w:eastAsia="Batang"/>
        </w:rPr>
        <w:t>я от</w:t>
      </w:r>
      <w:r w:rsidR="009533B3" w:rsidRPr="00177DCC">
        <w:rPr>
          <w:rFonts w:eastAsia="Batang"/>
        </w:rPr>
        <w:t xml:space="preserve"> масштаба, необходим</w:t>
      </w:r>
      <w:r w:rsidR="009533B3">
        <w:rPr>
          <w:rFonts w:eastAsia="Batang"/>
        </w:rPr>
        <w:t>ая</w:t>
      </w:r>
      <w:r w:rsidR="009533B3" w:rsidRPr="00177DCC">
        <w:rPr>
          <w:rFonts w:eastAsia="Batang"/>
        </w:rPr>
        <w:t xml:space="preserve"> для </w:t>
      </w:r>
      <w:r w:rsidR="009533B3">
        <w:rPr>
          <w:rFonts w:eastAsia="Batang"/>
        </w:rPr>
        <w:t xml:space="preserve">создания </w:t>
      </w:r>
      <w:r w:rsidR="009533B3" w:rsidRPr="00177DCC">
        <w:rPr>
          <w:rFonts w:eastAsia="Batang"/>
        </w:rPr>
        <w:t>устойчивой экосистемы оборудования и коммерческой жизнеспособности.</w:t>
      </w:r>
    </w:p>
    <w:p w14:paraId="6D9EE401" w14:textId="77777777" w:rsidR="00505391" w:rsidRPr="0044586A" w:rsidRDefault="00286FB8">
      <w:pPr>
        <w:pStyle w:val="Proposal"/>
        <w:rPr>
          <w:lang w:val="en-GB"/>
        </w:rPr>
      </w:pPr>
      <w:r w:rsidRPr="0044586A">
        <w:rPr>
          <w:lang w:val="en-GB"/>
        </w:rPr>
        <w:t>SUP</w:t>
      </w:r>
      <w:r w:rsidRPr="0044586A">
        <w:rPr>
          <w:lang w:val="en-GB"/>
        </w:rPr>
        <w:tab/>
        <w:t>ARS/LBY/QAT/SOM/173/3</w:t>
      </w:r>
      <w:r w:rsidRPr="0044586A">
        <w:rPr>
          <w:vanish/>
          <w:color w:val="7F7F7F" w:themeColor="text1" w:themeTint="80"/>
          <w:vertAlign w:val="superscript"/>
          <w:lang w:val="en-GB"/>
        </w:rPr>
        <w:t>#1391</w:t>
      </w:r>
    </w:p>
    <w:p w14:paraId="039DF3D3" w14:textId="77777777" w:rsidR="00286FB8" w:rsidRPr="004440B8" w:rsidRDefault="00286FB8" w:rsidP="008E1303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>245</w:t>
      </w:r>
      <w:r w:rsidRPr="004440B8">
        <w:t xml:space="preserve"> (ВКР</w:t>
      </w:r>
      <w:r w:rsidRPr="004440B8">
        <w:noBreakHyphen/>
        <w:t>19)</w:t>
      </w:r>
    </w:p>
    <w:p w14:paraId="5D9FAA0F" w14:textId="77777777" w:rsidR="00286FB8" w:rsidRPr="004440B8" w:rsidRDefault="00286FB8" w:rsidP="008E1303">
      <w:pPr>
        <w:pStyle w:val="Restitle"/>
      </w:pPr>
      <w:r w:rsidRPr="004440B8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0AE219CD" w14:textId="56ED8310" w:rsidR="009533B3" w:rsidRPr="009533B3" w:rsidRDefault="00286FB8" w:rsidP="00175D9C">
      <w:pPr>
        <w:pStyle w:val="Reasons"/>
      </w:pPr>
      <w:r>
        <w:rPr>
          <w:b/>
        </w:rPr>
        <w:t>Основания</w:t>
      </w:r>
      <w:r w:rsidRPr="009533B3">
        <w:rPr>
          <w:bCs/>
        </w:rPr>
        <w:t>:</w:t>
      </w:r>
      <w:r w:rsidRPr="009533B3">
        <w:tab/>
      </w:r>
      <w:r w:rsidR="009533B3" w:rsidRPr="009533B3">
        <w:t xml:space="preserve">Логически вытекающие изменения. </w:t>
      </w:r>
      <w:r w:rsidR="009533B3">
        <w:t>В Резолюции</w:t>
      </w:r>
      <w:r w:rsidR="009533B3" w:rsidRPr="009533B3">
        <w:t xml:space="preserve"> </w:t>
      </w:r>
      <w:r w:rsidR="009533B3" w:rsidRPr="009533B3">
        <w:rPr>
          <w:b/>
          <w:bCs/>
        </w:rPr>
        <w:t>245 (ВКР-19)</w:t>
      </w:r>
      <w:r w:rsidR="009533B3" w:rsidRPr="009533B3">
        <w:t xml:space="preserve"> больше нет необходимости.</w:t>
      </w:r>
    </w:p>
    <w:p w14:paraId="514BFB6F" w14:textId="1F047616" w:rsidR="00505391" w:rsidRPr="00286FB8" w:rsidRDefault="00286FB8" w:rsidP="00175D9C">
      <w:pPr>
        <w:spacing w:before="720"/>
        <w:jc w:val="center"/>
      </w:pPr>
      <w:r>
        <w:t>______________</w:t>
      </w:r>
    </w:p>
    <w:sectPr w:rsidR="00505391" w:rsidRPr="00286FB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E286" w14:textId="77777777" w:rsidR="000316F2" w:rsidRDefault="000316F2">
      <w:r>
        <w:separator/>
      </w:r>
    </w:p>
  </w:endnote>
  <w:endnote w:type="continuationSeparator" w:id="0">
    <w:p w14:paraId="5F31C948" w14:textId="77777777" w:rsidR="000316F2" w:rsidRDefault="0003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B3D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DBBC96" w14:textId="737860C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8DD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2E18" w14:textId="5BA290F7" w:rsidR="00567276" w:rsidRPr="00A0298D" w:rsidRDefault="00A0298D" w:rsidP="00A0298D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P:\RUS\ITU-R\CONF-R\CMR23\100\173R.docx</w:t>
    </w:r>
    <w:r>
      <w:fldChar w:fldCharType="end"/>
    </w:r>
    <w:r>
      <w:t xml:space="preserve"> (530462)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6828" w14:textId="37C68D8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4586A">
      <w:rPr>
        <w:lang w:val="fr-FR"/>
      </w:rPr>
      <w:t>P:\RUS\ITU-R\CONF-R\CMR23\100\173R.docx</w:t>
    </w:r>
    <w:r>
      <w:fldChar w:fldCharType="end"/>
    </w:r>
    <w:r w:rsidR="0044586A">
      <w:t xml:space="preserve"> (530462)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CA4E" w14:textId="77777777" w:rsidR="000316F2" w:rsidRDefault="000316F2">
      <w:r>
        <w:rPr>
          <w:b/>
        </w:rPr>
        <w:t>_______________</w:t>
      </w:r>
    </w:p>
  </w:footnote>
  <w:footnote w:type="continuationSeparator" w:id="0">
    <w:p w14:paraId="6A952082" w14:textId="77777777" w:rsidR="000316F2" w:rsidRDefault="0003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72C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51D2EB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173-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60297515">
    <w:abstractNumId w:val="0"/>
  </w:num>
  <w:num w:numId="2" w16cid:durableId="10459049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974"/>
    <w:rsid w:val="000260F1"/>
    <w:rsid w:val="000316F2"/>
    <w:rsid w:val="0003535B"/>
    <w:rsid w:val="00051FC3"/>
    <w:rsid w:val="00060B84"/>
    <w:rsid w:val="000A0DC6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5D9C"/>
    <w:rsid w:val="00177DCC"/>
    <w:rsid w:val="001A5585"/>
    <w:rsid w:val="001C4D53"/>
    <w:rsid w:val="001D46DF"/>
    <w:rsid w:val="001E5FB4"/>
    <w:rsid w:val="00202CA0"/>
    <w:rsid w:val="002137A0"/>
    <w:rsid w:val="00230582"/>
    <w:rsid w:val="002449AA"/>
    <w:rsid w:val="00245A1F"/>
    <w:rsid w:val="00277A44"/>
    <w:rsid w:val="002826BB"/>
    <w:rsid w:val="00286FB8"/>
    <w:rsid w:val="00290C74"/>
    <w:rsid w:val="002A2D3F"/>
    <w:rsid w:val="002C0AAB"/>
    <w:rsid w:val="002F3B42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4247"/>
    <w:rsid w:val="0044586A"/>
    <w:rsid w:val="0045143A"/>
    <w:rsid w:val="00471DD8"/>
    <w:rsid w:val="004A58F4"/>
    <w:rsid w:val="004B716F"/>
    <w:rsid w:val="004C02B7"/>
    <w:rsid w:val="004C1369"/>
    <w:rsid w:val="004C47ED"/>
    <w:rsid w:val="004C6D0B"/>
    <w:rsid w:val="004D06EF"/>
    <w:rsid w:val="004E6065"/>
    <w:rsid w:val="004F3514"/>
    <w:rsid w:val="004F3B0D"/>
    <w:rsid w:val="00505391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58DD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388"/>
    <w:rsid w:val="00657DE0"/>
    <w:rsid w:val="00692C06"/>
    <w:rsid w:val="006A6E9B"/>
    <w:rsid w:val="006E0716"/>
    <w:rsid w:val="006E610F"/>
    <w:rsid w:val="007067AE"/>
    <w:rsid w:val="00763F4F"/>
    <w:rsid w:val="00775720"/>
    <w:rsid w:val="007917AE"/>
    <w:rsid w:val="007A08B5"/>
    <w:rsid w:val="007F43AB"/>
    <w:rsid w:val="00811633"/>
    <w:rsid w:val="00812452"/>
    <w:rsid w:val="00815749"/>
    <w:rsid w:val="00872FC8"/>
    <w:rsid w:val="00876619"/>
    <w:rsid w:val="008B43F2"/>
    <w:rsid w:val="008C3257"/>
    <w:rsid w:val="008C401C"/>
    <w:rsid w:val="008E66E0"/>
    <w:rsid w:val="00910384"/>
    <w:rsid w:val="009119CC"/>
    <w:rsid w:val="00917C0A"/>
    <w:rsid w:val="00941A02"/>
    <w:rsid w:val="009533B3"/>
    <w:rsid w:val="00966C93"/>
    <w:rsid w:val="00986800"/>
    <w:rsid w:val="00987FA4"/>
    <w:rsid w:val="009B5CC2"/>
    <w:rsid w:val="009D3D63"/>
    <w:rsid w:val="009E5FC8"/>
    <w:rsid w:val="00A0298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06F6"/>
    <w:rsid w:val="00B468A6"/>
    <w:rsid w:val="00B5410A"/>
    <w:rsid w:val="00B75113"/>
    <w:rsid w:val="00B80342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12F9"/>
    <w:rsid w:val="00C779CE"/>
    <w:rsid w:val="00C91213"/>
    <w:rsid w:val="00C916AF"/>
    <w:rsid w:val="00CA5235"/>
    <w:rsid w:val="00CC47C6"/>
    <w:rsid w:val="00CC4DE6"/>
    <w:rsid w:val="00CE05C6"/>
    <w:rsid w:val="00CE5E47"/>
    <w:rsid w:val="00CF020F"/>
    <w:rsid w:val="00CF43F9"/>
    <w:rsid w:val="00D53715"/>
    <w:rsid w:val="00D559E2"/>
    <w:rsid w:val="00D7331A"/>
    <w:rsid w:val="00D765E7"/>
    <w:rsid w:val="00DB3FE7"/>
    <w:rsid w:val="00DB62D2"/>
    <w:rsid w:val="00DE2EBA"/>
    <w:rsid w:val="00E2253F"/>
    <w:rsid w:val="00E43E99"/>
    <w:rsid w:val="00E5155F"/>
    <w:rsid w:val="00E65919"/>
    <w:rsid w:val="00E70E00"/>
    <w:rsid w:val="00E976C1"/>
    <w:rsid w:val="00EA0C0C"/>
    <w:rsid w:val="00EB66F7"/>
    <w:rsid w:val="00EF43E7"/>
    <w:rsid w:val="00F1578A"/>
    <w:rsid w:val="00F21A03"/>
    <w:rsid w:val="00F33B22"/>
    <w:rsid w:val="00F53C22"/>
    <w:rsid w:val="00F65316"/>
    <w:rsid w:val="00F65C19"/>
    <w:rsid w:val="00F761D2"/>
    <w:rsid w:val="00F97203"/>
    <w:rsid w:val="00F97D25"/>
    <w:rsid w:val="00FB416A"/>
    <w:rsid w:val="00FB67E5"/>
    <w:rsid w:val="00FC621F"/>
    <w:rsid w:val="00FC63FD"/>
    <w:rsid w:val="00FD0B00"/>
    <w:rsid w:val="00FD18DB"/>
    <w:rsid w:val="00FD51E3"/>
    <w:rsid w:val="00FE344F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C1B1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29E83-E474-4F80-B610-ED0D7D4647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8CB5AE28-2333-463E-883B-44303B1A3C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1971</Words>
  <Characters>13884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R23-WRC23-C-0173!!MSW-R</vt:lpstr>
    </vt:vector>
  </TitlesOfParts>
  <Manager>General Secretariat - Pool</Manager>
  <Company>International Telecommunication Union (ITU)</Company>
  <LinksUpToDate>false</LinksUpToDate>
  <CharactersWithSpaces>15824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R23-WRC23-C-0173!!MSW-R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27</cp:revision>
  <cp:lastPrinted>2003-06-17T08:22:00Z</cp:lastPrinted>
  <dcterms:created xsi:type="dcterms:W3CDTF">2023-11-08T15:24:00Z</dcterms:created>
  <dcterms:modified xsi:type="dcterms:W3CDTF">2023-11-14T14:35:00Z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