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D44B9" w14:paraId="53A7C125" w14:textId="77777777" w:rsidTr="0080079E">
        <w:trPr>
          <w:cantSplit/>
        </w:trPr>
        <w:tc>
          <w:tcPr>
            <w:tcW w:w="1418" w:type="dxa"/>
            <w:vAlign w:val="center"/>
          </w:tcPr>
          <w:p w14:paraId="4B937B2D" w14:textId="77777777" w:rsidR="0080079E" w:rsidRPr="00ED44B9" w:rsidRDefault="0080079E" w:rsidP="0080079E">
            <w:pPr>
              <w:spacing w:before="0" w:line="240" w:lineRule="atLeast"/>
              <w:rPr>
                <w:rFonts w:ascii="Verdana" w:hAnsi="Verdana"/>
                <w:position w:val="6"/>
              </w:rPr>
            </w:pPr>
            <w:r w:rsidRPr="00ED44B9">
              <w:rPr>
                <w:noProof/>
              </w:rPr>
              <w:drawing>
                <wp:inline distT="0" distB="0" distL="0" distR="0" wp14:anchorId="19074244" wp14:editId="4685F63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3E94217" w14:textId="77777777" w:rsidR="0080079E" w:rsidRPr="00ED44B9" w:rsidRDefault="0080079E" w:rsidP="00C44E9E">
            <w:pPr>
              <w:spacing w:before="400" w:after="48" w:line="240" w:lineRule="atLeast"/>
              <w:rPr>
                <w:rFonts w:ascii="Verdana" w:hAnsi="Verdana"/>
                <w:position w:val="6"/>
              </w:rPr>
            </w:pPr>
            <w:r w:rsidRPr="00ED44B9">
              <w:rPr>
                <w:rFonts w:ascii="Verdana" w:hAnsi="Verdana" w:cs="Times"/>
                <w:b/>
                <w:position w:val="6"/>
                <w:sz w:val="20"/>
              </w:rPr>
              <w:t>Conferencia Mundial de Radiocomunicaciones (CMR-23)</w:t>
            </w:r>
            <w:r w:rsidRPr="00ED44B9">
              <w:rPr>
                <w:rFonts w:ascii="Verdana" w:hAnsi="Verdana" w:cs="Times"/>
                <w:b/>
                <w:position w:val="6"/>
                <w:sz w:val="20"/>
              </w:rPr>
              <w:br/>
            </w:r>
            <w:r w:rsidRPr="00ED44B9">
              <w:rPr>
                <w:rFonts w:ascii="Verdana" w:hAnsi="Verdana" w:cs="Times"/>
                <w:b/>
                <w:position w:val="6"/>
                <w:sz w:val="18"/>
                <w:szCs w:val="18"/>
              </w:rPr>
              <w:t>Dubái, 20 de noviembre - 15 de diciembre de 2023</w:t>
            </w:r>
          </w:p>
        </w:tc>
        <w:tc>
          <w:tcPr>
            <w:tcW w:w="1809" w:type="dxa"/>
            <w:vAlign w:val="center"/>
          </w:tcPr>
          <w:p w14:paraId="569956E7" w14:textId="77777777" w:rsidR="0080079E" w:rsidRPr="00ED44B9" w:rsidRDefault="0080079E" w:rsidP="0080079E">
            <w:pPr>
              <w:spacing w:before="0" w:line="240" w:lineRule="atLeast"/>
            </w:pPr>
            <w:bookmarkStart w:id="0" w:name="ditulogo"/>
            <w:bookmarkEnd w:id="0"/>
            <w:r w:rsidRPr="00ED44B9">
              <w:rPr>
                <w:noProof/>
              </w:rPr>
              <w:drawing>
                <wp:inline distT="0" distB="0" distL="0" distR="0" wp14:anchorId="1C4412DF" wp14:editId="7A94BBE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D44B9" w14:paraId="5AA8F735" w14:textId="77777777" w:rsidTr="0050008E">
        <w:trPr>
          <w:cantSplit/>
        </w:trPr>
        <w:tc>
          <w:tcPr>
            <w:tcW w:w="6911" w:type="dxa"/>
            <w:gridSpan w:val="2"/>
            <w:tcBorders>
              <w:bottom w:val="single" w:sz="12" w:space="0" w:color="auto"/>
            </w:tcBorders>
          </w:tcPr>
          <w:p w14:paraId="65A9917D" w14:textId="77777777" w:rsidR="0090121B" w:rsidRPr="00ED44B9"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53F5B93" w14:textId="77777777" w:rsidR="0090121B" w:rsidRPr="00ED44B9" w:rsidRDefault="0090121B" w:rsidP="0090121B">
            <w:pPr>
              <w:spacing w:before="0" w:line="240" w:lineRule="atLeast"/>
              <w:rPr>
                <w:rFonts w:ascii="Verdana" w:hAnsi="Verdana"/>
                <w:szCs w:val="24"/>
              </w:rPr>
            </w:pPr>
          </w:p>
        </w:tc>
      </w:tr>
      <w:tr w:rsidR="0090121B" w:rsidRPr="00ED44B9" w14:paraId="34FD7FAB" w14:textId="77777777" w:rsidTr="0090121B">
        <w:trPr>
          <w:cantSplit/>
        </w:trPr>
        <w:tc>
          <w:tcPr>
            <w:tcW w:w="6911" w:type="dxa"/>
            <w:gridSpan w:val="2"/>
            <w:tcBorders>
              <w:top w:val="single" w:sz="12" w:space="0" w:color="auto"/>
            </w:tcBorders>
          </w:tcPr>
          <w:p w14:paraId="1F20A02C" w14:textId="77777777" w:rsidR="0090121B" w:rsidRPr="00ED44B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1AD6B63" w14:textId="77777777" w:rsidR="0090121B" w:rsidRPr="00ED44B9" w:rsidRDefault="0090121B" w:rsidP="0090121B">
            <w:pPr>
              <w:spacing w:before="0" w:line="240" w:lineRule="atLeast"/>
              <w:rPr>
                <w:rFonts w:ascii="Verdana" w:hAnsi="Verdana"/>
                <w:sz w:val="20"/>
              </w:rPr>
            </w:pPr>
          </w:p>
        </w:tc>
      </w:tr>
      <w:tr w:rsidR="0090121B" w:rsidRPr="00ED44B9" w14:paraId="3844ACBE" w14:textId="77777777" w:rsidTr="0090121B">
        <w:trPr>
          <w:cantSplit/>
        </w:trPr>
        <w:tc>
          <w:tcPr>
            <w:tcW w:w="6911" w:type="dxa"/>
            <w:gridSpan w:val="2"/>
          </w:tcPr>
          <w:p w14:paraId="7C17A0A1" w14:textId="77777777" w:rsidR="0090121B" w:rsidRPr="00D57AB9" w:rsidRDefault="001E7D42" w:rsidP="00EA77F0">
            <w:pPr>
              <w:pStyle w:val="Committee"/>
              <w:framePr w:hSpace="0" w:wrap="auto" w:hAnchor="text" w:yAlign="inline"/>
              <w:rPr>
                <w:szCs w:val="20"/>
                <w:lang w:val="es-ES_tradnl"/>
              </w:rPr>
            </w:pPr>
            <w:r w:rsidRPr="00D57AB9">
              <w:rPr>
                <w:szCs w:val="20"/>
                <w:lang w:val="es-ES_tradnl"/>
              </w:rPr>
              <w:t>SESIÓN PLENARIA</w:t>
            </w:r>
          </w:p>
        </w:tc>
        <w:tc>
          <w:tcPr>
            <w:tcW w:w="3120" w:type="dxa"/>
            <w:gridSpan w:val="2"/>
          </w:tcPr>
          <w:p w14:paraId="317A34B4" w14:textId="77777777" w:rsidR="0090121B" w:rsidRPr="00D57AB9" w:rsidRDefault="00AE658F" w:rsidP="0045384C">
            <w:pPr>
              <w:spacing w:before="0"/>
              <w:rPr>
                <w:rFonts w:ascii="Verdana" w:hAnsi="Verdana"/>
                <w:sz w:val="20"/>
              </w:rPr>
            </w:pPr>
            <w:r w:rsidRPr="00D57AB9">
              <w:rPr>
                <w:rFonts w:ascii="Verdana" w:hAnsi="Verdana"/>
                <w:b/>
                <w:sz w:val="20"/>
              </w:rPr>
              <w:t>Documento 166</w:t>
            </w:r>
            <w:r w:rsidR="0090121B" w:rsidRPr="00D57AB9">
              <w:rPr>
                <w:rFonts w:ascii="Verdana" w:hAnsi="Verdana"/>
                <w:b/>
                <w:sz w:val="20"/>
              </w:rPr>
              <w:t>-</w:t>
            </w:r>
            <w:r w:rsidRPr="00D57AB9">
              <w:rPr>
                <w:rFonts w:ascii="Verdana" w:hAnsi="Verdana"/>
                <w:b/>
                <w:sz w:val="20"/>
              </w:rPr>
              <w:t>S</w:t>
            </w:r>
          </w:p>
        </w:tc>
      </w:tr>
      <w:bookmarkEnd w:id="1"/>
      <w:tr w:rsidR="000A5B9A" w:rsidRPr="00ED44B9" w14:paraId="1A900B5E" w14:textId="77777777" w:rsidTr="0090121B">
        <w:trPr>
          <w:cantSplit/>
        </w:trPr>
        <w:tc>
          <w:tcPr>
            <w:tcW w:w="6911" w:type="dxa"/>
            <w:gridSpan w:val="2"/>
          </w:tcPr>
          <w:p w14:paraId="3DA3B636" w14:textId="77777777" w:rsidR="000A5B9A" w:rsidRPr="00D57AB9" w:rsidRDefault="000A5B9A" w:rsidP="0045384C">
            <w:pPr>
              <w:spacing w:before="0" w:after="48"/>
              <w:rPr>
                <w:rFonts w:ascii="Verdana" w:hAnsi="Verdana"/>
                <w:b/>
                <w:smallCaps/>
                <w:sz w:val="20"/>
              </w:rPr>
            </w:pPr>
          </w:p>
        </w:tc>
        <w:tc>
          <w:tcPr>
            <w:tcW w:w="3120" w:type="dxa"/>
            <w:gridSpan w:val="2"/>
          </w:tcPr>
          <w:p w14:paraId="4C921081" w14:textId="77777777" w:rsidR="000A5B9A" w:rsidRPr="00D57AB9" w:rsidRDefault="000A5B9A" w:rsidP="0045384C">
            <w:pPr>
              <w:spacing w:before="0"/>
              <w:rPr>
                <w:rFonts w:ascii="Verdana" w:hAnsi="Verdana"/>
                <w:b/>
                <w:sz w:val="20"/>
              </w:rPr>
            </w:pPr>
            <w:r w:rsidRPr="00D57AB9">
              <w:rPr>
                <w:rFonts w:ascii="Verdana" w:hAnsi="Verdana"/>
                <w:b/>
                <w:sz w:val="20"/>
              </w:rPr>
              <w:t>30 de octubre de 2023</w:t>
            </w:r>
          </w:p>
        </w:tc>
      </w:tr>
      <w:tr w:rsidR="000A5B9A" w:rsidRPr="00ED44B9" w14:paraId="65B6C762" w14:textId="77777777" w:rsidTr="0090121B">
        <w:trPr>
          <w:cantSplit/>
        </w:trPr>
        <w:tc>
          <w:tcPr>
            <w:tcW w:w="6911" w:type="dxa"/>
            <w:gridSpan w:val="2"/>
          </w:tcPr>
          <w:p w14:paraId="2310DB35" w14:textId="77777777" w:rsidR="000A5B9A" w:rsidRPr="00D57AB9" w:rsidRDefault="000A5B9A" w:rsidP="0045384C">
            <w:pPr>
              <w:spacing w:before="0" w:after="48"/>
              <w:rPr>
                <w:rFonts w:ascii="Verdana" w:hAnsi="Verdana"/>
                <w:b/>
                <w:smallCaps/>
                <w:sz w:val="20"/>
              </w:rPr>
            </w:pPr>
          </w:p>
        </w:tc>
        <w:tc>
          <w:tcPr>
            <w:tcW w:w="3120" w:type="dxa"/>
            <w:gridSpan w:val="2"/>
          </w:tcPr>
          <w:p w14:paraId="58B653B9" w14:textId="77777777" w:rsidR="000A5B9A" w:rsidRPr="00D57AB9" w:rsidRDefault="000A5B9A" w:rsidP="0045384C">
            <w:pPr>
              <w:spacing w:before="0"/>
              <w:rPr>
                <w:rFonts w:ascii="Verdana" w:hAnsi="Verdana"/>
                <w:b/>
                <w:sz w:val="20"/>
              </w:rPr>
            </w:pPr>
            <w:r w:rsidRPr="00D57AB9">
              <w:rPr>
                <w:rFonts w:ascii="Verdana" w:hAnsi="Verdana"/>
                <w:b/>
                <w:sz w:val="20"/>
              </w:rPr>
              <w:t>Original: inglés</w:t>
            </w:r>
          </w:p>
        </w:tc>
      </w:tr>
      <w:tr w:rsidR="000A5B9A" w:rsidRPr="00ED44B9" w14:paraId="51911CD5" w14:textId="77777777" w:rsidTr="006744FC">
        <w:trPr>
          <w:cantSplit/>
        </w:trPr>
        <w:tc>
          <w:tcPr>
            <w:tcW w:w="10031" w:type="dxa"/>
            <w:gridSpan w:val="4"/>
          </w:tcPr>
          <w:p w14:paraId="300BD903" w14:textId="77777777" w:rsidR="000A5B9A" w:rsidRPr="00ED44B9" w:rsidRDefault="000A5B9A" w:rsidP="0045384C">
            <w:pPr>
              <w:spacing w:before="0"/>
              <w:rPr>
                <w:rFonts w:ascii="Verdana" w:hAnsi="Verdana"/>
                <w:b/>
                <w:sz w:val="18"/>
                <w:szCs w:val="22"/>
              </w:rPr>
            </w:pPr>
          </w:p>
        </w:tc>
      </w:tr>
      <w:tr w:rsidR="000A5B9A" w:rsidRPr="00ED44B9" w14:paraId="32B2C62D" w14:textId="77777777" w:rsidTr="0050008E">
        <w:trPr>
          <w:cantSplit/>
        </w:trPr>
        <w:tc>
          <w:tcPr>
            <w:tcW w:w="10031" w:type="dxa"/>
            <w:gridSpan w:val="4"/>
          </w:tcPr>
          <w:p w14:paraId="470C01ED" w14:textId="71726CE2" w:rsidR="000A5B9A" w:rsidRPr="00ED44B9" w:rsidRDefault="000A5B9A" w:rsidP="000A5B9A">
            <w:pPr>
              <w:pStyle w:val="Source"/>
            </w:pPr>
            <w:bookmarkStart w:id="2" w:name="dsource" w:colFirst="0" w:colLast="0"/>
            <w:r w:rsidRPr="00ED44B9">
              <w:t xml:space="preserve">Alemania (República Federal </w:t>
            </w:r>
            <w:proofErr w:type="gramStart"/>
            <w:r w:rsidRPr="00ED44B9">
              <w:t>de)/</w:t>
            </w:r>
            <w:proofErr w:type="gramEnd"/>
            <w:r w:rsidRPr="00ED44B9">
              <w:t>Austria/Bélgica/Croacia (República de)/España/Francia/Hungría/Italia/Luxemburgo/Malta/Montenegro/Noruega/</w:t>
            </w:r>
            <w:r w:rsidR="00570AF8" w:rsidRPr="00ED44B9">
              <w:br/>
            </w:r>
            <w:r w:rsidRPr="00ED44B9">
              <w:t>Países Bajos (Reino de los)/Polonia (República de)/Portugal/Rumania/</w:t>
            </w:r>
            <w:r w:rsidR="00D57AB9">
              <w:br/>
            </w:r>
            <w:r w:rsidRPr="00ED44B9">
              <w:t>Suiza (Confederación)</w:t>
            </w:r>
          </w:p>
        </w:tc>
      </w:tr>
      <w:tr w:rsidR="000A5B9A" w:rsidRPr="00ED44B9" w14:paraId="5E7E8EE9" w14:textId="77777777" w:rsidTr="0050008E">
        <w:trPr>
          <w:cantSplit/>
        </w:trPr>
        <w:tc>
          <w:tcPr>
            <w:tcW w:w="10031" w:type="dxa"/>
            <w:gridSpan w:val="4"/>
          </w:tcPr>
          <w:p w14:paraId="0F698777" w14:textId="77B77EE6" w:rsidR="000A5B9A" w:rsidRPr="00ED44B9" w:rsidRDefault="00570AF8" w:rsidP="000A5B9A">
            <w:pPr>
              <w:pStyle w:val="Title1"/>
            </w:pPr>
            <w:bookmarkStart w:id="3" w:name="dtitle1" w:colFirst="0" w:colLast="0"/>
            <w:bookmarkEnd w:id="2"/>
            <w:r w:rsidRPr="00ED44B9">
              <w:t>Propuestas para los trabajos de la Conferencia</w:t>
            </w:r>
          </w:p>
        </w:tc>
      </w:tr>
      <w:tr w:rsidR="000A5B9A" w:rsidRPr="00ED44B9" w14:paraId="25B3ADFD" w14:textId="77777777" w:rsidTr="0050008E">
        <w:trPr>
          <w:cantSplit/>
        </w:trPr>
        <w:tc>
          <w:tcPr>
            <w:tcW w:w="10031" w:type="dxa"/>
            <w:gridSpan w:val="4"/>
          </w:tcPr>
          <w:p w14:paraId="383D60B4" w14:textId="77777777" w:rsidR="000A5B9A" w:rsidRPr="00ED44B9" w:rsidRDefault="000A5B9A" w:rsidP="000A5B9A">
            <w:pPr>
              <w:pStyle w:val="Title2"/>
            </w:pPr>
            <w:bookmarkStart w:id="4" w:name="dtitle2" w:colFirst="0" w:colLast="0"/>
            <w:bookmarkEnd w:id="3"/>
          </w:p>
        </w:tc>
      </w:tr>
      <w:tr w:rsidR="000A5B9A" w:rsidRPr="00ED44B9" w14:paraId="5402E0DA" w14:textId="77777777" w:rsidTr="0050008E">
        <w:trPr>
          <w:cantSplit/>
        </w:trPr>
        <w:tc>
          <w:tcPr>
            <w:tcW w:w="10031" w:type="dxa"/>
            <w:gridSpan w:val="4"/>
          </w:tcPr>
          <w:p w14:paraId="79267928" w14:textId="77777777" w:rsidR="000A5B9A" w:rsidRPr="00ED44B9" w:rsidRDefault="000A5B9A" w:rsidP="000A5B9A">
            <w:pPr>
              <w:pStyle w:val="Agendaitem"/>
            </w:pPr>
            <w:bookmarkStart w:id="5" w:name="dtitle3" w:colFirst="0" w:colLast="0"/>
            <w:bookmarkEnd w:id="4"/>
            <w:r w:rsidRPr="00ED44B9">
              <w:t>Punto 10 del orden del día</w:t>
            </w:r>
          </w:p>
        </w:tc>
      </w:tr>
    </w:tbl>
    <w:bookmarkEnd w:id="5"/>
    <w:p w14:paraId="0D78E5A3" w14:textId="77777777" w:rsidR="00CA2965" w:rsidRPr="00ED44B9" w:rsidRDefault="00935032" w:rsidP="00512E73">
      <w:pPr>
        <w:pStyle w:val="Normalaftertitle"/>
      </w:pPr>
      <w:r w:rsidRPr="00ED44B9">
        <w:t>10</w:t>
      </w:r>
      <w:r w:rsidRPr="00ED44B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44B9">
        <w:rPr>
          <w:b/>
          <w:bCs/>
        </w:rPr>
        <w:t>804 (Rev.CMR-19)</w:t>
      </w:r>
      <w:r w:rsidRPr="00ED44B9">
        <w:t>,</w:t>
      </w:r>
    </w:p>
    <w:p w14:paraId="35739F5B" w14:textId="6D1CC482" w:rsidR="00570AF8" w:rsidRPr="00ED44B9" w:rsidRDefault="00570AF8" w:rsidP="00570AF8">
      <w:pPr>
        <w:pStyle w:val="Headingb"/>
      </w:pPr>
      <w:r w:rsidRPr="00ED44B9">
        <w:t>Introducción</w:t>
      </w:r>
    </w:p>
    <w:p w14:paraId="6510D880" w14:textId="3BA2251B" w:rsidR="00570AF8" w:rsidRPr="00ED44B9" w:rsidRDefault="00570AF8" w:rsidP="002C1A52">
      <w:r w:rsidRPr="00ED44B9">
        <w:t xml:space="preserve">Se propone </w:t>
      </w:r>
      <w:r w:rsidR="00DE700D" w:rsidRPr="00ED44B9">
        <w:t>insertar</w:t>
      </w:r>
      <w:r w:rsidRPr="00ED44B9">
        <w:t xml:space="preserve"> la siguiente redacción </w:t>
      </w:r>
      <w:r w:rsidR="00DE700D" w:rsidRPr="00ED44B9">
        <w:t>sobre</w:t>
      </w:r>
      <w:r w:rsidRPr="00ED44B9">
        <w:t xml:space="preserve"> un nuevo punto del orden del día en el proyecto de nueva Resolución </w:t>
      </w:r>
      <w:r w:rsidRPr="00ED44B9">
        <w:rPr>
          <w:b/>
          <w:bCs/>
        </w:rPr>
        <w:t>[MCP-A10-CMR-27]</w:t>
      </w:r>
      <w:r w:rsidRPr="00ED44B9">
        <w:t xml:space="preserve"> (</w:t>
      </w:r>
      <w:r w:rsidRPr="00ED44B9">
        <w:rPr>
          <w:b/>
          <w:bCs/>
        </w:rPr>
        <w:t>CMR-23)</w:t>
      </w:r>
      <w:r w:rsidRPr="00ED44B9">
        <w:t xml:space="preserve"> </w:t>
      </w:r>
      <w:r w:rsidR="00DE700D" w:rsidRPr="00ED44B9">
        <w:t>relativa a</w:t>
      </w:r>
      <w:r w:rsidRPr="00ED44B9">
        <w:t>l orden del día de la Conferencia Mundial de Radiocomunicaciones de 2027:</w:t>
      </w:r>
    </w:p>
    <w:p w14:paraId="720E5AE7" w14:textId="1C676AF9" w:rsidR="00363A65" w:rsidRPr="00ED44B9" w:rsidRDefault="00570AF8" w:rsidP="002C1A52">
      <w:r w:rsidRPr="00ED44B9">
        <w:t>1</w:t>
      </w:r>
      <w:r w:rsidRPr="00ED44B9">
        <w:tab/>
        <w:t>sobre la base de las propuestas de las administraciones, tomando en consideración los resultados de la CMR-23 y el Informe de la Reunión Preparatoria de la Conferencia, y teniendo debidamente en cuenta las necesidades de los servicios actuales y futuros en las bandas de frecuencias consideradas, examinar los siguientes puntos y adoptar las medidas apropiadas:</w:t>
      </w:r>
    </w:p>
    <w:p w14:paraId="1CDDD7A4" w14:textId="145D411A" w:rsidR="00570AF8" w:rsidRPr="00ED44B9" w:rsidRDefault="00570AF8" w:rsidP="002C1A52">
      <w:r w:rsidRPr="00ED44B9">
        <w:t>[…]</w:t>
      </w:r>
    </w:p>
    <w:p w14:paraId="589745BB" w14:textId="34A00B35" w:rsidR="00570AF8" w:rsidRPr="00ED44B9" w:rsidRDefault="00852F38" w:rsidP="002C1A52">
      <w:r w:rsidRPr="00ED44B9">
        <w:t>1.XX</w:t>
      </w:r>
      <w:r w:rsidRPr="00ED44B9">
        <w:tab/>
        <w:t xml:space="preserve">considerar la posibilidad de adoptar medidas reglamentarias para proteger la recepción por satélite contra la interferencia combinada producida por los servicios fijo y móvil en las bandas de frecuencias por encima de 30 GHz, de conformidad con lo dispuesto en la Resolución </w:t>
      </w:r>
      <w:r w:rsidRPr="00ED44B9">
        <w:rPr>
          <w:b/>
          <w:bCs/>
        </w:rPr>
        <w:t>[MCP</w:t>
      </w:r>
      <w:r w:rsidR="00F93268" w:rsidRPr="00ED44B9">
        <w:rPr>
          <w:b/>
          <w:bCs/>
        </w:rPr>
        <w:noBreakHyphen/>
        <w:t> </w:t>
      </w:r>
      <w:r w:rsidRPr="00ED44B9">
        <w:rPr>
          <w:b/>
          <w:bCs/>
        </w:rPr>
        <w:t>A10-Cuadro 21-2](CMR-23)</w:t>
      </w:r>
      <w:r w:rsidRPr="00ED44B9">
        <w:t>;</w:t>
      </w:r>
    </w:p>
    <w:p w14:paraId="4C7BB22A" w14:textId="357D269B" w:rsidR="00852F38" w:rsidRPr="00ED44B9" w:rsidRDefault="00D83A72" w:rsidP="002C1A52">
      <w:pPr>
        <w:rPr>
          <w:i/>
          <w:iCs/>
        </w:rPr>
      </w:pPr>
      <w:r w:rsidRPr="00ED44B9">
        <w:rPr>
          <w:i/>
          <w:iCs/>
        </w:rPr>
        <w:t xml:space="preserve">Nota: La numeración se corregirá </w:t>
      </w:r>
      <w:r w:rsidR="006C22F1" w:rsidRPr="00ED44B9">
        <w:rPr>
          <w:i/>
          <w:iCs/>
        </w:rPr>
        <w:t>cuando se haya</w:t>
      </w:r>
      <w:r w:rsidRPr="00ED44B9">
        <w:rPr>
          <w:i/>
          <w:iCs/>
        </w:rPr>
        <w:t xml:space="preserve"> finalizad</w:t>
      </w:r>
      <w:r w:rsidR="006C22F1" w:rsidRPr="00ED44B9">
        <w:rPr>
          <w:i/>
          <w:iCs/>
        </w:rPr>
        <w:t>o</w:t>
      </w:r>
      <w:r w:rsidRPr="00ED44B9">
        <w:rPr>
          <w:i/>
          <w:iCs/>
        </w:rPr>
        <w:t xml:space="preserve"> la lista de puntos del orden del día.</w:t>
      </w:r>
    </w:p>
    <w:p w14:paraId="0F45EB30" w14:textId="76200DB9" w:rsidR="00E541AC" w:rsidRPr="00ED44B9" w:rsidRDefault="00E541AC" w:rsidP="00E541AC">
      <w:pPr>
        <w:pStyle w:val="Headingb"/>
      </w:pPr>
      <w:r w:rsidRPr="00ED44B9">
        <w:t>Propuestas</w:t>
      </w:r>
    </w:p>
    <w:p w14:paraId="2BC25511" w14:textId="77777777" w:rsidR="008750A8" w:rsidRPr="00ED44B9" w:rsidRDefault="008750A8" w:rsidP="008750A8">
      <w:pPr>
        <w:tabs>
          <w:tab w:val="clear" w:pos="1134"/>
          <w:tab w:val="clear" w:pos="1871"/>
          <w:tab w:val="clear" w:pos="2268"/>
        </w:tabs>
        <w:overflowPunct/>
        <w:autoSpaceDE/>
        <w:autoSpaceDN/>
        <w:adjustRightInd/>
        <w:spacing w:before="0"/>
        <w:textAlignment w:val="auto"/>
      </w:pPr>
      <w:r w:rsidRPr="00ED44B9">
        <w:br w:type="page"/>
      </w:r>
    </w:p>
    <w:p w14:paraId="59463E79" w14:textId="705A6CC3" w:rsidR="00B2112B" w:rsidRPr="00D57AB9" w:rsidRDefault="00935032">
      <w:pPr>
        <w:pStyle w:val="Proposal"/>
        <w:rPr>
          <w:lang w:val="es-ES"/>
        </w:rPr>
      </w:pPr>
      <w:r w:rsidRPr="00D57AB9">
        <w:rPr>
          <w:lang w:val="es-ES"/>
        </w:rPr>
        <w:lastRenderedPageBreak/>
        <w:t>ADD</w:t>
      </w:r>
      <w:r w:rsidRPr="00D57AB9">
        <w:rPr>
          <w:lang w:val="es-ES"/>
        </w:rPr>
        <w:tab/>
        <w:t>D/</w:t>
      </w:r>
      <w:r w:rsidR="0096613B" w:rsidRPr="00D57AB9">
        <w:rPr>
          <w:lang w:val="es-ES"/>
        </w:rPr>
        <w:t>AUT</w:t>
      </w:r>
      <w:r w:rsidRPr="00D57AB9">
        <w:rPr>
          <w:lang w:val="es-ES"/>
        </w:rPr>
        <w:t>/BEL/HRV/E/F/HNG/I/LUX/MLT/MNE/NOR/HOL/POL/POR/ROU/SUI/166/1</w:t>
      </w:r>
    </w:p>
    <w:p w14:paraId="76D784DD" w14:textId="40ECA63C" w:rsidR="00B2112B" w:rsidRPr="00ED44B9" w:rsidRDefault="00935032">
      <w:pPr>
        <w:pStyle w:val="ResNo"/>
      </w:pPr>
      <w:r w:rsidRPr="00ED44B9">
        <w:t xml:space="preserve">Proyecto de nueva Resolución </w:t>
      </w:r>
      <w:r w:rsidR="008E3B03" w:rsidRPr="00ED44B9">
        <w:t>[MCP-A10-Cuadro 21-2] (CMR-23)</w:t>
      </w:r>
    </w:p>
    <w:p w14:paraId="45111B7B" w14:textId="02DA6FB0" w:rsidR="00B2112B" w:rsidRPr="00ED44B9" w:rsidRDefault="008E3B03">
      <w:pPr>
        <w:pStyle w:val="Restitle"/>
        <w:rPr>
          <w:rFonts w:ascii="Times New Roman"/>
        </w:rPr>
      </w:pPr>
      <w:r w:rsidRPr="00ED44B9">
        <w:rPr>
          <w:rFonts w:ascii="Times New Roman"/>
        </w:rPr>
        <w:t>Protecci</w:t>
      </w:r>
      <w:r w:rsidRPr="00ED44B9">
        <w:rPr>
          <w:rFonts w:ascii="Times New Roman"/>
        </w:rPr>
        <w:t>ó</w:t>
      </w:r>
      <w:r w:rsidRPr="00ED44B9">
        <w:rPr>
          <w:rFonts w:ascii="Times New Roman"/>
        </w:rPr>
        <w:t>n de las estaciones espaciales que comparten frecuencias en algunas bandas de frecuencias por encima de 30 GHz contra las estaciones terrenales del</w:t>
      </w:r>
      <w:r w:rsidR="00F93268" w:rsidRPr="00ED44B9">
        <w:rPr>
          <w:rFonts w:ascii="Times New Roman"/>
        </w:rPr>
        <w:t> </w:t>
      </w:r>
      <w:r w:rsidRPr="00ED44B9">
        <w:rPr>
          <w:rFonts w:ascii="Times New Roman"/>
        </w:rPr>
        <w:t>servicio fijo o del servicio m</w:t>
      </w:r>
      <w:r w:rsidRPr="00ED44B9">
        <w:rPr>
          <w:rFonts w:ascii="Times New Roman"/>
        </w:rPr>
        <w:t>ó</w:t>
      </w:r>
      <w:r w:rsidRPr="00ED44B9">
        <w:rPr>
          <w:rFonts w:ascii="Times New Roman"/>
        </w:rPr>
        <w:t>vil, incluidas las estaciones IMT</w:t>
      </w:r>
      <w:r w:rsidR="00F93268" w:rsidRPr="00ED44B9">
        <w:rPr>
          <w:rFonts w:ascii="Times New Roman"/>
        </w:rPr>
        <w:br/>
      </w:r>
      <w:r w:rsidRPr="00ED44B9">
        <w:rPr>
          <w:rFonts w:ascii="Times New Roman"/>
        </w:rPr>
        <w:t>que utilizan un sistema de elementos activos</w:t>
      </w:r>
    </w:p>
    <w:p w14:paraId="3C5807A3" w14:textId="6F87B384" w:rsidR="00B2112B" w:rsidRPr="00ED44B9" w:rsidRDefault="008E3B03">
      <w:pPr>
        <w:pStyle w:val="Normalaftertitle"/>
      </w:pPr>
      <w:r w:rsidRPr="00ED44B9">
        <w:rPr>
          <w:i/>
          <w:iCs/>
        </w:rPr>
        <w:t xml:space="preserve">Nota: esta propuesta debe revisarse en </w:t>
      </w:r>
      <w:r w:rsidR="00D23BC1" w:rsidRPr="00ED44B9">
        <w:rPr>
          <w:i/>
          <w:iCs/>
        </w:rPr>
        <w:t>función de lo que decida la</w:t>
      </w:r>
      <w:r w:rsidRPr="00ED44B9">
        <w:rPr>
          <w:i/>
          <w:iCs/>
        </w:rPr>
        <w:t xml:space="preserve"> CMR-23 en respuesta al Documento 550 (CMR-19), entre otras cosas en lo que respecta a las posibles medidas de seguimiento para la CMR-27</w:t>
      </w:r>
      <w:r w:rsidRPr="00ED44B9">
        <w:t>.</w:t>
      </w:r>
    </w:p>
    <w:p w14:paraId="1DCF839F" w14:textId="76E7D7D5" w:rsidR="008E3B03" w:rsidRPr="00ED44B9" w:rsidRDefault="008E3B03" w:rsidP="008E3B03">
      <w:r w:rsidRPr="00ED44B9">
        <w:t>La Conferencia Mundial de Radiocomunicaciones (Dubái, 2023),</w:t>
      </w:r>
    </w:p>
    <w:p w14:paraId="29FABF90" w14:textId="36A6D797" w:rsidR="008E3B03" w:rsidRPr="00ED44B9" w:rsidRDefault="008E3B03" w:rsidP="008E3B03">
      <w:pPr>
        <w:pStyle w:val="Call"/>
      </w:pPr>
      <w:r w:rsidRPr="00ED44B9">
        <w:t>considerando</w:t>
      </w:r>
    </w:p>
    <w:p w14:paraId="1393BF79" w14:textId="1846FA2B" w:rsidR="008E3B03" w:rsidRPr="00ED44B9" w:rsidRDefault="008E3B03" w:rsidP="008E3B03">
      <w:r w:rsidRPr="00ED44B9">
        <w:rPr>
          <w:i/>
        </w:rPr>
        <w:t>a)</w:t>
      </w:r>
      <w:r w:rsidRPr="00ED44B9">
        <w:tab/>
      </w:r>
      <w:r w:rsidR="00395191" w:rsidRPr="00ED44B9">
        <w:t>que en el Documento 550 (CMR-19) se invita al UIT-R «</w:t>
      </w:r>
      <w:r w:rsidR="00395191" w:rsidRPr="00ED44B9">
        <w:rPr>
          <w:i/>
          <w:iCs/>
        </w:rPr>
        <w:t xml:space="preserve">a estudiar, con carácter urgente, la aplicabilidad del límite establecido en el número </w:t>
      </w:r>
      <w:r w:rsidR="00395191" w:rsidRPr="00ED44B9">
        <w:rPr>
          <w:b/>
          <w:bCs/>
          <w:i/>
          <w:iCs/>
        </w:rPr>
        <w:t>21.5</w:t>
      </w:r>
      <w:r w:rsidR="00395191" w:rsidRPr="00ED44B9">
        <w:rPr>
          <w:i/>
          <w:iCs/>
        </w:rPr>
        <w:t xml:space="preserve"> del Reglamento de Radiocomunicaciones a las estaciones IMT que utilizan una antena integrada por un sistema de elementos activos, con objeto de formular una recomendación sobre las posibilidades existentes para su reemplazo o revisión para dichas estaciones, así como las actualizaciones necesarias del Cuadro </w:t>
      </w:r>
      <w:r w:rsidR="00395191" w:rsidRPr="00ED44B9">
        <w:rPr>
          <w:b/>
          <w:bCs/>
          <w:i/>
          <w:iCs/>
        </w:rPr>
        <w:t>21-2</w:t>
      </w:r>
      <w:r w:rsidR="00395191" w:rsidRPr="00ED44B9">
        <w:rPr>
          <w:i/>
          <w:iCs/>
        </w:rPr>
        <w:t xml:space="preserve"> en relación con los servicios terrenales y espaciales que comparten bandas de frecuencias</w:t>
      </w:r>
      <w:r w:rsidR="00395191" w:rsidRPr="00ED44B9">
        <w:t>»;</w:t>
      </w:r>
    </w:p>
    <w:p w14:paraId="2625355D" w14:textId="10FB6B10" w:rsidR="008E3B03" w:rsidRPr="00ED44B9" w:rsidRDefault="008E3B03" w:rsidP="008E3B03">
      <w:r w:rsidRPr="00ED44B9">
        <w:rPr>
          <w:i/>
          <w:iCs/>
        </w:rPr>
        <w:t>b)</w:t>
      </w:r>
      <w:r w:rsidRPr="00ED44B9">
        <w:rPr>
          <w:i/>
          <w:iCs/>
        </w:rPr>
        <w:tab/>
      </w:r>
      <w:r w:rsidR="00395191" w:rsidRPr="00ED44B9">
        <w:t xml:space="preserve">que el número </w:t>
      </w:r>
      <w:r w:rsidR="00395191" w:rsidRPr="00ED44B9">
        <w:rPr>
          <w:b/>
          <w:bCs/>
        </w:rPr>
        <w:t>21.5</w:t>
      </w:r>
      <w:r w:rsidR="00395191" w:rsidRPr="00ED44B9">
        <w:t xml:space="preserve"> es fundamental para proteger los satélites contra las interferencias combinadas, como se explica en la Recomendación UIT-R SF.355, en virtud de la cual </w:t>
      </w:r>
      <w:r w:rsidR="00D129A5" w:rsidRPr="00ED44B9">
        <w:rPr>
          <w:i/>
          <w:iCs/>
        </w:rPr>
        <w:t>«</w:t>
      </w:r>
      <w:r w:rsidR="00395191" w:rsidRPr="00ED44B9">
        <w:rPr>
          <w:i/>
          <w:iCs/>
        </w:rPr>
        <w:t>[f]uera de su haz principal, la ganancia de una antena de estación terrenal es, en gran medida, independiente de la ganancia en este haz. Por consiguiente, cuando el satélite no se encuentra en el haz principal, la interferencia puede reducirse limitando la potencia total suministrada a la antena en vez de limitar la p.i.r.e. La interferencia total a través del haz principal de la antena del satélite depende, por tanto, del número de estaciones terrenales situadas dentro de la zona de cobertura y del promedio de la ganancia de sus antenas en la dirección del satélite</w:t>
      </w:r>
      <w:r w:rsidR="00D129A5" w:rsidRPr="00ED44B9">
        <w:t>»</w:t>
      </w:r>
      <w:r w:rsidRPr="00ED44B9">
        <w:t>;</w:t>
      </w:r>
    </w:p>
    <w:p w14:paraId="374FEB29" w14:textId="64A63EBC" w:rsidR="008E3B03" w:rsidRPr="00ED44B9" w:rsidRDefault="008E3B03" w:rsidP="008E3B03">
      <w:r w:rsidRPr="00ED44B9">
        <w:rPr>
          <w:i/>
        </w:rPr>
        <w:t>c)</w:t>
      </w:r>
      <w:r w:rsidRPr="00ED44B9">
        <w:tab/>
      </w:r>
      <w:r w:rsidR="00D129A5" w:rsidRPr="00ED44B9">
        <w:t>que en la CMR-19 se identificaron varias bandas de frecuencias por encima de 24 GHz para las Telecomunicaciones Móviles Internacionales (IMT);</w:t>
      </w:r>
    </w:p>
    <w:p w14:paraId="489708CF" w14:textId="30CA5B07" w:rsidR="00D129A5" w:rsidRPr="00ED44B9" w:rsidRDefault="00D129A5" w:rsidP="00D129A5">
      <w:r w:rsidRPr="00ED44B9">
        <w:rPr>
          <w:i/>
        </w:rPr>
        <w:t>d)</w:t>
      </w:r>
      <w:r w:rsidRPr="00ED44B9">
        <w:tab/>
        <w:t>que existen despliegues de los sistemas fijo y móvil, incluidas las IMT, que utilizan una antena integrada por un sistema de elementos activos, en bandas no identificadas para las IMT;</w:t>
      </w:r>
    </w:p>
    <w:p w14:paraId="6539B953" w14:textId="230CC361" w:rsidR="00D129A5" w:rsidRPr="00ED44B9" w:rsidRDefault="00D129A5" w:rsidP="00D129A5">
      <w:pPr>
        <w:rPr>
          <w:iCs/>
        </w:rPr>
      </w:pPr>
      <w:r w:rsidRPr="00ED44B9">
        <w:rPr>
          <w:i/>
          <w:iCs/>
        </w:rPr>
        <w:t>e)</w:t>
      </w:r>
      <w:r w:rsidRPr="00ED44B9">
        <w:rPr>
          <w:iCs/>
        </w:rPr>
        <w:tab/>
        <w:t xml:space="preserve">que las propiedades de las bandas de frecuencia </w:t>
      </w:r>
      <w:r w:rsidR="0076349B" w:rsidRPr="00ED44B9">
        <w:rPr>
          <w:iCs/>
        </w:rPr>
        <w:t>superiores</w:t>
      </w:r>
      <w:r w:rsidRPr="00ED44B9">
        <w:rPr>
          <w:iCs/>
        </w:rPr>
        <w:t xml:space="preserve"> </w:t>
      </w:r>
      <w:r w:rsidR="0076349B" w:rsidRPr="00ED44B9">
        <w:rPr>
          <w:iCs/>
        </w:rPr>
        <w:t>podrían facilitar la utilización de sistemas de antenas avanzados, incluidos los sistemas de entradas múltiples y salidas múltiples (MIMO) y técnicas de conformación del haz</w:t>
      </w:r>
      <w:r w:rsidRPr="00ED44B9">
        <w:rPr>
          <w:iCs/>
        </w:rPr>
        <w:t>;</w:t>
      </w:r>
    </w:p>
    <w:p w14:paraId="728793F8" w14:textId="1D735323" w:rsidR="00D129A5" w:rsidRPr="00ED44B9" w:rsidRDefault="00D129A5" w:rsidP="00D129A5">
      <w:r w:rsidRPr="00ED44B9">
        <w:rPr>
          <w:i/>
        </w:rPr>
        <w:t>f)</w:t>
      </w:r>
      <w:r w:rsidRPr="00ED44B9">
        <w:tab/>
      </w:r>
      <w:r w:rsidR="0076349B" w:rsidRPr="00ED44B9">
        <w:t>la necesidad de proteger los servicios existentes y permitir que sigan desarrollándose</w:t>
      </w:r>
      <w:r w:rsidRPr="00ED44B9">
        <w:t>;</w:t>
      </w:r>
    </w:p>
    <w:p w14:paraId="564483BC" w14:textId="0A5B4C94" w:rsidR="00D129A5" w:rsidRPr="00ED44B9" w:rsidRDefault="00D129A5" w:rsidP="00D129A5">
      <w:pPr>
        <w:rPr>
          <w:rFonts w:eastAsiaTheme="minorEastAsia"/>
          <w:szCs w:val="24"/>
        </w:rPr>
      </w:pPr>
      <w:r w:rsidRPr="00ED44B9">
        <w:rPr>
          <w:i/>
        </w:rPr>
        <w:t>g)</w:t>
      </w:r>
      <w:r w:rsidRPr="00ED44B9">
        <w:tab/>
      </w:r>
      <w:r w:rsidR="0076349B" w:rsidRPr="00ED44B9">
        <w:t>que, de conformidad con lo decidido en la CMR-23</w:t>
      </w:r>
      <w:r w:rsidRPr="00ED44B9">
        <w:t xml:space="preserve">, </w:t>
      </w:r>
      <w:r w:rsidR="0076349B" w:rsidRPr="00ED44B9">
        <w:t xml:space="preserve">el número </w:t>
      </w:r>
      <w:r w:rsidRPr="00ED44B9">
        <w:rPr>
          <w:b/>
        </w:rPr>
        <w:t>21.5B</w:t>
      </w:r>
      <w:r w:rsidRPr="00ED44B9">
        <w:t xml:space="preserve"> </w:t>
      </w:r>
      <w:r w:rsidR="0076349B" w:rsidRPr="00ED44B9">
        <w:t xml:space="preserve">se aplica a los sistemas de los servicios fijo y móvil que utilizan una antena integrada por un sistema de elementos activos en la banda de frecuencias </w:t>
      </w:r>
      <w:r w:rsidRPr="00ED44B9">
        <w:rPr>
          <w:rFonts w:eastAsiaTheme="minorEastAsia"/>
          <w:szCs w:val="24"/>
        </w:rPr>
        <w:t>24</w:t>
      </w:r>
      <w:r w:rsidR="0076349B" w:rsidRPr="00ED44B9">
        <w:rPr>
          <w:rFonts w:eastAsiaTheme="minorEastAsia"/>
          <w:szCs w:val="24"/>
        </w:rPr>
        <w:t>,</w:t>
      </w:r>
      <w:r w:rsidRPr="00ED44B9">
        <w:rPr>
          <w:rFonts w:eastAsiaTheme="minorEastAsia"/>
          <w:szCs w:val="24"/>
        </w:rPr>
        <w:t>45-29</w:t>
      </w:r>
      <w:r w:rsidR="0076349B" w:rsidRPr="00ED44B9">
        <w:rPr>
          <w:rFonts w:eastAsiaTheme="minorEastAsia"/>
          <w:szCs w:val="24"/>
        </w:rPr>
        <w:t>,</w:t>
      </w:r>
      <w:r w:rsidRPr="00ED44B9">
        <w:rPr>
          <w:rFonts w:eastAsiaTheme="minorEastAsia"/>
          <w:szCs w:val="24"/>
        </w:rPr>
        <w:t>5 GHz,</w:t>
      </w:r>
    </w:p>
    <w:p w14:paraId="1D7E99D7" w14:textId="41D1FC87" w:rsidR="00D129A5" w:rsidRPr="00ED44B9" w:rsidRDefault="0076349B" w:rsidP="00D129A5">
      <w:pPr>
        <w:pStyle w:val="Call"/>
        <w:rPr>
          <w:lang w:eastAsia="nl-NL"/>
        </w:rPr>
      </w:pPr>
      <w:r w:rsidRPr="00ED44B9">
        <w:rPr>
          <w:lang w:eastAsia="nl-NL"/>
        </w:rPr>
        <w:lastRenderedPageBreak/>
        <w:t>invita a las administraciones</w:t>
      </w:r>
    </w:p>
    <w:p w14:paraId="1CE09F14" w14:textId="266B0D8C" w:rsidR="00D129A5" w:rsidRPr="00ED44B9" w:rsidRDefault="0076349B" w:rsidP="00D129A5">
      <w:r w:rsidRPr="00ED44B9">
        <w:t xml:space="preserve">a participar activamente en </w:t>
      </w:r>
      <w:r w:rsidR="00E3526C" w:rsidRPr="00ED44B9">
        <w:t>los</w:t>
      </w:r>
      <w:r w:rsidR="00D23BC1" w:rsidRPr="00ED44B9">
        <w:t xml:space="preserve"> mencionados</w:t>
      </w:r>
      <w:r w:rsidRPr="00ED44B9">
        <w:t xml:space="preserve"> estudios del UIT-R y </w:t>
      </w:r>
      <w:r w:rsidR="00D42CE3" w:rsidRPr="00ED44B9">
        <w:t xml:space="preserve">a </w:t>
      </w:r>
      <w:r w:rsidRPr="00ED44B9">
        <w:t xml:space="preserve">suministrar las características técnicas y operativas de los sistemas en cuestión, mediante la presentación de contribuciones al </w:t>
      </w:r>
      <w:r w:rsidR="00E3526C" w:rsidRPr="00ED44B9">
        <w:t xml:space="preserve">Sector </w:t>
      </w:r>
      <w:r w:rsidRPr="00ED44B9">
        <w:t>UIT-R</w:t>
      </w:r>
      <w:r w:rsidR="00D129A5" w:rsidRPr="00ED44B9">
        <w:t>,</w:t>
      </w:r>
    </w:p>
    <w:p w14:paraId="7043912A" w14:textId="092294F9" w:rsidR="00D129A5" w:rsidRPr="00ED44B9" w:rsidRDefault="00E3526C" w:rsidP="00D129A5">
      <w:pPr>
        <w:pStyle w:val="Call"/>
      </w:pPr>
      <w:r w:rsidRPr="00ED44B9">
        <w:t xml:space="preserve">resuelve invitar al Sector de Radiocomunicaciones de la UIT a realizar y completar a tiempo para la </w:t>
      </w:r>
      <w:r w:rsidR="00D42CE3" w:rsidRPr="00ED44B9">
        <w:t>Conferencia Mundial de Radiocomunicaciones de 2027</w:t>
      </w:r>
    </w:p>
    <w:p w14:paraId="6B24DC5C" w14:textId="540665ED" w:rsidR="00D129A5" w:rsidRPr="00ED44B9" w:rsidRDefault="00E3526C" w:rsidP="00D129A5">
      <w:pPr>
        <w:keepNext/>
        <w:rPr>
          <w:iCs/>
        </w:rPr>
      </w:pPr>
      <w:r w:rsidRPr="00ED44B9">
        <w:t>estudios técnicos, operativos y reglamentarios adecuados destinados a proteger eficazmente los receptores de las estaciones espaciales contra la interferencia combinada producida por las estaciones de los servicios fijo y móvil, incluidas las que utilizan una antena integrada por un sistema de elementos activos, en las siguientes bandas de frecuencias</w:t>
      </w:r>
      <w:r w:rsidR="00D129A5" w:rsidRPr="00ED44B9">
        <w:rPr>
          <w:iCs/>
        </w:rPr>
        <w:t>:</w:t>
      </w:r>
    </w:p>
    <w:p w14:paraId="0026A90A" w14:textId="7F99DF47" w:rsidR="00D129A5" w:rsidRPr="00ED44B9" w:rsidRDefault="00D129A5" w:rsidP="00D129A5">
      <w:pPr>
        <w:pStyle w:val="enumlev1"/>
        <w:rPr>
          <w:rFonts w:eastAsia="MS Mincho"/>
        </w:rPr>
      </w:pPr>
      <w:r w:rsidRPr="00ED44B9">
        <w:rPr>
          <w:rFonts w:eastAsia="MS Mincho"/>
        </w:rPr>
        <w:t>–</w:t>
      </w:r>
      <w:r w:rsidRPr="00ED44B9">
        <w:rPr>
          <w:rFonts w:eastAsia="MS Mincho"/>
        </w:rPr>
        <w:tab/>
      </w:r>
      <w:r w:rsidRPr="00ED44B9">
        <w:rPr>
          <w:lang w:eastAsia="zh-CN"/>
        </w:rPr>
        <w:t>40-40</w:t>
      </w:r>
      <w:r w:rsidR="00E3526C" w:rsidRPr="00ED44B9">
        <w:rPr>
          <w:lang w:eastAsia="zh-CN"/>
        </w:rPr>
        <w:t>,</w:t>
      </w:r>
      <w:r w:rsidRPr="00ED44B9">
        <w:rPr>
          <w:lang w:eastAsia="zh-CN"/>
        </w:rPr>
        <w:t>5 GHz, 42</w:t>
      </w:r>
      <w:r w:rsidR="00E3526C" w:rsidRPr="00ED44B9">
        <w:rPr>
          <w:lang w:eastAsia="zh-CN"/>
        </w:rPr>
        <w:t>,</w:t>
      </w:r>
      <w:r w:rsidRPr="00ED44B9">
        <w:rPr>
          <w:lang w:eastAsia="zh-CN"/>
        </w:rPr>
        <w:t>5-43</w:t>
      </w:r>
      <w:r w:rsidR="00E3526C" w:rsidRPr="00ED44B9">
        <w:rPr>
          <w:lang w:eastAsia="zh-CN"/>
        </w:rPr>
        <w:t>,</w:t>
      </w:r>
      <w:r w:rsidRPr="00ED44B9">
        <w:rPr>
          <w:lang w:eastAsia="zh-CN"/>
        </w:rPr>
        <w:t xml:space="preserve">5 GHz </w:t>
      </w:r>
      <w:r w:rsidR="00E3526C" w:rsidRPr="00ED44B9">
        <w:rPr>
          <w:lang w:eastAsia="zh-CN"/>
        </w:rPr>
        <w:t>y</w:t>
      </w:r>
      <w:r w:rsidRPr="00ED44B9">
        <w:rPr>
          <w:lang w:eastAsia="zh-CN"/>
        </w:rPr>
        <w:t xml:space="preserve"> 43</w:t>
      </w:r>
      <w:r w:rsidR="00E3526C" w:rsidRPr="00ED44B9">
        <w:rPr>
          <w:lang w:eastAsia="zh-CN"/>
        </w:rPr>
        <w:t>,</w:t>
      </w:r>
      <w:r w:rsidRPr="00ED44B9">
        <w:rPr>
          <w:lang w:eastAsia="zh-CN"/>
        </w:rPr>
        <w:t>5-47 GHz</w:t>
      </w:r>
      <w:r w:rsidRPr="00ED44B9">
        <w:rPr>
          <w:rFonts w:eastAsia="MS Mincho"/>
        </w:rPr>
        <w:t>;</w:t>
      </w:r>
    </w:p>
    <w:p w14:paraId="662FA299" w14:textId="7FF6AA3D" w:rsidR="00D129A5" w:rsidRPr="00ED44B9" w:rsidRDefault="00D129A5" w:rsidP="00D129A5">
      <w:pPr>
        <w:pStyle w:val="enumlev1"/>
        <w:rPr>
          <w:rFonts w:eastAsia="MS Mincho"/>
        </w:rPr>
      </w:pPr>
      <w:r w:rsidRPr="00ED44B9">
        <w:rPr>
          <w:rFonts w:eastAsia="MS Mincho"/>
        </w:rPr>
        <w:t>–</w:t>
      </w:r>
      <w:r w:rsidRPr="00ED44B9">
        <w:rPr>
          <w:rFonts w:eastAsia="MS Mincho"/>
        </w:rPr>
        <w:tab/>
      </w:r>
      <w:r w:rsidRPr="00ED44B9">
        <w:rPr>
          <w:lang w:eastAsia="zh-CN"/>
        </w:rPr>
        <w:t>47</w:t>
      </w:r>
      <w:r w:rsidR="00E3526C" w:rsidRPr="00ED44B9">
        <w:rPr>
          <w:lang w:eastAsia="zh-CN"/>
        </w:rPr>
        <w:t>,</w:t>
      </w:r>
      <w:r w:rsidRPr="00ED44B9">
        <w:rPr>
          <w:lang w:eastAsia="zh-CN"/>
        </w:rPr>
        <w:t>2-50</w:t>
      </w:r>
      <w:r w:rsidR="00E3526C" w:rsidRPr="00ED44B9">
        <w:rPr>
          <w:lang w:eastAsia="zh-CN"/>
        </w:rPr>
        <w:t>,</w:t>
      </w:r>
      <w:r w:rsidRPr="00ED44B9">
        <w:rPr>
          <w:lang w:eastAsia="zh-CN"/>
        </w:rPr>
        <w:t>2 GHz</w:t>
      </w:r>
      <w:r w:rsidRPr="00ED44B9">
        <w:rPr>
          <w:rFonts w:eastAsia="MS Mincho"/>
        </w:rPr>
        <w:t>;</w:t>
      </w:r>
    </w:p>
    <w:p w14:paraId="4C7DA9BD" w14:textId="0E284B6C" w:rsidR="00D129A5" w:rsidRPr="00ED44B9" w:rsidRDefault="00D129A5" w:rsidP="00D129A5">
      <w:pPr>
        <w:pStyle w:val="enumlev1"/>
        <w:rPr>
          <w:rFonts w:eastAsia="MS Mincho"/>
        </w:rPr>
      </w:pPr>
      <w:r w:rsidRPr="00ED44B9">
        <w:rPr>
          <w:rFonts w:eastAsia="MS Mincho"/>
        </w:rPr>
        <w:t>–</w:t>
      </w:r>
      <w:r w:rsidRPr="00ED44B9">
        <w:rPr>
          <w:rFonts w:eastAsia="MS Mincho"/>
        </w:rPr>
        <w:tab/>
      </w:r>
      <w:r w:rsidRPr="00ED44B9">
        <w:rPr>
          <w:lang w:eastAsia="zh-CN"/>
        </w:rPr>
        <w:t>50</w:t>
      </w:r>
      <w:r w:rsidR="00E3526C" w:rsidRPr="00ED44B9">
        <w:rPr>
          <w:lang w:eastAsia="zh-CN"/>
        </w:rPr>
        <w:t>,</w:t>
      </w:r>
      <w:r w:rsidRPr="00ED44B9">
        <w:rPr>
          <w:lang w:eastAsia="zh-CN"/>
        </w:rPr>
        <w:t>4-52</w:t>
      </w:r>
      <w:r w:rsidR="00E3526C" w:rsidRPr="00ED44B9">
        <w:rPr>
          <w:lang w:eastAsia="zh-CN"/>
        </w:rPr>
        <w:t>,</w:t>
      </w:r>
      <w:r w:rsidRPr="00ED44B9">
        <w:rPr>
          <w:lang w:eastAsia="zh-CN"/>
        </w:rPr>
        <w:t>4 GHz</w:t>
      </w:r>
      <w:r w:rsidRPr="00ED44B9">
        <w:rPr>
          <w:rFonts w:eastAsia="MS Mincho"/>
        </w:rPr>
        <w:t>,</w:t>
      </w:r>
    </w:p>
    <w:p w14:paraId="0BE59DF1" w14:textId="573BF9FD" w:rsidR="00D129A5" w:rsidRPr="00ED44B9" w:rsidRDefault="00E3526C" w:rsidP="00D129A5">
      <w:pPr>
        <w:pStyle w:val="Call"/>
      </w:pPr>
      <w:r w:rsidRPr="00ED44B9">
        <w:t>resuelve invitar a la Conferencia Mundial de Radiocomunicaciones de 2027</w:t>
      </w:r>
    </w:p>
    <w:p w14:paraId="2B6B7F0E" w14:textId="4EBB3F66" w:rsidR="00D129A5" w:rsidRPr="00ED44B9" w:rsidRDefault="008C413C" w:rsidP="00D129A5">
      <w:r w:rsidRPr="00ED44B9">
        <w:t xml:space="preserve">a considerar, tomando como base los resultados de los estudios mencionados, </w:t>
      </w:r>
      <w:r w:rsidR="005B24DC" w:rsidRPr="00ED44B9">
        <w:t xml:space="preserve">la posibilidad de adoptar </w:t>
      </w:r>
      <w:r w:rsidRPr="00ED44B9">
        <w:t>medidas reglamentarias, e</w:t>
      </w:r>
      <w:r w:rsidR="00D129A5" w:rsidRPr="00ED44B9">
        <w:t xml:space="preserve">n particular </w:t>
      </w:r>
      <w:r w:rsidRPr="00ED44B9">
        <w:t xml:space="preserve">la actualización del Cuadro </w:t>
      </w:r>
      <w:r w:rsidRPr="00ED44B9">
        <w:rPr>
          <w:b/>
          <w:bCs/>
        </w:rPr>
        <w:t>21-2</w:t>
      </w:r>
      <w:r w:rsidRPr="00ED44B9">
        <w:t>, necesaria</w:t>
      </w:r>
      <w:r w:rsidR="005B24DC" w:rsidRPr="00ED44B9">
        <w:t>s</w:t>
      </w:r>
      <w:r w:rsidRPr="00ED44B9">
        <w:t xml:space="preserve"> para la protección de las estaciones espaciales por encima de 30 GHz, en respuesta a los estudios indicados en el </w:t>
      </w:r>
      <w:r w:rsidRPr="00ED44B9">
        <w:rPr>
          <w:i/>
          <w:iCs/>
        </w:rPr>
        <w:t>resuelve invitar al Sector de Radiocomunicaciones de la UIT</w:t>
      </w:r>
      <w:r w:rsidR="00D129A5" w:rsidRPr="00ED44B9">
        <w:t>.</w:t>
      </w:r>
    </w:p>
    <w:p w14:paraId="115D8092" w14:textId="77777777" w:rsidR="00EE5F08" w:rsidRPr="00ED44B9" w:rsidRDefault="00EE5F08" w:rsidP="00EE5F08">
      <w:r w:rsidRPr="00ED44B9">
        <w:br w:type="page"/>
      </w:r>
    </w:p>
    <w:p w14:paraId="689DFC39" w14:textId="15CFBD70" w:rsidR="00EE5F08" w:rsidRPr="00ED44B9" w:rsidRDefault="00EE5F08" w:rsidP="00EE5F08">
      <w:pPr>
        <w:pStyle w:val="Annextitle"/>
      </w:pPr>
      <w:r w:rsidRPr="00ED44B9">
        <w:lastRenderedPageBreak/>
        <w:t xml:space="preserve">Propuesta de punto </w:t>
      </w:r>
      <w:r w:rsidR="005B24DC" w:rsidRPr="00ED44B9">
        <w:t xml:space="preserve">para el </w:t>
      </w:r>
      <w:r w:rsidRPr="00ED44B9">
        <w:t>orden del día preliminar de la CMR-27</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37"/>
        <w:gridCol w:w="4880"/>
      </w:tblGrid>
      <w:tr w:rsidR="00EE5F08" w:rsidRPr="00ED44B9" w14:paraId="6E76473F" w14:textId="77777777" w:rsidTr="00B05C63">
        <w:tc>
          <w:tcPr>
            <w:tcW w:w="9317" w:type="dxa"/>
            <w:gridSpan w:val="2"/>
            <w:tcBorders>
              <w:top w:val="nil"/>
              <w:bottom w:val="nil"/>
            </w:tcBorders>
          </w:tcPr>
          <w:p w14:paraId="0FE20F6B" w14:textId="49E00ACE" w:rsidR="00EE5F08" w:rsidRPr="00ED44B9" w:rsidRDefault="00E70B41" w:rsidP="00B05C63">
            <w:pPr>
              <w:spacing w:beforeLines="50" w:afterLines="50" w:after="120"/>
              <w:rPr>
                <w:rFonts w:eastAsia="MS Mincho"/>
                <w:kern w:val="2"/>
                <w:lang w:eastAsia="ja-JP"/>
              </w:rPr>
            </w:pPr>
            <w:r w:rsidRPr="00ED44B9">
              <w:rPr>
                <w:rFonts w:eastAsia="MS Gothic"/>
                <w:b/>
                <w:bCs/>
                <w:i/>
                <w:iCs/>
                <w:kern w:val="2"/>
              </w:rPr>
              <w:t>Asunto</w:t>
            </w:r>
            <w:r w:rsidR="00EE5F08" w:rsidRPr="00ED44B9">
              <w:rPr>
                <w:rFonts w:eastAsia="MS Gothic"/>
                <w:b/>
                <w:bCs/>
                <w:i/>
                <w:iCs/>
                <w:kern w:val="2"/>
              </w:rPr>
              <w:t xml:space="preserve">: </w:t>
            </w:r>
            <w:r w:rsidRPr="00ED44B9">
              <w:t>Protección de la recepción por satélite contra la interferencia combinada producida por los servicios fijo y móvil en las bandas de frecuencias superiores a 30 GHz</w:t>
            </w:r>
          </w:p>
        </w:tc>
      </w:tr>
      <w:tr w:rsidR="00EE5F08" w:rsidRPr="00ED44B9" w14:paraId="4BB961F3" w14:textId="77777777" w:rsidTr="00B05C63">
        <w:tc>
          <w:tcPr>
            <w:tcW w:w="9317" w:type="dxa"/>
            <w:gridSpan w:val="2"/>
            <w:tcBorders>
              <w:top w:val="nil"/>
            </w:tcBorders>
          </w:tcPr>
          <w:p w14:paraId="4A9831C0" w14:textId="18980807" w:rsidR="00EE5F08" w:rsidRPr="00ED44B9" w:rsidRDefault="00EE5F08" w:rsidP="00B05C63">
            <w:pPr>
              <w:spacing w:beforeLines="50" w:afterLines="50" w:after="120"/>
              <w:rPr>
                <w:rFonts w:eastAsia="MS Gothic"/>
                <w:b/>
                <w:bCs/>
                <w:kern w:val="2"/>
              </w:rPr>
            </w:pPr>
            <w:r w:rsidRPr="00ED44B9">
              <w:rPr>
                <w:rFonts w:eastAsia="MS Gothic"/>
                <w:b/>
                <w:bCs/>
                <w:i/>
                <w:kern w:val="2"/>
              </w:rPr>
              <w:t>Orig</w:t>
            </w:r>
            <w:r w:rsidR="00E70B41" w:rsidRPr="00ED44B9">
              <w:rPr>
                <w:rFonts w:eastAsia="MS Gothic"/>
                <w:b/>
                <w:bCs/>
                <w:i/>
                <w:kern w:val="2"/>
              </w:rPr>
              <w:t>e</w:t>
            </w:r>
            <w:r w:rsidRPr="00ED44B9">
              <w:rPr>
                <w:rFonts w:eastAsia="MS Gothic"/>
                <w:b/>
                <w:bCs/>
                <w:i/>
                <w:kern w:val="2"/>
              </w:rPr>
              <w:t xml:space="preserve">n: </w:t>
            </w:r>
            <w:r w:rsidR="00E70B41" w:rsidRPr="00ED44B9">
              <w:t>Alemania (República Federal de), Austria, Bélgica, Croacia, España, Francia, Hungría, Italia, Luxemburgo, Malta, Montenegro, Noruega, Países Bajos (Reino de los), Polonia, Portugal, Rumania y Suiza</w:t>
            </w:r>
          </w:p>
        </w:tc>
      </w:tr>
      <w:tr w:rsidR="00EE5F08" w:rsidRPr="00ED44B9" w14:paraId="6DC2D5C1" w14:textId="77777777" w:rsidTr="00B05C63">
        <w:tc>
          <w:tcPr>
            <w:tcW w:w="9317" w:type="dxa"/>
            <w:gridSpan w:val="2"/>
          </w:tcPr>
          <w:p w14:paraId="21EF80E5" w14:textId="0D3B7D7B" w:rsidR="00EE5F08" w:rsidRPr="00ED44B9" w:rsidRDefault="00E70B41" w:rsidP="00B05C63">
            <w:pPr>
              <w:spacing w:beforeLines="50" w:afterLines="50" w:after="120"/>
              <w:rPr>
                <w:rFonts w:eastAsia="MS Gothic"/>
                <w:b/>
                <w:bCs/>
                <w:i/>
                <w:iCs/>
                <w:kern w:val="2"/>
                <w:lang w:eastAsia="ja-JP"/>
              </w:rPr>
            </w:pPr>
            <w:r w:rsidRPr="00ED44B9">
              <w:rPr>
                <w:rFonts w:eastAsia="MS Gothic"/>
                <w:b/>
                <w:bCs/>
                <w:i/>
                <w:iCs/>
                <w:kern w:val="2"/>
              </w:rPr>
              <w:t>Propuesta</w:t>
            </w:r>
            <w:r w:rsidR="00EE5F08" w:rsidRPr="00ED44B9">
              <w:rPr>
                <w:rFonts w:eastAsia="MS Gothic"/>
                <w:b/>
                <w:bCs/>
                <w:i/>
                <w:iCs/>
                <w:kern w:val="2"/>
              </w:rPr>
              <w:t>:</w:t>
            </w:r>
          </w:p>
          <w:p w14:paraId="7C308DF4" w14:textId="79389F8C" w:rsidR="00EE5F08" w:rsidRPr="00ED44B9" w:rsidRDefault="00E70B41" w:rsidP="00B05C63">
            <w:pPr>
              <w:spacing w:beforeLines="50" w:afterLines="50" w:after="120"/>
              <w:rPr>
                <w:rFonts w:eastAsia="SimSun"/>
                <w:i/>
                <w:kern w:val="2"/>
                <w:lang w:eastAsia="ko-KR"/>
              </w:rPr>
            </w:pPr>
            <w:r w:rsidRPr="00ED44B9">
              <w:t xml:space="preserve">considerar la posibilidad de adoptar disposiciones adecuadas para proteger la recepción por satélite contra la interferencia combinada producida por los servicios fijo y móvil, incluidos los sistemas que utilizan una antena integrada por un sistema de elementos activos, en algunas bandas de frecuencias por encima de 30 GHz, de conformidad con lo dispuesto en la Resolución </w:t>
            </w:r>
            <w:r w:rsidRPr="00ED44B9">
              <w:rPr>
                <w:b/>
                <w:bCs/>
              </w:rPr>
              <w:t>[MCP-</w:t>
            </w:r>
            <w:r w:rsidR="0043418C" w:rsidRPr="00ED44B9">
              <w:rPr>
                <w:b/>
                <w:bCs/>
              </w:rPr>
              <w:t> </w:t>
            </w:r>
            <w:r w:rsidRPr="00ED44B9">
              <w:rPr>
                <w:b/>
                <w:bCs/>
              </w:rPr>
              <w:t>A10-Cuadro 21-2](CMR-23)</w:t>
            </w:r>
            <w:r w:rsidRPr="00ED44B9">
              <w:t>.</w:t>
            </w:r>
          </w:p>
        </w:tc>
      </w:tr>
      <w:tr w:rsidR="00EE5F08" w:rsidRPr="00ED44B9" w14:paraId="17CCFF0A" w14:textId="77777777" w:rsidTr="00B05C63">
        <w:tc>
          <w:tcPr>
            <w:tcW w:w="9317" w:type="dxa"/>
            <w:gridSpan w:val="2"/>
          </w:tcPr>
          <w:p w14:paraId="668F40BA" w14:textId="137B1B9A" w:rsidR="00EE5F08" w:rsidRPr="00ED44B9" w:rsidRDefault="005B24DC" w:rsidP="00CE3FFB">
            <w:pPr>
              <w:pStyle w:val="Reasons"/>
              <w:rPr>
                <w:rFonts w:eastAsia="SimSun"/>
                <w:b/>
                <w:bCs/>
                <w:i/>
                <w:iCs/>
                <w:lang w:eastAsia="ko-KR"/>
              </w:rPr>
            </w:pPr>
            <w:r w:rsidRPr="00ED44B9">
              <w:rPr>
                <w:rFonts w:eastAsia="MS Gothic"/>
                <w:b/>
                <w:bCs/>
                <w:i/>
                <w:iCs/>
                <w:lang w:eastAsia="ko-KR"/>
              </w:rPr>
              <w:t>A</w:t>
            </w:r>
            <w:r w:rsidR="00E70B41" w:rsidRPr="00ED44B9">
              <w:rPr>
                <w:rFonts w:eastAsia="MS Gothic"/>
                <w:b/>
                <w:bCs/>
                <w:i/>
                <w:iCs/>
                <w:lang w:eastAsia="ko-KR"/>
              </w:rPr>
              <w:t>ntecedentes/motivos:</w:t>
            </w:r>
          </w:p>
          <w:p w14:paraId="0076FE2E" w14:textId="6A391A72" w:rsidR="00E70B41" w:rsidRPr="00ED44B9" w:rsidRDefault="00E70B41" w:rsidP="00CE3FFB">
            <w:pPr>
              <w:pStyle w:val="Reasons"/>
            </w:pPr>
            <w:r w:rsidRPr="00ED44B9">
              <w:t xml:space="preserve">En el Documento 550 (CMR-19) se invita al UIT-R «a estudiar, con carácter urgente, la aplicabilidad del límite establecido en el número </w:t>
            </w:r>
            <w:r w:rsidRPr="00ED44B9">
              <w:rPr>
                <w:b/>
                <w:bCs/>
              </w:rPr>
              <w:t>21.5</w:t>
            </w:r>
            <w:r w:rsidRPr="00ED44B9">
              <w:t xml:space="preserve"> del Reglamento de Radiocomunicaciones a las estaciones IMT que utilizan una antena integrada por un sistema de elementos activos, con objeto de formular una recomendación sobre las posibilidades existentes para su reemplazo o revisión para dichas estaciones, así como las actualizaciones necesarias del Cuadro </w:t>
            </w:r>
            <w:r w:rsidRPr="00ED44B9">
              <w:rPr>
                <w:b/>
                <w:bCs/>
              </w:rPr>
              <w:t>21-2</w:t>
            </w:r>
            <w:r w:rsidRPr="00ED44B9">
              <w:t xml:space="preserve"> en relación con los servicios terrenales y espaciales que comparten bandas de frecuencias»</w:t>
            </w:r>
            <w:r w:rsidR="008C112E" w:rsidRPr="00ED44B9">
              <w:t>.</w:t>
            </w:r>
          </w:p>
          <w:p w14:paraId="24CFFBB6" w14:textId="7B06CD82" w:rsidR="008C112E" w:rsidRPr="00ED44B9" w:rsidRDefault="008C112E" w:rsidP="00CE3FFB">
            <w:pPr>
              <w:pStyle w:val="Reasons"/>
            </w:pPr>
            <w:r w:rsidRPr="00ED44B9">
              <w:t xml:space="preserve">En respuesta a este documento, la CEPT propuso que la CMR-23 añadiera una nueva disposición número </w:t>
            </w:r>
            <w:r w:rsidRPr="00ED44B9">
              <w:rPr>
                <w:b/>
                <w:bCs/>
              </w:rPr>
              <w:t>21.5B</w:t>
            </w:r>
            <w:r w:rsidRPr="00ED44B9">
              <w:t xml:space="preserve"> </w:t>
            </w:r>
            <w:r w:rsidR="0002312A" w:rsidRPr="00ED44B9">
              <w:t>para autorizar</w:t>
            </w:r>
            <w:r w:rsidRPr="00ED44B9">
              <w:t xml:space="preserve"> la utilización de la potencia radiada total en la banda de frecuencias 24,45-29,5 GHz </w:t>
            </w:r>
            <w:r w:rsidR="0002312A" w:rsidRPr="00ED44B9">
              <w:t>en</w:t>
            </w:r>
            <w:r w:rsidRPr="00ED44B9">
              <w:t xml:space="preserve"> la aplicación del número </w:t>
            </w:r>
            <w:r w:rsidRPr="00ED44B9">
              <w:rPr>
                <w:b/>
                <w:bCs/>
              </w:rPr>
              <w:t>21.5</w:t>
            </w:r>
            <w:r w:rsidRPr="00ED44B9">
              <w:t xml:space="preserve"> a las estaciones de los servicios fijo y móvil que utilizan AAS, y </w:t>
            </w:r>
            <w:r w:rsidR="0002312A" w:rsidRPr="00ED44B9">
              <w:t>para modificar</w:t>
            </w:r>
            <w:r w:rsidRPr="00ED44B9">
              <w:t xml:space="preserve"> el Cuadro </w:t>
            </w:r>
            <w:r w:rsidRPr="00ED44B9">
              <w:rPr>
                <w:b/>
                <w:bCs/>
              </w:rPr>
              <w:t>21-2</w:t>
            </w:r>
            <w:r w:rsidRPr="00ED44B9">
              <w:t xml:space="preserve"> en consecuencia. </w:t>
            </w:r>
          </w:p>
          <w:p w14:paraId="1555CE03" w14:textId="15B95C43" w:rsidR="00EE5F08" w:rsidRPr="00ED44B9" w:rsidRDefault="008C112E" w:rsidP="00CE3FFB">
            <w:pPr>
              <w:pStyle w:val="Reasons"/>
              <w:rPr>
                <w:rFonts w:eastAsia="MS Mincho"/>
                <w:lang w:eastAsia="ja-JP"/>
              </w:rPr>
            </w:pPr>
            <w:r w:rsidRPr="00ED44B9">
              <w:t>Debido a l</w:t>
            </w:r>
            <w:r w:rsidR="005B1C30" w:rsidRPr="00ED44B9">
              <w:t xml:space="preserve">os temas que quedaron </w:t>
            </w:r>
            <w:r w:rsidRPr="00ED44B9">
              <w:t xml:space="preserve">pendientes durante ese ciclo de estudios en relación con las bandas de frecuencias aplicables y a la incoherencia del Cuadro </w:t>
            </w:r>
            <w:r w:rsidRPr="00ED44B9">
              <w:rPr>
                <w:b/>
                <w:bCs/>
              </w:rPr>
              <w:t>21-2</w:t>
            </w:r>
            <w:r w:rsidRPr="00ED44B9">
              <w:t xml:space="preserve">, que se </w:t>
            </w:r>
            <w:r w:rsidR="005B1C30" w:rsidRPr="00ED44B9">
              <w:t>refiere solamente</w:t>
            </w:r>
            <w:r w:rsidRPr="00ED44B9">
              <w:t xml:space="preserve"> a la banda de frecuencias por debajo de 30 GHz (</w:t>
            </w:r>
            <w:r w:rsidR="005B1C30" w:rsidRPr="00ED44B9">
              <w:t xml:space="preserve">salvo la banda </w:t>
            </w:r>
            <w:r w:rsidRPr="00ED44B9">
              <w:t xml:space="preserve">51,4-52,4 GHz, </w:t>
            </w:r>
            <w:r w:rsidR="005B1C30" w:rsidRPr="00ED44B9">
              <w:t>a raíz de</w:t>
            </w:r>
            <w:r w:rsidRPr="00ED44B9">
              <w:t xml:space="preserve"> la nueva atribución decidida por la CMR-19), es necesario considerar </w:t>
            </w:r>
            <w:r w:rsidR="005B1C30" w:rsidRPr="00ED44B9">
              <w:t>la posibilidad de ac</w:t>
            </w:r>
            <w:r w:rsidRPr="00ED44B9">
              <w:t>tualiza</w:t>
            </w:r>
            <w:r w:rsidR="005B1C30" w:rsidRPr="00ED44B9">
              <w:t xml:space="preserve">r </w:t>
            </w:r>
            <w:r w:rsidRPr="00ED44B9">
              <w:t xml:space="preserve">el Cuadro </w:t>
            </w:r>
            <w:r w:rsidRPr="00ED44B9">
              <w:rPr>
                <w:b/>
                <w:bCs/>
              </w:rPr>
              <w:t>21-2</w:t>
            </w:r>
            <w:r w:rsidRPr="00ED44B9">
              <w:t>.</w:t>
            </w:r>
          </w:p>
        </w:tc>
      </w:tr>
      <w:tr w:rsidR="00EE5F08" w:rsidRPr="00ED44B9" w14:paraId="56D8C91F" w14:textId="77777777" w:rsidTr="00B05C63">
        <w:tc>
          <w:tcPr>
            <w:tcW w:w="9317" w:type="dxa"/>
            <w:gridSpan w:val="2"/>
          </w:tcPr>
          <w:p w14:paraId="2E60F415" w14:textId="02A8A0F5" w:rsidR="00EE5F08" w:rsidRPr="00ED44B9" w:rsidRDefault="008C112E" w:rsidP="00B05C63">
            <w:pPr>
              <w:spacing w:beforeLines="50" w:afterLines="50" w:after="120"/>
              <w:rPr>
                <w:rFonts w:eastAsia="SimSun"/>
                <w:kern w:val="2"/>
                <w:lang w:eastAsia="zh-CN"/>
              </w:rPr>
            </w:pPr>
            <w:r w:rsidRPr="00ED44B9">
              <w:rPr>
                <w:rFonts w:eastAsia="MS Gothic"/>
                <w:b/>
                <w:bCs/>
                <w:i/>
                <w:iCs/>
                <w:kern w:val="2"/>
              </w:rPr>
              <w:t>Servicios de radiocomunicaciones en cuestión</w:t>
            </w:r>
            <w:r w:rsidR="00EE5F08" w:rsidRPr="00ED44B9">
              <w:rPr>
                <w:rFonts w:eastAsia="MS Gothic"/>
                <w:b/>
                <w:bCs/>
                <w:i/>
                <w:iCs/>
                <w:kern w:val="2"/>
              </w:rPr>
              <w:t>:</w:t>
            </w:r>
          </w:p>
          <w:p w14:paraId="58808E1D" w14:textId="1F39AEC5" w:rsidR="00EE5F08" w:rsidRPr="00ED44B9" w:rsidRDefault="00475224" w:rsidP="00B05C63">
            <w:pPr>
              <w:spacing w:after="120"/>
            </w:pPr>
            <w:r w:rsidRPr="00ED44B9">
              <w:rPr>
                <w:lang w:eastAsia="ko-KR"/>
              </w:rPr>
              <w:t>fijo por satélite, entre satélites, móvil, móvil por satélite</w:t>
            </w:r>
          </w:p>
        </w:tc>
      </w:tr>
      <w:tr w:rsidR="00EE5F08" w:rsidRPr="00ED44B9" w14:paraId="2D0F4781" w14:textId="77777777" w:rsidTr="00B05C63">
        <w:trPr>
          <w:trHeight w:val="941"/>
        </w:trPr>
        <w:tc>
          <w:tcPr>
            <w:tcW w:w="9317" w:type="dxa"/>
            <w:gridSpan w:val="2"/>
          </w:tcPr>
          <w:p w14:paraId="55A89B41" w14:textId="73FAE0B4" w:rsidR="00EE5F08" w:rsidRPr="00ED44B9" w:rsidRDefault="008C112E" w:rsidP="00B05C63">
            <w:pPr>
              <w:spacing w:beforeLines="50" w:afterLines="50" w:after="120"/>
              <w:rPr>
                <w:rFonts w:eastAsia="MS Gothic"/>
                <w:b/>
                <w:bCs/>
                <w:i/>
                <w:iCs/>
                <w:kern w:val="2"/>
              </w:rPr>
            </w:pPr>
            <w:r w:rsidRPr="00ED44B9">
              <w:rPr>
                <w:rFonts w:eastAsia="MS Gothic"/>
                <w:b/>
                <w:bCs/>
                <w:i/>
                <w:iCs/>
                <w:kern w:val="2"/>
              </w:rPr>
              <w:t>Indicación de posibles dificultades</w:t>
            </w:r>
            <w:r w:rsidR="00EE5F08" w:rsidRPr="00ED44B9">
              <w:rPr>
                <w:rFonts w:eastAsia="MS Gothic"/>
                <w:b/>
                <w:bCs/>
                <w:i/>
                <w:iCs/>
                <w:kern w:val="2"/>
              </w:rPr>
              <w:t xml:space="preserve">: </w:t>
            </w:r>
          </w:p>
          <w:p w14:paraId="4058E328" w14:textId="5B75BD89" w:rsidR="00EE5F08" w:rsidRPr="00ED44B9" w:rsidRDefault="00475224" w:rsidP="00B05C63">
            <w:pPr>
              <w:rPr>
                <w:rFonts w:eastAsia="Yu Mincho"/>
                <w:i/>
                <w:kern w:val="2"/>
                <w:lang w:eastAsia="ja-JP"/>
              </w:rPr>
            </w:pPr>
            <w:r w:rsidRPr="00ED44B9">
              <w:t>Actualmente, no se ha identificado ninguna.</w:t>
            </w:r>
          </w:p>
        </w:tc>
      </w:tr>
      <w:tr w:rsidR="00EE5F08" w:rsidRPr="00ED44B9" w14:paraId="327C1B2B" w14:textId="77777777" w:rsidTr="00B05C63">
        <w:tc>
          <w:tcPr>
            <w:tcW w:w="9317" w:type="dxa"/>
            <w:gridSpan w:val="2"/>
          </w:tcPr>
          <w:p w14:paraId="3E36EEC3" w14:textId="20D5DF74" w:rsidR="00EE5F08" w:rsidRPr="00ED44B9" w:rsidRDefault="008C112E" w:rsidP="00B05C63">
            <w:pPr>
              <w:spacing w:beforeLines="50" w:afterLines="50" w:after="120"/>
              <w:rPr>
                <w:rFonts w:eastAsia="MS Gothic"/>
                <w:kern w:val="2"/>
                <w:lang w:eastAsia="ja-JP"/>
              </w:rPr>
            </w:pPr>
            <w:r w:rsidRPr="00ED44B9">
              <w:rPr>
                <w:rFonts w:eastAsia="MS Gothic"/>
                <w:b/>
                <w:bCs/>
                <w:i/>
                <w:iCs/>
                <w:kern w:val="2"/>
              </w:rPr>
              <w:t>Estudios previos o en curso sobre el tema</w:t>
            </w:r>
            <w:r w:rsidR="00EE5F08" w:rsidRPr="00ED44B9">
              <w:rPr>
                <w:rFonts w:eastAsia="MS Gothic"/>
                <w:b/>
                <w:bCs/>
                <w:i/>
                <w:iCs/>
                <w:kern w:val="2"/>
              </w:rPr>
              <w:t>:</w:t>
            </w:r>
          </w:p>
          <w:p w14:paraId="5C7292F1" w14:textId="366DC13B" w:rsidR="00EE5F08" w:rsidRPr="00ED44B9" w:rsidRDefault="00475224" w:rsidP="00B05C63">
            <w:pPr>
              <w:spacing w:after="120"/>
              <w:rPr>
                <w:rFonts w:eastAsia="MS PMincho"/>
                <w:kern w:val="2"/>
                <w:lang w:eastAsia="ja-JP"/>
              </w:rPr>
            </w:pPr>
            <w:r w:rsidRPr="00ED44B9">
              <w:t>Estudios relativos al Documento 550 (CMR-19) y estudios en preparación en relación con el punto 1.13 del orden del día de la CMR-19</w:t>
            </w:r>
          </w:p>
        </w:tc>
      </w:tr>
      <w:tr w:rsidR="00EE5F08" w:rsidRPr="00ED44B9" w14:paraId="4A909679" w14:textId="77777777" w:rsidTr="00A25AA1">
        <w:tc>
          <w:tcPr>
            <w:tcW w:w="4437" w:type="dxa"/>
          </w:tcPr>
          <w:p w14:paraId="5E2AFE83" w14:textId="5CE5FB0F" w:rsidR="00EE5F08" w:rsidRPr="00ED44B9" w:rsidRDefault="008C112E" w:rsidP="00A25AA1">
            <w:pPr>
              <w:keepNext/>
              <w:keepLines/>
              <w:spacing w:beforeLines="50" w:afterLines="50" w:after="120"/>
              <w:rPr>
                <w:rFonts w:eastAsia="MS Gothic"/>
                <w:b/>
                <w:bCs/>
                <w:i/>
                <w:iCs/>
                <w:kern w:val="2"/>
                <w:lang w:eastAsia="ja-JP"/>
              </w:rPr>
            </w:pPr>
            <w:r w:rsidRPr="00ED44B9">
              <w:rPr>
                <w:rFonts w:eastAsia="MS Gothic"/>
                <w:b/>
                <w:bCs/>
                <w:i/>
                <w:iCs/>
                <w:kern w:val="2"/>
              </w:rPr>
              <w:lastRenderedPageBreak/>
              <w:t>Estudios que han de efectuarse a cargo de</w:t>
            </w:r>
            <w:r w:rsidR="00EE5F08" w:rsidRPr="00ED44B9">
              <w:rPr>
                <w:rFonts w:eastAsia="MS Gothic"/>
                <w:b/>
                <w:bCs/>
                <w:i/>
                <w:iCs/>
                <w:kern w:val="2"/>
              </w:rPr>
              <w:t>:</w:t>
            </w:r>
          </w:p>
          <w:p w14:paraId="3272C2C7" w14:textId="4D9BC6B7" w:rsidR="00EE5F08" w:rsidRPr="00ED44B9" w:rsidRDefault="00475224" w:rsidP="00A25AA1">
            <w:pPr>
              <w:keepNext/>
              <w:keepLines/>
              <w:spacing w:before="50"/>
              <w:rPr>
                <w:rFonts w:eastAsia="SimSun"/>
                <w:bCs/>
                <w:kern w:val="2"/>
                <w:lang w:eastAsia="ko-KR"/>
              </w:rPr>
            </w:pPr>
            <w:r w:rsidRPr="00ED44B9">
              <w:rPr>
                <w:rFonts w:eastAsia="SimSun"/>
                <w:bCs/>
                <w:kern w:val="2"/>
                <w:lang w:eastAsia="ko-KR"/>
              </w:rPr>
              <w:t xml:space="preserve">GT 4D del UIT-R, con el apoyo del GT </w:t>
            </w:r>
            <w:r w:rsidR="00EE5F08" w:rsidRPr="00ED44B9">
              <w:t>5D</w:t>
            </w:r>
          </w:p>
        </w:tc>
        <w:tc>
          <w:tcPr>
            <w:tcW w:w="4880" w:type="dxa"/>
          </w:tcPr>
          <w:p w14:paraId="77A7284D" w14:textId="6A1EAC89" w:rsidR="00EE5F08" w:rsidRPr="00ED44B9" w:rsidRDefault="008C112E" w:rsidP="00A25AA1">
            <w:pPr>
              <w:keepNext/>
              <w:keepLines/>
              <w:spacing w:beforeLines="50" w:afterLines="50" w:after="120"/>
              <w:rPr>
                <w:rFonts w:eastAsia="MS Gothic"/>
                <w:b/>
                <w:bCs/>
                <w:i/>
                <w:iCs/>
                <w:kern w:val="2"/>
                <w:lang w:eastAsia="ja-JP"/>
              </w:rPr>
            </w:pPr>
            <w:r w:rsidRPr="00ED44B9">
              <w:rPr>
                <w:rFonts w:eastAsia="MS Gothic"/>
                <w:b/>
                <w:bCs/>
                <w:i/>
                <w:iCs/>
                <w:kern w:val="2"/>
              </w:rPr>
              <w:t>con participación de:</w:t>
            </w:r>
          </w:p>
          <w:p w14:paraId="62C21445" w14:textId="5C0EFBB9" w:rsidR="00EE5F08" w:rsidRPr="00ED44B9" w:rsidRDefault="00475224" w:rsidP="00A25AA1">
            <w:pPr>
              <w:keepNext/>
              <w:keepLines/>
              <w:spacing w:beforeLines="50" w:afterLines="50" w:after="120"/>
              <w:rPr>
                <w:rFonts w:eastAsia="MS Gothic"/>
                <w:kern w:val="2"/>
                <w:lang w:eastAsia="ja-JP"/>
              </w:rPr>
            </w:pPr>
            <w:r w:rsidRPr="00ED44B9">
              <w:rPr>
                <w:rFonts w:eastAsia="MS Gothic"/>
                <w:kern w:val="2"/>
                <w:lang w:eastAsia="ja-JP"/>
              </w:rPr>
              <w:t>Administraciones y Miembros de Sector del UIT-R</w:t>
            </w:r>
          </w:p>
        </w:tc>
      </w:tr>
      <w:tr w:rsidR="00EE5F08" w:rsidRPr="00ED44B9" w14:paraId="27191EF9" w14:textId="77777777" w:rsidTr="00B05C63">
        <w:tc>
          <w:tcPr>
            <w:tcW w:w="9317" w:type="dxa"/>
            <w:gridSpan w:val="2"/>
          </w:tcPr>
          <w:p w14:paraId="27E98004" w14:textId="6EC9DB07" w:rsidR="00EE5F08" w:rsidRPr="00ED44B9" w:rsidRDefault="00475224" w:rsidP="00B05C63">
            <w:pPr>
              <w:spacing w:beforeLines="50" w:afterLines="50" w:after="120"/>
              <w:rPr>
                <w:rFonts w:eastAsia="MS Gothic"/>
                <w:b/>
                <w:bCs/>
                <w:i/>
                <w:iCs/>
                <w:kern w:val="2"/>
                <w:lang w:eastAsia="ja-JP"/>
              </w:rPr>
            </w:pPr>
            <w:r w:rsidRPr="00ED44B9">
              <w:rPr>
                <w:rFonts w:eastAsia="MS Gothic"/>
                <w:b/>
                <w:bCs/>
                <w:i/>
                <w:iCs/>
                <w:kern w:val="2"/>
              </w:rPr>
              <w:t>Comisiones de Estudio del UIT-R interesadas:</w:t>
            </w:r>
          </w:p>
          <w:p w14:paraId="43E0EE0C" w14:textId="6C92EC70" w:rsidR="00EE5F08" w:rsidRPr="00ED44B9" w:rsidRDefault="00475224" w:rsidP="00B05C63">
            <w:pPr>
              <w:spacing w:beforeLines="50" w:afterLines="50" w:after="120"/>
              <w:rPr>
                <w:rFonts w:eastAsia="MS Gothic"/>
                <w:bCs/>
                <w:iCs/>
                <w:kern w:val="2"/>
                <w:lang w:eastAsia="ja-JP"/>
              </w:rPr>
            </w:pPr>
            <w:r w:rsidRPr="00ED44B9">
              <w:rPr>
                <w:bCs/>
                <w:color w:val="000000"/>
                <w:szCs w:val="24"/>
              </w:rPr>
              <w:t>CE </w:t>
            </w:r>
            <w:r w:rsidR="00EE5F08" w:rsidRPr="00ED44B9">
              <w:rPr>
                <w:bCs/>
                <w:color w:val="000000"/>
                <w:szCs w:val="24"/>
              </w:rPr>
              <w:t xml:space="preserve">4, </w:t>
            </w:r>
            <w:r w:rsidRPr="00ED44B9">
              <w:rPr>
                <w:bCs/>
                <w:color w:val="000000"/>
                <w:szCs w:val="24"/>
              </w:rPr>
              <w:t>CE </w:t>
            </w:r>
            <w:r w:rsidR="00EE5F08" w:rsidRPr="00ED44B9">
              <w:rPr>
                <w:bCs/>
                <w:color w:val="000000"/>
                <w:szCs w:val="24"/>
              </w:rPr>
              <w:t>5</w:t>
            </w:r>
          </w:p>
        </w:tc>
      </w:tr>
      <w:tr w:rsidR="00EE5F08" w:rsidRPr="00ED44B9" w14:paraId="53C33819" w14:textId="77777777" w:rsidTr="00B05C63">
        <w:trPr>
          <w:trHeight w:val="1087"/>
        </w:trPr>
        <w:tc>
          <w:tcPr>
            <w:tcW w:w="9317" w:type="dxa"/>
            <w:gridSpan w:val="2"/>
          </w:tcPr>
          <w:p w14:paraId="09C5FD6B" w14:textId="10C45F79" w:rsidR="00EE5F08" w:rsidRPr="00ED44B9" w:rsidRDefault="00DE700D" w:rsidP="00B05C63">
            <w:pPr>
              <w:spacing w:beforeLines="50" w:afterLines="50" w:after="120"/>
              <w:rPr>
                <w:rFonts w:eastAsia="MS Gothic"/>
                <w:kern w:val="2"/>
                <w:lang w:eastAsia="ja-JP"/>
              </w:rPr>
            </w:pPr>
            <w:r w:rsidRPr="00ED44B9">
              <w:rPr>
                <w:rFonts w:eastAsia="MS Gothic"/>
                <w:b/>
                <w:bCs/>
                <w:i/>
                <w:iCs/>
                <w:kern w:val="2"/>
              </w:rPr>
              <w:t>Consecuencias en los recursos de la UIT, incluidas las implicaciones financieras (véase el CV126):</w:t>
            </w:r>
          </w:p>
          <w:p w14:paraId="0B97A5E0" w14:textId="3DEAF2F5" w:rsidR="00EE5F08" w:rsidRPr="00ED44B9" w:rsidRDefault="00DE700D" w:rsidP="00B05C63">
            <w:pPr>
              <w:spacing w:after="120"/>
              <w:rPr>
                <w:rFonts w:eastAsia="SimSun"/>
                <w:kern w:val="2"/>
                <w:lang w:eastAsia="zh-CN"/>
              </w:rPr>
            </w:pPr>
            <w:r w:rsidRPr="00ED44B9">
              <w:rPr>
                <w:bCs/>
                <w:iCs/>
                <w:szCs w:val="24"/>
                <w:lang w:eastAsia="ko-KR"/>
              </w:rPr>
              <w:t>Esta propuesta de punto del orden del día se estudiará en el marco de los procedimientos normales del UIT-R y de su presupuesto previsto. No se prevé ningún costo adicional.</w:t>
            </w:r>
          </w:p>
        </w:tc>
      </w:tr>
      <w:tr w:rsidR="00EE5F08" w:rsidRPr="00ED44B9" w14:paraId="383B3751" w14:textId="77777777" w:rsidTr="00A25AA1">
        <w:trPr>
          <w:trHeight w:val="612"/>
        </w:trPr>
        <w:tc>
          <w:tcPr>
            <w:tcW w:w="4437" w:type="dxa"/>
          </w:tcPr>
          <w:p w14:paraId="034BF9FE" w14:textId="317946A7" w:rsidR="00EE5F08" w:rsidRPr="00ED44B9" w:rsidRDefault="00DE700D" w:rsidP="00B05C63">
            <w:pPr>
              <w:spacing w:beforeLines="50" w:afterLines="50" w:after="120"/>
              <w:rPr>
                <w:rFonts w:eastAsia="MS Gothic"/>
              </w:rPr>
            </w:pPr>
            <w:r w:rsidRPr="00ED44B9">
              <w:rPr>
                <w:rFonts w:eastAsia="MS Gothic"/>
                <w:b/>
                <w:bCs/>
                <w:i/>
                <w:iCs/>
                <w:kern w:val="2"/>
              </w:rPr>
              <w:t>Propuesta regional común</w:t>
            </w:r>
            <w:r w:rsidR="00EE5F08" w:rsidRPr="00ED44B9">
              <w:rPr>
                <w:rFonts w:eastAsia="MS Gothic"/>
                <w:b/>
                <w:bCs/>
                <w:i/>
                <w:iCs/>
                <w:kern w:val="2"/>
              </w:rPr>
              <w:t xml:space="preserve">: </w:t>
            </w:r>
            <w:r w:rsidR="00EE5F08" w:rsidRPr="00ED44B9">
              <w:rPr>
                <w:rFonts w:eastAsia="MS Gothic"/>
              </w:rPr>
              <w:t>No</w:t>
            </w:r>
          </w:p>
          <w:p w14:paraId="14C22FC3" w14:textId="77777777" w:rsidR="00EE5F08" w:rsidRPr="00ED44B9" w:rsidRDefault="00EE5F08" w:rsidP="00B05C63">
            <w:pPr>
              <w:spacing w:beforeLines="50" w:afterLines="50" w:after="120"/>
              <w:rPr>
                <w:rFonts w:eastAsia="SimSun"/>
                <w:kern w:val="2"/>
                <w:lang w:eastAsia="ko-KR"/>
              </w:rPr>
            </w:pPr>
          </w:p>
        </w:tc>
        <w:tc>
          <w:tcPr>
            <w:tcW w:w="4880" w:type="dxa"/>
          </w:tcPr>
          <w:p w14:paraId="78AEFEF1" w14:textId="1F5A5E03" w:rsidR="00EE5F08" w:rsidRPr="00ED44B9" w:rsidRDefault="00DE700D" w:rsidP="00B05C63">
            <w:pPr>
              <w:spacing w:beforeLines="50" w:afterLines="50" w:after="120"/>
              <w:rPr>
                <w:rFonts w:eastAsia="SimSun"/>
                <w:kern w:val="2"/>
                <w:lang w:eastAsia="ko-KR"/>
              </w:rPr>
            </w:pPr>
            <w:r w:rsidRPr="00ED44B9">
              <w:rPr>
                <w:rFonts w:eastAsia="MS Gothic"/>
                <w:b/>
                <w:bCs/>
                <w:i/>
                <w:iCs/>
                <w:kern w:val="2"/>
              </w:rPr>
              <w:t>Propuesta presentada por más de un país</w:t>
            </w:r>
            <w:r w:rsidR="00EE5F08" w:rsidRPr="00ED44B9">
              <w:rPr>
                <w:rFonts w:eastAsia="MS Gothic"/>
                <w:b/>
                <w:bCs/>
                <w:i/>
                <w:iCs/>
                <w:kern w:val="2"/>
              </w:rPr>
              <w:t xml:space="preserve">: </w:t>
            </w:r>
            <w:r w:rsidRPr="00ED44B9">
              <w:rPr>
                <w:rFonts w:eastAsia="SimSun"/>
                <w:bCs/>
                <w:iCs/>
                <w:kern w:val="2"/>
                <w:lang w:eastAsia="ko-KR"/>
              </w:rPr>
              <w:t>Sí</w:t>
            </w:r>
          </w:p>
          <w:p w14:paraId="6C774FBF" w14:textId="20DBA02D" w:rsidR="00EE5F08" w:rsidRPr="00ED44B9" w:rsidRDefault="00DE700D" w:rsidP="00B05C63">
            <w:pPr>
              <w:spacing w:beforeLines="50" w:afterLines="50" w:after="120"/>
              <w:rPr>
                <w:rFonts w:eastAsia="Malgun Gothic"/>
                <w:kern w:val="2"/>
                <w:lang w:eastAsia="ko-KR"/>
              </w:rPr>
            </w:pPr>
            <w:r w:rsidRPr="00ED44B9">
              <w:rPr>
                <w:rFonts w:eastAsia="MS Gothic"/>
                <w:b/>
                <w:bCs/>
                <w:i/>
                <w:iCs/>
                <w:kern w:val="2"/>
                <w:lang w:eastAsia="ja-JP"/>
              </w:rPr>
              <w:t>Número de países</w:t>
            </w:r>
            <w:r w:rsidR="00EE5F08" w:rsidRPr="00ED44B9">
              <w:rPr>
                <w:rFonts w:eastAsia="MS Gothic"/>
                <w:b/>
                <w:bCs/>
                <w:i/>
                <w:iCs/>
                <w:kern w:val="2"/>
              </w:rPr>
              <w:t xml:space="preserve">: </w:t>
            </w:r>
            <w:r w:rsidR="00EE5F08" w:rsidRPr="00ED44B9">
              <w:rPr>
                <w:rFonts w:eastAsia="MS Gothic"/>
                <w:bCs/>
                <w:iCs/>
                <w:kern w:val="2"/>
              </w:rPr>
              <w:t>17</w:t>
            </w:r>
          </w:p>
        </w:tc>
      </w:tr>
      <w:tr w:rsidR="00EE5F08" w:rsidRPr="00ED44B9" w14:paraId="0DEF301B" w14:textId="77777777" w:rsidTr="00B05C63">
        <w:trPr>
          <w:trHeight w:val="70"/>
        </w:trPr>
        <w:tc>
          <w:tcPr>
            <w:tcW w:w="9317" w:type="dxa"/>
            <w:gridSpan w:val="2"/>
          </w:tcPr>
          <w:p w14:paraId="52C5EBAD" w14:textId="06AC774D" w:rsidR="00EE5F08" w:rsidRPr="00ED44B9" w:rsidRDefault="00DE700D" w:rsidP="00B05C63">
            <w:pPr>
              <w:spacing w:beforeLines="50" w:afterLines="50" w:after="120"/>
              <w:rPr>
                <w:rFonts w:eastAsia="SimSun"/>
                <w:b/>
                <w:bCs/>
                <w:i/>
                <w:iCs/>
                <w:kern w:val="2"/>
                <w:lang w:eastAsia="ko-KR"/>
              </w:rPr>
            </w:pPr>
            <w:r w:rsidRPr="00ED44B9">
              <w:rPr>
                <w:rFonts w:eastAsia="MS Gothic"/>
                <w:b/>
                <w:bCs/>
                <w:i/>
                <w:iCs/>
                <w:kern w:val="2"/>
              </w:rPr>
              <w:t>Observaciones</w:t>
            </w:r>
            <w:r w:rsidR="00EE5F08" w:rsidRPr="00ED44B9">
              <w:rPr>
                <w:rFonts w:eastAsia="MS Gothic"/>
                <w:b/>
                <w:bCs/>
                <w:i/>
                <w:iCs/>
                <w:kern w:val="2"/>
              </w:rPr>
              <w:t>:</w:t>
            </w:r>
            <w:r w:rsidR="00EE5F08" w:rsidRPr="00ED44B9">
              <w:rPr>
                <w:rFonts w:eastAsia="MS Gothic"/>
              </w:rPr>
              <w:t xml:space="preserve"> </w:t>
            </w:r>
            <w:r w:rsidRPr="00ED44B9">
              <w:rPr>
                <w:rFonts w:eastAsia="MS Gothic"/>
              </w:rPr>
              <w:t>Ninguna</w:t>
            </w:r>
          </w:p>
        </w:tc>
      </w:tr>
    </w:tbl>
    <w:p w14:paraId="0D843FF6" w14:textId="77777777" w:rsidR="00512E73" w:rsidRPr="00ED44B9" w:rsidRDefault="00512E73" w:rsidP="00512E73">
      <w:pPr>
        <w:pStyle w:val="Reasons"/>
      </w:pPr>
    </w:p>
    <w:p w14:paraId="2C1530A2" w14:textId="3179176B" w:rsidR="00EE5F08" w:rsidRPr="00ED44B9" w:rsidRDefault="00EE5F08" w:rsidP="00EE5F08">
      <w:pPr>
        <w:spacing w:before="360"/>
        <w:jc w:val="center"/>
      </w:pPr>
      <w:r w:rsidRPr="00ED44B9">
        <w:t>_______________</w:t>
      </w:r>
    </w:p>
    <w:sectPr w:rsidR="00EE5F08" w:rsidRPr="00ED44B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BDC7" w14:textId="77777777" w:rsidR="00666B37" w:rsidRDefault="00666B37">
      <w:r>
        <w:separator/>
      </w:r>
    </w:p>
  </w:endnote>
  <w:endnote w:type="continuationSeparator" w:id="0">
    <w:p w14:paraId="3329328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E32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01CB9" w14:textId="347B6939" w:rsidR="0077084A" w:rsidRPr="00512E73" w:rsidRDefault="0077084A">
    <w:pPr>
      <w:ind w:right="360"/>
    </w:pPr>
    <w:r>
      <w:fldChar w:fldCharType="begin"/>
    </w:r>
    <w:r w:rsidRPr="00512E73">
      <w:instrText xml:space="preserve"> FILENAME \p  \* MERGEFORMAT </w:instrText>
    </w:r>
    <w:r>
      <w:fldChar w:fldCharType="separate"/>
    </w:r>
    <w:r w:rsidR="00A25AA1">
      <w:rPr>
        <w:noProof/>
      </w:rPr>
      <w:t>P:\ESP\ITU-R\CONF-R\CMR23\100\166S.docx</w:t>
    </w:r>
    <w:r>
      <w:fldChar w:fldCharType="end"/>
    </w:r>
    <w:r w:rsidRPr="00512E73">
      <w:tab/>
    </w:r>
    <w:r>
      <w:fldChar w:fldCharType="begin"/>
    </w:r>
    <w:r>
      <w:instrText xml:space="preserve"> SAVEDATE \@ DD.MM.YY </w:instrText>
    </w:r>
    <w:r>
      <w:fldChar w:fldCharType="separate"/>
    </w:r>
    <w:r w:rsidR="00C304C0">
      <w:rPr>
        <w:noProof/>
      </w:rPr>
      <w:t>13.11.23</w:t>
    </w:r>
    <w:r>
      <w:fldChar w:fldCharType="end"/>
    </w:r>
    <w:r w:rsidRPr="00512E73">
      <w:tab/>
    </w:r>
    <w:r>
      <w:fldChar w:fldCharType="begin"/>
    </w:r>
    <w:r>
      <w:instrText xml:space="preserve"> PRINTDATE \@ DD.MM.YY </w:instrText>
    </w:r>
    <w:r>
      <w:fldChar w:fldCharType="separate"/>
    </w:r>
    <w:r w:rsidR="00A25AA1">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6361" w14:textId="2821166F" w:rsidR="0077084A" w:rsidRDefault="00943D16" w:rsidP="00943D16">
    <w:pPr>
      <w:pStyle w:val="Footer"/>
      <w:rPr>
        <w:lang w:val="en-US"/>
      </w:rPr>
    </w:pPr>
    <w:r>
      <w:fldChar w:fldCharType="begin"/>
    </w:r>
    <w:r>
      <w:instrText xml:space="preserve"> FILENAME \p  \* MERGEFORMAT </w:instrText>
    </w:r>
    <w:r>
      <w:fldChar w:fldCharType="separate"/>
    </w:r>
    <w:r>
      <w:t>P:\ESP\ITU-R\CONF-R\CMR23\100\166V2S.docx</w:t>
    </w:r>
    <w:r>
      <w:fldChar w:fldCharType="end"/>
    </w:r>
    <w:r>
      <w:t xml:space="preserve"> </w:t>
    </w:r>
    <w:r w:rsidR="00935032">
      <w:rPr>
        <w:lang w:val="en-US"/>
      </w:rPr>
      <w:t>(530449)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9ED2" w14:textId="63D24A4D" w:rsidR="0077084A" w:rsidRPr="00935032" w:rsidRDefault="00943D16" w:rsidP="00943D16">
    <w:pPr>
      <w:pStyle w:val="Footer"/>
      <w:rPr>
        <w:lang w:val="en-US"/>
      </w:rPr>
    </w:pPr>
    <w:fldSimple w:instr=" FILENAME \p  \* MERGEFORMAT ">
      <w:r>
        <w:t>P:\ESP\ITU-R\CONF-R\CMR23\100\166V2S.docx</w:t>
      </w:r>
    </w:fldSimple>
    <w:r>
      <w:t xml:space="preserve"> </w:t>
    </w:r>
    <w:r w:rsidR="00935032">
      <w:rPr>
        <w:lang w:val="en-US"/>
      </w:rPr>
      <w:t>(530449)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1396" w14:textId="77777777" w:rsidR="00666B37" w:rsidRDefault="00666B37">
      <w:r>
        <w:rPr>
          <w:b/>
        </w:rPr>
        <w:t>_______________</w:t>
      </w:r>
    </w:p>
  </w:footnote>
  <w:footnote w:type="continuationSeparator" w:id="0">
    <w:p w14:paraId="6FF5326D"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352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E79426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166-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96321875">
    <w:abstractNumId w:val="8"/>
  </w:num>
  <w:num w:numId="2" w16cid:durableId="3614454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5430606">
    <w:abstractNumId w:val="9"/>
  </w:num>
  <w:num w:numId="4" w16cid:durableId="206182430">
    <w:abstractNumId w:val="7"/>
  </w:num>
  <w:num w:numId="5" w16cid:durableId="678460372">
    <w:abstractNumId w:val="6"/>
  </w:num>
  <w:num w:numId="6" w16cid:durableId="1857960038">
    <w:abstractNumId w:val="5"/>
  </w:num>
  <w:num w:numId="7" w16cid:durableId="572130920">
    <w:abstractNumId w:val="4"/>
  </w:num>
  <w:num w:numId="8" w16cid:durableId="494107220">
    <w:abstractNumId w:val="3"/>
  </w:num>
  <w:num w:numId="9" w16cid:durableId="366033089">
    <w:abstractNumId w:val="2"/>
  </w:num>
  <w:num w:numId="10" w16cid:durableId="599722673">
    <w:abstractNumId w:val="1"/>
  </w:num>
  <w:num w:numId="11" w16cid:durableId="156090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12A"/>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5191"/>
    <w:rsid w:val="003B1E8C"/>
    <w:rsid w:val="003C0613"/>
    <w:rsid w:val="003C2508"/>
    <w:rsid w:val="003D0AA3"/>
    <w:rsid w:val="003E2086"/>
    <w:rsid w:val="003F7F66"/>
    <w:rsid w:val="0043418C"/>
    <w:rsid w:val="00440B3A"/>
    <w:rsid w:val="0044375A"/>
    <w:rsid w:val="0045384C"/>
    <w:rsid w:val="00454553"/>
    <w:rsid w:val="00472A86"/>
    <w:rsid w:val="00475224"/>
    <w:rsid w:val="004B124A"/>
    <w:rsid w:val="004B3095"/>
    <w:rsid w:val="004D2749"/>
    <w:rsid w:val="004D2C7C"/>
    <w:rsid w:val="004E5E27"/>
    <w:rsid w:val="00512E73"/>
    <w:rsid w:val="005133B5"/>
    <w:rsid w:val="00524392"/>
    <w:rsid w:val="00532097"/>
    <w:rsid w:val="00534F65"/>
    <w:rsid w:val="00570AF8"/>
    <w:rsid w:val="0058350F"/>
    <w:rsid w:val="00583C7E"/>
    <w:rsid w:val="0059098E"/>
    <w:rsid w:val="005B1C30"/>
    <w:rsid w:val="005B24DC"/>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22F1"/>
    <w:rsid w:val="006D6E67"/>
    <w:rsid w:val="006E1A13"/>
    <w:rsid w:val="00701C20"/>
    <w:rsid w:val="00702F3D"/>
    <w:rsid w:val="0070518E"/>
    <w:rsid w:val="007354E9"/>
    <w:rsid w:val="007424E8"/>
    <w:rsid w:val="0074579D"/>
    <w:rsid w:val="0076349B"/>
    <w:rsid w:val="00765578"/>
    <w:rsid w:val="00766333"/>
    <w:rsid w:val="0077084A"/>
    <w:rsid w:val="007952C7"/>
    <w:rsid w:val="007C0B95"/>
    <w:rsid w:val="007C2317"/>
    <w:rsid w:val="007D330A"/>
    <w:rsid w:val="0080079E"/>
    <w:rsid w:val="008504C2"/>
    <w:rsid w:val="00852F38"/>
    <w:rsid w:val="00866AE6"/>
    <w:rsid w:val="008750A8"/>
    <w:rsid w:val="008C112E"/>
    <w:rsid w:val="008C413C"/>
    <w:rsid w:val="008D1714"/>
    <w:rsid w:val="008D3316"/>
    <w:rsid w:val="008E3B03"/>
    <w:rsid w:val="008E5AF2"/>
    <w:rsid w:val="0090121B"/>
    <w:rsid w:val="009144C9"/>
    <w:rsid w:val="00935032"/>
    <w:rsid w:val="0094091F"/>
    <w:rsid w:val="00943D16"/>
    <w:rsid w:val="00962171"/>
    <w:rsid w:val="0096613B"/>
    <w:rsid w:val="00973754"/>
    <w:rsid w:val="009C0BED"/>
    <w:rsid w:val="009E11EC"/>
    <w:rsid w:val="00A021CC"/>
    <w:rsid w:val="00A118DB"/>
    <w:rsid w:val="00A25AA1"/>
    <w:rsid w:val="00A4450C"/>
    <w:rsid w:val="00AA5E6C"/>
    <w:rsid w:val="00AC24CE"/>
    <w:rsid w:val="00AC49B1"/>
    <w:rsid w:val="00AE5677"/>
    <w:rsid w:val="00AE658F"/>
    <w:rsid w:val="00AF2F78"/>
    <w:rsid w:val="00B2112B"/>
    <w:rsid w:val="00B239FA"/>
    <w:rsid w:val="00B372AB"/>
    <w:rsid w:val="00B47331"/>
    <w:rsid w:val="00B52D55"/>
    <w:rsid w:val="00B8288C"/>
    <w:rsid w:val="00B86034"/>
    <w:rsid w:val="00BE2E80"/>
    <w:rsid w:val="00BE5EDD"/>
    <w:rsid w:val="00BE6A1F"/>
    <w:rsid w:val="00C126C4"/>
    <w:rsid w:val="00C304C0"/>
    <w:rsid w:val="00C44E9E"/>
    <w:rsid w:val="00C63EB5"/>
    <w:rsid w:val="00C87DA7"/>
    <w:rsid w:val="00CA4945"/>
    <w:rsid w:val="00CC01E0"/>
    <w:rsid w:val="00CD5FEE"/>
    <w:rsid w:val="00CE3FFB"/>
    <w:rsid w:val="00CE60D2"/>
    <w:rsid w:val="00CE7431"/>
    <w:rsid w:val="00D00CA8"/>
    <w:rsid w:val="00D0288A"/>
    <w:rsid w:val="00D129A5"/>
    <w:rsid w:val="00D23BC1"/>
    <w:rsid w:val="00D42CE3"/>
    <w:rsid w:val="00D57AB9"/>
    <w:rsid w:val="00D72A5D"/>
    <w:rsid w:val="00D83A72"/>
    <w:rsid w:val="00DA71A3"/>
    <w:rsid w:val="00DC1922"/>
    <w:rsid w:val="00DC629B"/>
    <w:rsid w:val="00DE1C31"/>
    <w:rsid w:val="00DE700D"/>
    <w:rsid w:val="00E0599A"/>
    <w:rsid w:val="00E05BFF"/>
    <w:rsid w:val="00E262F1"/>
    <w:rsid w:val="00E3176A"/>
    <w:rsid w:val="00E3526C"/>
    <w:rsid w:val="00E36CE4"/>
    <w:rsid w:val="00E541AC"/>
    <w:rsid w:val="00E54754"/>
    <w:rsid w:val="00E56BD3"/>
    <w:rsid w:val="00E70B41"/>
    <w:rsid w:val="00E71D14"/>
    <w:rsid w:val="00EA77F0"/>
    <w:rsid w:val="00ED44B9"/>
    <w:rsid w:val="00EE5F08"/>
    <w:rsid w:val="00F32316"/>
    <w:rsid w:val="00F55457"/>
    <w:rsid w:val="00F66597"/>
    <w:rsid w:val="00F675D0"/>
    <w:rsid w:val="00F8150C"/>
    <w:rsid w:val="00F9326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AF17C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570AF8"/>
    <w:pPr>
      <w:ind w:left="720"/>
      <w:contextualSpacing/>
    </w:pPr>
  </w:style>
  <w:style w:type="character" w:customStyle="1" w:styleId="CallChar">
    <w:name w:val="Call Char"/>
    <w:basedOn w:val="DefaultParagraphFont"/>
    <w:link w:val="Call"/>
    <w:qFormat/>
    <w:locked/>
    <w:rsid w:val="008E3B03"/>
    <w:rPr>
      <w:rFonts w:ascii="Times New Roman" w:hAnsi="Times New Roman"/>
      <w:i/>
      <w:sz w:val="24"/>
      <w:lang w:val="es-ES_tradnl" w:eastAsia="en-US"/>
    </w:rPr>
  </w:style>
  <w:style w:type="character" w:customStyle="1" w:styleId="enumlev1Char">
    <w:name w:val="enumlev1 Char"/>
    <w:basedOn w:val="DefaultParagraphFont"/>
    <w:link w:val="enumlev1"/>
    <w:qFormat/>
    <w:locked/>
    <w:rsid w:val="00D129A5"/>
    <w:rPr>
      <w:rFonts w:ascii="Times New Roman" w:hAnsi="Times New Roman"/>
      <w:sz w:val="24"/>
      <w:lang w:val="es-ES_tradnl" w:eastAsia="en-US"/>
    </w:rPr>
  </w:style>
  <w:style w:type="paragraph" w:styleId="Revision">
    <w:name w:val="Revision"/>
    <w:hidden/>
    <w:uiPriority w:val="99"/>
    <w:semiHidden/>
    <w:rsid w:val="0096613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CC30E-4537-451B-AFD8-AD1A0486CE6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606E239-ED11-40EA-9C43-091D288E572A}">
  <ds:schemaRefs>
    <ds:schemaRef ds:uri="http://schemas.microsoft.com/sharepoint/event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D35BA6A8-1959-4C05-85E3-479CA95D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73706-8A77-459A-9510-217C5EE15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1378</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R23-WRC23-C-0166!!MSW-S</vt:lpstr>
    </vt:vector>
  </TitlesOfParts>
  <Manager>Secretaría General - Pool</Manager>
  <Company>Unión Internacional de Telecomunicaciones (UIT)</Company>
  <LinksUpToDate>false</LinksUpToDate>
  <CharactersWithSpaces>9137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R23-WRC23-C-0166!!MSW-S</dc:title>
  <dc:subject>Conferencia Mundial de Radiocomunicaciones - 2019</dc:subject>
  <dc:creator>Documents Proposals Manager (DPM)</dc:creator>
  <cp:keywords>DPM_v2023.11.6.1_prod</cp:keywords>
  <dc:description/>
  <cp:lastModifiedBy>Catalano Moreira, Rossana</cp:lastModifiedBy>
  <cp:revision>4</cp:revision>
  <cp:lastPrinted>2003-02-19T20:20:00Z</cp:lastPrinted>
  <dcterms:created xsi:type="dcterms:W3CDTF">2023-11-14T12:50:00Z</dcterms:created>
  <dcterms:modified xsi:type="dcterms:W3CDTF">2023-11-14T12:52:00Z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