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C7EA6" w14:paraId="2D2D718A" w14:textId="77777777" w:rsidTr="00C1305F">
        <w:trPr>
          <w:cantSplit/>
        </w:trPr>
        <w:tc>
          <w:tcPr>
            <w:tcW w:w="1418" w:type="dxa"/>
            <w:vAlign w:val="center"/>
          </w:tcPr>
          <w:p w14:paraId="19D9E027" w14:textId="77777777" w:rsidR="00C1305F" w:rsidRPr="004C7EA6" w:rsidRDefault="00C1305F" w:rsidP="00D516F4">
            <w:pPr>
              <w:spacing w:before="0"/>
              <w:rPr>
                <w:rFonts w:ascii="Verdana" w:hAnsi="Verdana"/>
                <w:b/>
                <w:bCs/>
                <w:sz w:val="20"/>
              </w:rPr>
            </w:pPr>
            <w:r w:rsidRPr="004C7EA6">
              <w:drawing>
                <wp:inline distT="0" distB="0" distL="0" distR="0" wp14:anchorId="36267906" wp14:editId="7CFDA3E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678F05D" w14:textId="1260078A" w:rsidR="00C1305F" w:rsidRPr="004C7EA6" w:rsidRDefault="00C1305F" w:rsidP="00D516F4">
            <w:pPr>
              <w:spacing w:before="400" w:after="48"/>
              <w:rPr>
                <w:rFonts w:ascii="Verdana" w:hAnsi="Verdana"/>
                <w:b/>
                <w:bCs/>
                <w:sz w:val="20"/>
              </w:rPr>
            </w:pPr>
            <w:r w:rsidRPr="004C7EA6">
              <w:rPr>
                <w:rFonts w:ascii="Verdana" w:hAnsi="Verdana"/>
                <w:b/>
                <w:bCs/>
                <w:sz w:val="20"/>
              </w:rPr>
              <w:t>Conférence mondiale des radiocommunications (CMR-23)</w:t>
            </w:r>
            <w:r w:rsidRPr="004C7EA6">
              <w:rPr>
                <w:rFonts w:ascii="Verdana" w:hAnsi="Verdana"/>
                <w:b/>
                <w:bCs/>
                <w:sz w:val="20"/>
              </w:rPr>
              <w:br/>
            </w:r>
            <w:r w:rsidRPr="004C7EA6">
              <w:rPr>
                <w:rFonts w:ascii="Verdana" w:hAnsi="Verdana"/>
                <w:b/>
                <w:bCs/>
                <w:sz w:val="18"/>
                <w:szCs w:val="18"/>
              </w:rPr>
              <w:t xml:space="preserve">Dubaï, 20 novembre </w:t>
            </w:r>
            <w:r w:rsidR="00AA25D3" w:rsidRPr="004C7EA6">
              <w:rPr>
                <w:rFonts w:ascii="Verdana" w:hAnsi="Verdana"/>
                <w:b/>
                <w:bCs/>
                <w:sz w:val="18"/>
                <w:szCs w:val="18"/>
              </w:rPr>
              <w:t>–</w:t>
            </w:r>
            <w:r w:rsidRPr="004C7EA6">
              <w:rPr>
                <w:rFonts w:ascii="Verdana" w:hAnsi="Verdana"/>
                <w:b/>
                <w:bCs/>
                <w:sz w:val="18"/>
                <w:szCs w:val="18"/>
              </w:rPr>
              <w:t xml:space="preserve"> 15 décembre 2023</w:t>
            </w:r>
          </w:p>
        </w:tc>
        <w:tc>
          <w:tcPr>
            <w:tcW w:w="1809" w:type="dxa"/>
            <w:vAlign w:val="center"/>
          </w:tcPr>
          <w:p w14:paraId="78AA0276" w14:textId="77777777" w:rsidR="00C1305F" w:rsidRPr="004C7EA6" w:rsidRDefault="00C1305F" w:rsidP="00D516F4">
            <w:pPr>
              <w:spacing w:before="0"/>
            </w:pPr>
            <w:bookmarkStart w:id="0" w:name="ditulogo"/>
            <w:bookmarkEnd w:id="0"/>
            <w:r w:rsidRPr="004C7EA6">
              <w:drawing>
                <wp:inline distT="0" distB="0" distL="0" distR="0" wp14:anchorId="2986EFFA" wp14:editId="38B10FE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C7EA6" w14:paraId="18ABBFDE" w14:textId="77777777" w:rsidTr="0050008E">
        <w:trPr>
          <w:cantSplit/>
        </w:trPr>
        <w:tc>
          <w:tcPr>
            <w:tcW w:w="6911" w:type="dxa"/>
            <w:gridSpan w:val="2"/>
            <w:tcBorders>
              <w:bottom w:val="single" w:sz="12" w:space="0" w:color="auto"/>
            </w:tcBorders>
          </w:tcPr>
          <w:p w14:paraId="43697A99" w14:textId="77777777" w:rsidR="00BB1D82" w:rsidRPr="004C7EA6" w:rsidRDefault="00BB1D82" w:rsidP="00D516F4">
            <w:pPr>
              <w:spacing w:before="0" w:after="48"/>
              <w:rPr>
                <w:b/>
                <w:smallCaps/>
                <w:szCs w:val="24"/>
              </w:rPr>
            </w:pPr>
            <w:bookmarkStart w:id="1" w:name="dhead"/>
          </w:p>
        </w:tc>
        <w:tc>
          <w:tcPr>
            <w:tcW w:w="3120" w:type="dxa"/>
            <w:gridSpan w:val="2"/>
            <w:tcBorders>
              <w:bottom w:val="single" w:sz="12" w:space="0" w:color="auto"/>
            </w:tcBorders>
          </w:tcPr>
          <w:p w14:paraId="409113A7" w14:textId="77777777" w:rsidR="00BB1D82" w:rsidRPr="004C7EA6" w:rsidRDefault="00BB1D82" w:rsidP="00D516F4">
            <w:pPr>
              <w:spacing w:before="0"/>
              <w:rPr>
                <w:rFonts w:ascii="Verdana" w:hAnsi="Verdana"/>
                <w:szCs w:val="24"/>
              </w:rPr>
            </w:pPr>
          </w:p>
        </w:tc>
      </w:tr>
      <w:tr w:rsidR="00BB1D82" w:rsidRPr="004C7EA6" w14:paraId="3D23BC75" w14:textId="77777777" w:rsidTr="00BB1D82">
        <w:trPr>
          <w:cantSplit/>
        </w:trPr>
        <w:tc>
          <w:tcPr>
            <w:tcW w:w="6911" w:type="dxa"/>
            <w:gridSpan w:val="2"/>
            <w:tcBorders>
              <w:top w:val="single" w:sz="12" w:space="0" w:color="auto"/>
            </w:tcBorders>
          </w:tcPr>
          <w:p w14:paraId="0FEC6518" w14:textId="77777777" w:rsidR="00BB1D82" w:rsidRPr="004C7EA6" w:rsidRDefault="00BB1D82" w:rsidP="00D516F4">
            <w:pPr>
              <w:spacing w:before="0" w:after="48"/>
              <w:rPr>
                <w:rFonts w:ascii="Verdana" w:hAnsi="Verdana"/>
                <w:b/>
                <w:smallCaps/>
                <w:sz w:val="20"/>
              </w:rPr>
            </w:pPr>
          </w:p>
        </w:tc>
        <w:tc>
          <w:tcPr>
            <w:tcW w:w="3120" w:type="dxa"/>
            <w:gridSpan w:val="2"/>
            <w:tcBorders>
              <w:top w:val="single" w:sz="12" w:space="0" w:color="auto"/>
            </w:tcBorders>
          </w:tcPr>
          <w:p w14:paraId="7AEEFB18" w14:textId="77777777" w:rsidR="00BB1D82" w:rsidRPr="004C7EA6" w:rsidRDefault="00BB1D82" w:rsidP="00D516F4">
            <w:pPr>
              <w:spacing w:before="0"/>
              <w:rPr>
                <w:rFonts w:ascii="Verdana" w:hAnsi="Verdana"/>
                <w:sz w:val="20"/>
              </w:rPr>
            </w:pPr>
          </w:p>
        </w:tc>
      </w:tr>
      <w:tr w:rsidR="00BB1D82" w:rsidRPr="004C7EA6" w14:paraId="378567F8" w14:textId="77777777" w:rsidTr="00BB1D82">
        <w:trPr>
          <w:cantSplit/>
        </w:trPr>
        <w:tc>
          <w:tcPr>
            <w:tcW w:w="6911" w:type="dxa"/>
            <w:gridSpan w:val="2"/>
          </w:tcPr>
          <w:p w14:paraId="1F01AE58" w14:textId="77777777" w:rsidR="00BB1D82" w:rsidRPr="004C7EA6" w:rsidRDefault="006D4724" w:rsidP="00D516F4">
            <w:pPr>
              <w:spacing w:before="0"/>
              <w:rPr>
                <w:rFonts w:ascii="Verdana" w:hAnsi="Verdana"/>
                <w:b/>
                <w:sz w:val="20"/>
              </w:rPr>
            </w:pPr>
            <w:r w:rsidRPr="004C7EA6">
              <w:rPr>
                <w:rFonts w:ascii="Verdana" w:hAnsi="Verdana"/>
                <w:b/>
                <w:sz w:val="20"/>
              </w:rPr>
              <w:t>SÉANCE PLÉNIÈRE</w:t>
            </w:r>
          </w:p>
        </w:tc>
        <w:tc>
          <w:tcPr>
            <w:tcW w:w="3120" w:type="dxa"/>
            <w:gridSpan w:val="2"/>
          </w:tcPr>
          <w:p w14:paraId="1E8A37A5" w14:textId="77777777" w:rsidR="00BB1D82" w:rsidRPr="004C7EA6" w:rsidRDefault="006D4724" w:rsidP="00D516F4">
            <w:pPr>
              <w:spacing w:before="0"/>
              <w:rPr>
                <w:rFonts w:ascii="Verdana" w:hAnsi="Verdana"/>
                <w:sz w:val="20"/>
              </w:rPr>
            </w:pPr>
            <w:r w:rsidRPr="004C7EA6">
              <w:rPr>
                <w:rFonts w:ascii="Verdana" w:hAnsi="Verdana"/>
                <w:b/>
                <w:sz w:val="20"/>
              </w:rPr>
              <w:t>Document 166</w:t>
            </w:r>
            <w:r w:rsidR="00BB1D82" w:rsidRPr="004C7EA6">
              <w:rPr>
                <w:rFonts w:ascii="Verdana" w:hAnsi="Verdana"/>
                <w:b/>
                <w:sz w:val="20"/>
              </w:rPr>
              <w:t>-</w:t>
            </w:r>
            <w:r w:rsidRPr="004C7EA6">
              <w:rPr>
                <w:rFonts w:ascii="Verdana" w:hAnsi="Verdana"/>
                <w:b/>
                <w:sz w:val="20"/>
              </w:rPr>
              <w:t>F</w:t>
            </w:r>
          </w:p>
        </w:tc>
      </w:tr>
      <w:bookmarkEnd w:id="1"/>
      <w:tr w:rsidR="00690C7B" w:rsidRPr="004C7EA6" w14:paraId="25C2FC7A" w14:textId="77777777" w:rsidTr="00BB1D82">
        <w:trPr>
          <w:cantSplit/>
        </w:trPr>
        <w:tc>
          <w:tcPr>
            <w:tcW w:w="6911" w:type="dxa"/>
            <w:gridSpan w:val="2"/>
          </w:tcPr>
          <w:p w14:paraId="13F26352" w14:textId="77777777" w:rsidR="00690C7B" w:rsidRPr="004C7EA6" w:rsidRDefault="00690C7B" w:rsidP="00D516F4">
            <w:pPr>
              <w:spacing w:before="0"/>
              <w:rPr>
                <w:rFonts w:ascii="Verdana" w:hAnsi="Verdana"/>
                <w:b/>
                <w:sz w:val="20"/>
              </w:rPr>
            </w:pPr>
          </w:p>
        </w:tc>
        <w:tc>
          <w:tcPr>
            <w:tcW w:w="3120" w:type="dxa"/>
            <w:gridSpan w:val="2"/>
          </w:tcPr>
          <w:p w14:paraId="54D90C8A" w14:textId="77777777" w:rsidR="00690C7B" w:rsidRPr="004C7EA6" w:rsidRDefault="00690C7B" w:rsidP="00D516F4">
            <w:pPr>
              <w:spacing w:before="0"/>
              <w:rPr>
                <w:rFonts w:ascii="Verdana" w:hAnsi="Verdana"/>
                <w:b/>
                <w:sz w:val="20"/>
              </w:rPr>
            </w:pPr>
            <w:r w:rsidRPr="004C7EA6">
              <w:rPr>
                <w:rFonts w:ascii="Verdana" w:hAnsi="Verdana"/>
                <w:b/>
                <w:sz w:val="20"/>
              </w:rPr>
              <w:t>30 octobre 2023</w:t>
            </w:r>
          </w:p>
        </w:tc>
      </w:tr>
      <w:tr w:rsidR="00690C7B" w:rsidRPr="004C7EA6" w14:paraId="1DCBA9C5" w14:textId="77777777" w:rsidTr="00BB1D82">
        <w:trPr>
          <w:cantSplit/>
        </w:trPr>
        <w:tc>
          <w:tcPr>
            <w:tcW w:w="6911" w:type="dxa"/>
            <w:gridSpan w:val="2"/>
          </w:tcPr>
          <w:p w14:paraId="445C8ED7" w14:textId="77777777" w:rsidR="00690C7B" w:rsidRPr="004C7EA6" w:rsidRDefault="00690C7B" w:rsidP="00D516F4">
            <w:pPr>
              <w:spacing w:before="0" w:after="48"/>
              <w:rPr>
                <w:rFonts w:ascii="Verdana" w:hAnsi="Verdana"/>
                <w:b/>
                <w:smallCaps/>
                <w:sz w:val="20"/>
              </w:rPr>
            </w:pPr>
          </w:p>
        </w:tc>
        <w:tc>
          <w:tcPr>
            <w:tcW w:w="3120" w:type="dxa"/>
            <w:gridSpan w:val="2"/>
          </w:tcPr>
          <w:p w14:paraId="2DE0A2A0" w14:textId="77777777" w:rsidR="00690C7B" w:rsidRPr="004C7EA6" w:rsidRDefault="00690C7B" w:rsidP="00D516F4">
            <w:pPr>
              <w:spacing w:before="0"/>
              <w:rPr>
                <w:rFonts w:ascii="Verdana" w:hAnsi="Verdana"/>
                <w:b/>
                <w:sz w:val="20"/>
              </w:rPr>
            </w:pPr>
            <w:r w:rsidRPr="004C7EA6">
              <w:rPr>
                <w:rFonts w:ascii="Verdana" w:hAnsi="Verdana"/>
                <w:b/>
                <w:sz w:val="20"/>
              </w:rPr>
              <w:t>Original: anglais</w:t>
            </w:r>
          </w:p>
        </w:tc>
      </w:tr>
      <w:tr w:rsidR="00690C7B" w:rsidRPr="004C7EA6" w14:paraId="191154EF" w14:textId="77777777" w:rsidTr="00C11970">
        <w:trPr>
          <w:cantSplit/>
        </w:trPr>
        <w:tc>
          <w:tcPr>
            <w:tcW w:w="10031" w:type="dxa"/>
            <w:gridSpan w:val="4"/>
          </w:tcPr>
          <w:p w14:paraId="293CB5A5" w14:textId="77777777" w:rsidR="00690C7B" w:rsidRPr="004C7EA6" w:rsidRDefault="00690C7B" w:rsidP="00D516F4">
            <w:pPr>
              <w:spacing w:before="0"/>
              <w:rPr>
                <w:rFonts w:ascii="Verdana" w:hAnsi="Verdana"/>
                <w:b/>
                <w:sz w:val="20"/>
              </w:rPr>
            </w:pPr>
          </w:p>
        </w:tc>
      </w:tr>
      <w:tr w:rsidR="00690C7B" w:rsidRPr="004C7EA6" w14:paraId="55CC99AF" w14:textId="77777777" w:rsidTr="0050008E">
        <w:trPr>
          <w:cantSplit/>
        </w:trPr>
        <w:tc>
          <w:tcPr>
            <w:tcW w:w="10031" w:type="dxa"/>
            <w:gridSpan w:val="4"/>
          </w:tcPr>
          <w:p w14:paraId="48F40E12" w14:textId="14891B6D" w:rsidR="00690C7B" w:rsidRPr="004C7EA6" w:rsidRDefault="00690C7B" w:rsidP="00D516F4">
            <w:pPr>
              <w:pStyle w:val="Source"/>
            </w:pPr>
            <w:bookmarkStart w:id="2" w:name="dsource" w:colFirst="0" w:colLast="0"/>
            <w:r w:rsidRPr="004C7EA6">
              <w:t>Allemagne (République fédérale d</w:t>
            </w:r>
            <w:r w:rsidR="004C7EA6" w:rsidRPr="004C7EA6">
              <w:t>'</w:t>
            </w:r>
            <w:r w:rsidRPr="004C7EA6">
              <w:t>)/Au</w:t>
            </w:r>
            <w:r w:rsidR="00A81B64" w:rsidRPr="004C7EA6">
              <w:t>triche</w:t>
            </w:r>
            <w:r w:rsidRPr="004C7EA6">
              <w:t>/Belgique/Croatie (République de)/Espagne/France/Hongrie/Italie/Luxembourg/Malte/Monténégro/Norvège/</w:t>
            </w:r>
            <w:r w:rsidR="00D516F4" w:rsidRPr="004C7EA6">
              <w:br/>
            </w:r>
            <w:r w:rsidRPr="004C7EA6">
              <w:t>Pay</w:t>
            </w:r>
            <w:r w:rsidR="00D516F4" w:rsidRPr="004C7EA6">
              <w:t>s</w:t>
            </w:r>
            <w:r w:rsidR="00D516F4" w:rsidRPr="004C7EA6">
              <w:noBreakHyphen/>
            </w:r>
            <w:r w:rsidRPr="004C7EA6">
              <w:t>Bas (Royaume des)/Pologne (République de)/Portugal/</w:t>
            </w:r>
            <w:r w:rsidR="00D516F4" w:rsidRPr="004C7EA6">
              <w:br/>
            </w:r>
            <w:r w:rsidRPr="004C7EA6">
              <w:t>Roumanie/Suisse (Confédération)</w:t>
            </w:r>
          </w:p>
        </w:tc>
      </w:tr>
      <w:tr w:rsidR="00690C7B" w:rsidRPr="004C7EA6" w14:paraId="5AD8ACB7" w14:textId="77777777" w:rsidTr="0050008E">
        <w:trPr>
          <w:cantSplit/>
        </w:trPr>
        <w:tc>
          <w:tcPr>
            <w:tcW w:w="10031" w:type="dxa"/>
            <w:gridSpan w:val="4"/>
          </w:tcPr>
          <w:p w14:paraId="2530C3EA" w14:textId="5423EF07" w:rsidR="00690C7B" w:rsidRPr="004C7EA6" w:rsidRDefault="00BB22EC" w:rsidP="00D516F4">
            <w:pPr>
              <w:pStyle w:val="Title1"/>
            </w:pPr>
            <w:bookmarkStart w:id="3" w:name="dtitle1" w:colFirst="0" w:colLast="0"/>
            <w:bookmarkEnd w:id="2"/>
            <w:r w:rsidRPr="004C7EA6">
              <w:t>PROPOSITION</w:t>
            </w:r>
            <w:r w:rsidR="00D516F4" w:rsidRPr="004C7EA6">
              <w:t>s</w:t>
            </w:r>
            <w:r w:rsidRPr="004C7EA6">
              <w:t xml:space="preserve"> POUR LES TRAVAUX DE LA CONFÉRENCE</w:t>
            </w:r>
          </w:p>
        </w:tc>
      </w:tr>
      <w:tr w:rsidR="00690C7B" w:rsidRPr="004C7EA6" w14:paraId="15785017" w14:textId="77777777" w:rsidTr="0050008E">
        <w:trPr>
          <w:cantSplit/>
        </w:trPr>
        <w:tc>
          <w:tcPr>
            <w:tcW w:w="10031" w:type="dxa"/>
            <w:gridSpan w:val="4"/>
          </w:tcPr>
          <w:p w14:paraId="4566D7F9" w14:textId="77777777" w:rsidR="00690C7B" w:rsidRPr="004C7EA6" w:rsidRDefault="00690C7B" w:rsidP="00D516F4">
            <w:pPr>
              <w:pStyle w:val="Title2"/>
            </w:pPr>
            <w:bookmarkStart w:id="4" w:name="dtitle2" w:colFirst="0" w:colLast="0"/>
            <w:bookmarkEnd w:id="3"/>
          </w:p>
        </w:tc>
      </w:tr>
      <w:tr w:rsidR="00690C7B" w:rsidRPr="004C7EA6" w14:paraId="33BBA1CD" w14:textId="77777777" w:rsidTr="0050008E">
        <w:trPr>
          <w:cantSplit/>
        </w:trPr>
        <w:tc>
          <w:tcPr>
            <w:tcW w:w="10031" w:type="dxa"/>
            <w:gridSpan w:val="4"/>
          </w:tcPr>
          <w:p w14:paraId="43A533A9" w14:textId="4486A00B" w:rsidR="00690C7B" w:rsidRPr="004C7EA6" w:rsidRDefault="00690C7B" w:rsidP="00D516F4">
            <w:pPr>
              <w:pStyle w:val="Agendaitem"/>
              <w:rPr>
                <w:lang w:val="fr-FR"/>
              </w:rPr>
            </w:pPr>
            <w:bookmarkStart w:id="5" w:name="dtitle3" w:colFirst="0" w:colLast="0"/>
            <w:bookmarkEnd w:id="4"/>
            <w:r w:rsidRPr="004C7EA6">
              <w:rPr>
                <w:lang w:val="fr-FR"/>
              </w:rPr>
              <w:t>Point 10 de l</w:t>
            </w:r>
            <w:r w:rsidR="004C7EA6" w:rsidRPr="004C7EA6">
              <w:rPr>
                <w:lang w:val="fr-FR"/>
              </w:rPr>
              <w:t>'</w:t>
            </w:r>
            <w:r w:rsidRPr="004C7EA6">
              <w:rPr>
                <w:lang w:val="fr-FR"/>
              </w:rPr>
              <w:t>ordre du jour</w:t>
            </w:r>
          </w:p>
        </w:tc>
      </w:tr>
    </w:tbl>
    <w:bookmarkEnd w:id="5"/>
    <w:p w14:paraId="403B1348" w14:textId="0B8BA349" w:rsidR="00F91B23" w:rsidRPr="004C7EA6" w:rsidRDefault="009B18B1" w:rsidP="00D516F4">
      <w:r w:rsidRPr="004C7EA6">
        <w:t>10</w:t>
      </w:r>
      <w:r w:rsidRPr="004C7EA6">
        <w:tab/>
        <w:t>recommander au Conseil de l</w:t>
      </w:r>
      <w:r w:rsidR="004C7EA6" w:rsidRPr="004C7EA6">
        <w:t>'</w:t>
      </w:r>
      <w:r w:rsidRPr="004C7EA6">
        <w:t>UIT des points à inscrire à l</w:t>
      </w:r>
      <w:r w:rsidR="004C7EA6" w:rsidRPr="004C7EA6">
        <w:t>'</w:t>
      </w:r>
      <w:r w:rsidRPr="004C7EA6">
        <w:t>ordre du jour de la Conférence mondiale des radiocommunications suivante et des points de l</w:t>
      </w:r>
      <w:r w:rsidR="004C7EA6" w:rsidRPr="004C7EA6">
        <w:t>'</w:t>
      </w:r>
      <w:r w:rsidRPr="004C7EA6">
        <w:t>ordre du jour préliminaire de conférences futures, conformément à l</w:t>
      </w:r>
      <w:r w:rsidR="004C7EA6" w:rsidRPr="004C7EA6">
        <w:t>'</w:t>
      </w:r>
      <w:r w:rsidRPr="004C7EA6">
        <w:t>article 7 de la Convention de l</w:t>
      </w:r>
      <w:r w:rsidR="004C7EA6" w:rsidRPr="004C7EA6">
        <w:t>'</w:t>
      </w:r>
      <w:r w:rsidRPr="004C7EA6">
        <w:t xml:space="preserve">UIT et à la Résolution </w:t>
      </w:r>
      <w:r w:rsidRPr="004C7EA6">
        <w:rPr>
          <w:b/>
        </w:rPr>
        <w:t>804 (Rév.CMR-19)</w:t>
      </w:r>
      <w:r w:rsidRPr="004C7EA6">
        <w:t>,</w:t>
      </w:r>
    </w:p>
    <w:p w14:paraId="6AEED63F" w14:textId="008DF29B" w:rsidR="00BB22EC" w:rsidRPr="004C7EA6" w:rsidRDefault="00BB22EC" w:rsidP="00D516F4">
      <w:pPr>
        <w:pStyle w:val="Headingb"/>
      </w:pPr>
      <w:r w:rsidRPr="004C7EA6">
        <w:t>Introduction</w:t>
      </w:r>
    </w:p>
    <w:p w14:paraId="60A0E45F" w14:textId="1C29539F" w:rsidR="00BB22EC" w:rsidRPr="004C7EA6" w:rsidRDefault="00A81B64" w:rsidP="00D516F4">
      <w:r w:rsidRPr="004C7EA6">
        <w:t>Il est proposé d</w:t>
      </w:r>
      <w:r w:rsidR="004C7EA6" w:rsidRPr="004C7EA6">
        <w:t>'</w:t>
      </w:r>
      <w:r w:rsidRPr="004C7EA6">
        <w:t xml:space="preserve">insérer le </w:t>
      </w:r>
      <w:r w:rsidR="00B11CA9" w:rsidRPr="004C7EA6">
        <w:t>texte</w:t>
      </w:r>
      <w:r w:rsidRPr="004C7EA6">
        <w:t xml:space="preserve"> suivant </w:t>
      </w:r>
      <w:r w:rsidR="00B11CA9" w:rsidRPr="004C7EA6">
        <w:t>du</w:t>
      </w:r>
      <w:r w:rsidRPr="004C7EA6">
        <w:t xml:space="preserve"> nouveau point de l</w:t>
      </w:r>
      <w:r w:rsidR="004C7EA6" w:rsidRPr="004C7EA6">
        <w:t>'</w:t>
      </w:r>
      <w:r w:rsidRPr="004C7EA6">
        <w:t xml:space="preserve">ordre du jour dans le projet de nouvelle Résolution </w:t>
      </w:r>
      <w:r w:rsidRPr="004C7EA6">
        <w:rPr>
          <w:b/>
          <w:bCs/>
        </w:rPr>
        <w:t>[MCP-A10</w:t>
      </w:r>
      <w:r w:rsidRPr="004C7EA6">
        <w:t>-</w:t>
      </w:r>
      <w:r w:rsidRPr="004C7EA6">
        <w:rPr>
          <w:b/>
          <w:bCs/>
        </w:rPr>
        <w:t xml:space="preserve">WRC-27] </w:t>
      </w:r>
      <w:r w:rsidRPr="004C7EA6">
        <w:rPr>
          <w:b/>
        </w:rPr>
        <w:t>(CMR-23)</w:t>
      </w:r>
      <w:r w:rsidRPr="004C7EA6">
        <w:t xml:space="preserve"> concernant l</w:t>
      </w:r>
      <w:r w:rsidR="004C7EA6" w:rsidRPr="004C7EA6">
        <w:t>'</w:t>
      </w:r>
      <w:r w:rsidRPr="004C7EA6">
        <w:t>ordre du jour de la Conférence mondiale des radiocommunications de 2027:</w:t>
      </w:r>
    </w:p>
    <w:p w14:paraId="3D99E7C9" w14:textId="5CDB50A9" w:rsidR="00BB22EC" w:rsidRPr="004C7EA6" w:rsidRDefault="00BB22EC" w:rsidP="00D516F4">
      <w:r w:rsidRPr="004C7EA6">
        <w:t>1</w:t>
      </w:r>
      <w:r w:rsidRPr="004C7EA6">
        <w:tab/>
        <w:t>sur la base des propositions des administrations, compte tenu des résultats de la</w:t>
      </w:r>
      <w:r w:rsidR="00DA1FC0" w:rsidRPr="004C7EA6">
        <w:t> </w:t>
      </w:r>
      <w:r w:rsidRPr="004C7EA6">
        <w:t>CMR</w:t>
      </w:r>
      <w:r w:rsidRPr="004C7EA6">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4E073C47" w14:textId="75AE14AD" w:rsidR="00BB22EC" w:rsidRPr="004C7EA6" w:rsidRDefault="00BB22EC" w:rsidP="00D516F4">
      <w:r w:rsidRPr="004C7EA6">
        <w:t>[...]</w:t>
      </w:r>
    </w:p>
    <w:p w14:paraId="404C867A" w14:textId="4C78A802" w:rsidR="00BB22EC" w:rsidRPr="004C7EA6" w:rsidRDefault="00BB22EC" w:rsidP="00D516F4">
      <w:r w:rsidRPr="004C7EA6">
        <w:t>1.XX</w:t>
      </w:r>
      <w:r w:rsidRPr="004C7EA6">
        <w:tab/>
      </w:r>
      <w:r w:rsidR="00A81B64" w:rsidRPr="004C7EA6">
        <w:t xml:space="preserve">examiner les mesures réglementaires </w:t>
      </w:r>
      <w:r w:rsidR="00B11CA9" w:rsidRPr="004C7EA6">
        <w:t>à prendre pour</w:t>
      </w:r>
      <w:r w:rsidR="00A81B64" w:rsidRPr="004C7EA6">
        <w:t xml:space="preserve"> protéger la réception par satellite contre les brouillages cumulatifs causés par les services fixe et mobile dans les bandes de fréquences au-dessus de 30 GHz, conformément à la Résolution </w:t>
      </w:r>
      <w:r w:rsidR="00A81B64" w:rsidRPr="004C7EA6">
        <w:rPr>
          <w:b/>
        </w:rPr>
        <w:t>[</w:t>
      </w:r>
      <w:r w:rsidR="003B0814" w:rsidRPr="004C7EA6">
        <w:rPr>
          <w:b/>
          <w:bCs/>
        </w:rPr>
        <w:t>MCP-A10-Table 21-2</w:t>
      </w:r>
      <w:r w:rsidR="00A81B64" w:rsidRPr="004C7EA6">
        <w:rPr>
          <w:b/>
        </w:rPr>
        <w:t>] (CMR</w:t>
      </w:r>
      <w:r w:rsidR="00D516F4" w:rsidRPr="004C7EA6">
        <w:rPr>
          <w:b/>
        </w:rPr>
        <w:noBreakHyphen/>
      </w:r>
      <w:r w:rsidR="00A81B64" w:rsidRPr="004C7EA6">
        <w:rPr>
          <w:b/>
        </w:rPr>
        <w:t>23)</w:t>
      </w:r>
      <w:r w:rsidR="00A81B64" w:rsidRPr="004C7EA6">
        <w:t>;</w:t>
      </w:r>
    </w:p>
    <w:p w14:paraId="3639E5EB" w14:textId="71125554" w:rsidR="00BB22EC" w:rsidRPr="004C7EA6" w:rsidRDefault="00BB22EC" w:rsidP="00D516F4">
      <w:pPr>
        <w:pStyle w:val="EditorsNote"/>
        <w:rPr>
          <w:i/>
          <w:iCs/>
        </w:rPr>
      </w:pPr>
      <w:r w:rsidRPr="004C7EA6">
        <w:rPr>
          <w:i/>
          <w:iCs/>
        </w:rPr>
        <w:t>Note:</w:t>
      </w:r>
      <w:r w:rsidR="00A81B64" w:rsidRPr="004C7EA6">
        <w:rPr>
          <w:i/>
          <w:iCs/>
        </w:rPr>
        <w:t xml:space="preserve"> Numérotation à modifier une fois </w:t>
      </w:r>
      <w:r w:rsidR="00B11CA9" w:rsidRPr="004C7EA6">
        <w:rPr>
          <w:i/>
          <w:iCs/>
        </w:rPr>
        <w:t xml:space="preserve">que </w:t>
      </w:r>
      <w:r w:rsidR="00A81B64" w:rsidRPr="004C7EA6">
        <w:rPr>
          <w:i/>
          <w:iCs/>
        </w:rPr>
        <w:t>la liste des points de l</w:t>
      </w:r>
      <w:r w:rsidR="004C7EA6" w:rsidRPr="004C7EA6">
        <w:rPr>
          <w:i/>
          <w:iCs/>
        </w:rPr>
        <w:t>'</w:t>
      </w:r>
      <w:r w:rsidR="00A81B64" w:rsidRPr="004C7EA6">
        <w:rPr>
          <w:i/>
          <w:iCs/>
        </w:rPr>
        <w:t xml:space="preserve">ordre du jour </w:t>
      </w:r>
      <w:r w:rsidR="00B11CA9" w:rsidRPr="004C7EA6">
        <w:rPr>
          <w:i/>
          <w:iCs/>
        </w:rPr>
        <w:t>sera établie</w:t>
      </w:r>
      <w:r w:rsidR="00352EFD" w:rsidRPr="004C7EA6">
        <w:rPr>
          <w:i/>
          <w:iCs/>
        </w:rPr>
        <w:t>.</w:t>
      </w:r>
    </w:p>
    <w:p w14:paraId="51AE4630" w14:textId="0195BCAF" w:rsidR="00BB22EC" w:rsidRPr="004C7EA6" w:rsidRDefault="00BB22EC" w:rsidP="00D516F4">
      <w:pPr>
        <w:pStyle w:val="Headingb"/>
      </w:pPr>
      <w:r w:rsidRPr="004C7EA6">
        <w:t>Proposition</w:t>
      </w:r>
      <w:r w:rsidR="00D516F4" w:rsidRPr="004C7EA6">
        <w:t>s</w:t>
      </w:r>
    </w:p>
    <w:p w14:paraId="2FC58EE5" w14:textId="77777777" w:rsidR="0015203F" w:rsidRPr="004C7EA6" w:rsidRDefault="0015203F" w:rsidP="00D516F4">
      <w:pPr>
        <w:tabs>
          <w:tab w:val="clear" w:pos="1134"/>
          <w:tab w:val="clear" w:pos="1871"/>
          <w:tab w:val="clear" w:pos="2268"/>
        </w:tabs>
        <w:overflowPunct/>
        <w:autoSpaceDE/>
        <w:autoSpaceDN/>
        <w:adjustRightInd/>
        <w:spacing w:before="0"/>
        <w:textAlignment w:val="auto"/>
      </w:pPr>
      <w:r w:rsidRPr="004C7EA6">
        <w:br w:type="page"/>
      </w:r>
    </w:p>
    <w:p w14:paraId="4907A2E9" w14:textId="6F401084" w:rsidR="004519DF" w:rsidRPr="004C7EA6" w:rsidRDefault="009B18B1" w:rsidP="00D516F4">
      <w:pPr>
        <w:pStyle w:val="Proposal"/>
      </w:pPr>
      <w:r w:rsidRPr="004C7EA6">
        <w:lastRenderedPageBreak/>
        <w:t>ADD</w:t>
      </w:r>
      <w:r w:rsidRPr="004C7EA6">
        <w:tab/>
        <w:t>D/AU</w:t>
      </w:r>
      <w:r w:rsidR="00A81B64" w:rsidRPr="004C7EA6">
        <w:t>T</w:t>
      </w:r>
      <w:r w:rsidRPr="004C7EA6">
        <w:t>/BEL/HRV/E/F/HNG/I/LUX/MLT/MNE/NOR/HOL/POL/POR/ROU/</w:t>
      </w:r>
      <w:r w:rsidR="00D516F4" w:rsidRPr="004C7EA6">
        <w:br/>
      </w:r>
      <w:r w:rsidRPr="004C7EA6">
        <w:t>SUI/166/1</w:t>
      </w:r>
    </w:p>
    <w:p w14:paraId="45019591" w14:textId="57AB3562" w:rsidR="004519DF" w:rsidRPr="004C7EA6" w:rsidRDefault="009B18B1" w:rsidP="00D516F4">
      <w:pPr>
        <w:pStyle w:val="ResNo"/>
      </w:pPr>
      <w:r w:rsidRPr="004C7EA6">
        <w:t>Projet de nouvelle R</w:t>
      </w:r>
      <w:r w:rsidR="00DC448A" w:rsidRPr="004C7EA6">
        <w:t>É</w:t>
      </w:r>
      <w:r w:rsidRPr="004C7EA6">
        <w:t>solution [</w:t>
      </w:r>
      <w:r w:rsidR="00BB22EC" w:rsidRPr="004C7EA6">
        <w:t>MCP-A10-TABLE 21-2</w:t>
      </w:r>
      <w:r w:rsidRPr="004C7EA6">
        <w:t>]</w:t>
      </w:r>
      <w:r w:rsidR="003B0814" w:rsidRPr="004C7EA6">
        <w:t xml:space="preserve"> </w:t>
      </w:r>
      <w:r w:rsidR="00BB22EC" w:rsidRPr="004C7EA6">
        <w:t>(CMR-23)</w:t>
      </w:r>
    </w:p>
    <w:p w14:paraId="7040F6AF" w14:textId="76D2CE25" w:rsidR="00DC448A" w:rsidRPr="004C7EA6" w:rsidRDefault="00DC448A" w:rsidP="00D516F4">
      <w:pPr>
        <w:pStyle w:val="Restitle"/>
      </w:pPr>
      <w:r w:rsidRPr="004C7EA6">
        <w:t xml:space="preserve">Protection des stations spatiales </w:t>
      </w:r>
      <w:r w:rsidR="00B11CA9" w:rsidRPr="004C7EA6">
        <w:t xml:space="preserve">utilisant en </w:t>
      </w:r>
      <w:r w:rsidRPr="004C7EA6">
        <w:t>partage</w:t>
      </w:r>
      <w:r w:rsidR="00B11CA9" w:rsidRPr="004C7EA6">
        <w:t xml:space="preserve"> </w:t>
      </w:r>
      <w:r w:rsidRPr="004C7EA6">
        <w:t xml:space="preserve">des bandes de fréquences dans certaines bandes de fréquences au-dessus de 30 GHz vis-à-vis des </w:t>
      </w:r>
      <w:r w:rsidR="00DA1FC0" w:rsidRPr="004C7EA6">
        <w:br/>
      </w:r>
      <w:r w:rsidRPr="004C7EA6">
        <w:t xml:space="preserve">stations de Terre du service fixe ou du service mobile, y compris </w:t>
      </w:r>
      <w:r w:rsidR="00DA1FC0" w:rsidRPr="004C7EA6">
        <w:br/>
      </w:r>
      <w:r w:rsidRPr="004C7EA6">
        <w:t>les stations IMT qui utilisent un réseau d</w:t>
      </w:r>
      <w:r w:rsidR="004C7EA6" w:rsidRPr="004C7EA6">
        <w:t>'</w:t>
      </w:r>
      <w:r w:rsidRPr="004C7EA6">
        <w:t>éléments actifs</w:t>
      </w:r>
    </w:p>
    <w:p w14:paraId="498C49A7" w14:textId="206AE2E5" w:rsidR="00DC448A" w:rsidRPr="004C7EA6" w:rsidRDefault="00DC448A" w:rsidP="00DA1FC0">
      <w:pPr>
        <w:pStyle w:val="EditorsNote"/>
        <w:rPr>
          <w:i/>
          <w:iCs/>
        </w:rPr>
      </w:pPr>
      <w:r w:rsidRPr="004C7EA6">
        <w:rPr>
          <w:i/>
          <w:iCs/>
        </w:rPr>
        <w:t xml:space="preserve">Note: </w:t>
      </w:r>
      <w:r w:rsidR="00B11CA9" w:rsidRPr="004C7EA6">
        <w:rPr>
          <w:i/>
          <w:iCs/>
        </w:rPr>
        <w:t xml:space="preserve">la présente </w:t>
      </w:r>
      <w:r w:rsidRPr="004C7EA6">
        <w:rPr>
          <w:i/>
          <w:iCs/>
        </w:rPr>
        <w:t xml:space="preserve">proposition devrait être examinée </w:t>
      </w:r>
      <w:r w:rsidR="00B00A36" w:rsidRPr="004C7EA6">
        <w:rPr>
          <w:i/>
          <w:iCs/>
        </w:rPr>
        <w:t xml:space="preserve">eu égard à </w:t>
      </w:r>
      <w:r w:rsidRPr="004C7EA6">
        <w:rPr>
          <w:i/>
          <w:iCs/>
        </w:rPr>
        <w:t xml:space="preserve">la décision </w:t>
      </w:r>
      <w:r w:rsidR="00B11CA9" w:rsidRPr="004C7EA6">
        <w:rPr>
          <w:i/>
          <w:iCs/>
        </w:rPr>
        <w:t xml:space="preserve">que prendra </w:t>
      </w:r>
      <w:r w:rsidRPr="004C7EA6">
        <w:rPr>
          <w:i/>
          <w:iCs/>
        </w:rPr>
        <w:t>la CMR-23</w:t>
      </w:r>
      <w:r w:rsidR="00B11CA9" w:rsidRPr="004C7EA6">
        <w:rPr>
          <w:i/>
          <w:iCs/>
        </w:rPr>
        <w:t xml:space="preserve"> suite </w:t>
      </w:r>
      <w:r w:rsidRPr="004C7EA6">
        <w:rPr>
          <w:i/>
          <w:iCs/>
        </w:rPr>
        <w:t>au Document 550 (CMR-19), y compris en ce qui concerne les mesures de suivi possibles en vue de la CMR-27</w:t>
      </w:r>
      <w:r w:rsidR="00050C51" w:rsidRPr="004C7EA6">
        <w:rPr>
          <w:i/>
          <w:iCs/>
        </w:rPr>
        <w:t>.</w:t>
      </w:r>
    </w:p>
    <w:p w14:paraId="7430AD76" w14:textId="77777777" w:rsidR="00BB22EC" w:rsidRPr="004C7EA6" w:rsidRDefault="00BB22EC" w:rsidP="00D516F4">
      <w:pPr>
        <w:pStyle w:val="Normalaftertitle"/>
        <w:rPr>
          <w:lang w:eastAsia="en-GB"/>
        </w:rPr>
      </w:pPr>
      <w:r w:rsidRPr="004C7EA6">
        <w:t>La Conférence mondiale des radiocommunications (Dubaï, 2023),</w:t>
      </w:r>
    </w:p>
    <w:p w14:paraId="3D6413AF" w14:textId="434BA206" w:rsidR="00BB22EC" w:rsidRPr="004C7EA6" w:rsidRDefault="00BB22EC" w:rsidP="00D516F4">
      <w:pPr>
        <w:pStyle w:val="Call"/>
      </w:pPr>
      <w:r w:rsidRPr="004C7EA6">
        <w:t>considér</w:t>
      </w:r>
      <w:r w:rsidR="009B18B1" w:rsidRPr="004C7EA6">
        <w:t>a</w:t>
      </w:r>
      <w:r w:rsidRPr="004C7EA6">
        <w:t>nt</w:t>
      </w:r>
    </w:p>
    <w:p w14:paraId="39E340DD" w14:textId="68170A13" w:rsidR="00BB22EC" w:rsidRPr="004C7EA6" w:rsidRDefault="00BB22EC" w:rsidP="00D516F4">
      <w:r w:rsidRPr="004C7EA6">
        <w:rPr>
          <w:i/>
          <w:iCs/>
        </w:rPr>
        <w:t>a)</w:t>
      </w:r>
      <w:r w:rsidRPr="004C7EA6">
        <w:tab/>
      </w:r>
      <w:r w:rsidR="00B00A36" w:rsidRPr="004C7EA6">
        <w:t>que, c</w:t>
      </w:r>
      <w:r w:rsidR="008D2842" w:rsidRPr="004C7EA6">
        <w:t xml:space="preserve">onformément au Document 550 </w:t>
      </w:r>
      <w:r w:rsidR="00B00A36" w:rsidRPr="004C7EA6">
        <w:t>(</w:t>
      </w:r>
      <w:r w:rsidR="008D2842" w:rsidRPr="004C7EA6">
        <w:t>CMR-19</w:t>
      </w:r>
      <w:r w:rsidR="00B00A36" w:rsidRPr="004C7EA6">
        <w:t>)</w:t>
      </w:r>
      <w:r w:rsidR="008D2842" w:rsidRPr="004C7EA6">
        <w:t xml:space="preserve">, </w:t>
      </w:r>
      <w:r w:rsidR="00B00A36" w:rsidRPr="004C7EA6">
        <w:t>l</w:t>
      </w:r>
      <w:r w:rsidR="004C7EA6" w:rsidRPr="004C7EA6">
        <w:t>'</w:t>
      </w:r>
      <w:r w:rsidR="008D2842" w:rsidRPr="004C7EA6">
        <w:t xml:space="preserve">UIT-R est invité </w:t>
      </w:r>
      <w:r w:rsidR="00B00A36" w:rsidRPr="004C7EA6">
        <w:t>«</w:t>
      </w:r>
      <w:r w:rsidR="008D2842" w:rsidRPr="004C7EA6">
        <w:rPr>
          <w:iCs/>
        </w:rPr>
        <w:t>à étudier d</w:t>
      </w:r>
      <w:r w:rsidR="004C7EA6" w:rsidRPr="004C7EA6">
        <w:rPr>
          <w:iCs/>
        </w:rPr>
        <w:t>'</w:t>
      </w:r>
      <w:r w:rsidR="008D2842" w:rsidRPr="004C7EA6">
        <w:rPr>
          <w:iCs/>
        </w:rPr>
        <w:t>urgence la possibilité d</w:t>
      </w:r>
      <w:r w:rsidR="004C7EA6" w:rsidRPr="004C7EA6">
        <w:rPr>
          <w:iCs/>
        </w:rPr>
        <w:t>'</w:t>
      </w:r>
      <w:r w:rsidR="008D2842" w:rsidRPr="004C7EA6">
        <w:rPr>
          <w:iCs/>
        </w:rPr>
        <w:t xml:space="preserve">appliquer la limite indiquée au numéro </w:t>
      </w:r>
      <w:r w:rsidR="008D2842" w:rsidRPr="004C7EA6">
        <w:rPr>
          <w:b/>
          <w:bCs/>
          <w:iCs/>
        </w:rPr>
        <w:t>21.5</w:t>
      </w:r>
      <w:r w:rsidR="008D2842" w:rsidRPr="004C7EA6">
        <w:rPr>
          <w:iCs/>
        </w:rPr>
        <w:t xml:space="preserve"> du Règlement des radiocommunications aux stations IMT qui utilisent une antenne composée d</w:t>
      </w:r>
      <w:r w:rsidR="004C7EA6" w:rsidRPr="004C7EA6">
        <w:rPr>
          <w:iCs/>
        </w:rPr>
        <w:t>'</w:t>
      </w:r>
      <w:r w:rsidR="008D2842" w:rsidRPr="004C7EA6">
        <w:rPr>
          <w:iCs/>
        </w:rPr>
        <w:t>un réseau d</w:t>
      </w:r>
      <w:r w:rsidR="004C7EA6" w:rsidRPr="004C7EA6">
        <w:rPr>
          <w:iCs/>
        </w:rPr>
        <w:t>'</w:t>
      </w:r>
      <w:r w:rsidR="008D2842" w:rsidRPr="004C7EA6">
        <w:rPr>
          <w:iCs/>
        </w:rPr>
        <w:t xml:space="preserve">éléments actifs, en vue de recommander des solutions pour remplacer ou réviser éventuellement cette limite pour lesdites stations, ainsi que les éventuelles mises à jour nécessaires du Tableau </w:t>
      </w:r>
      <w:r w:rsidR="008D2842" w:rsidRPr="004C7EA6">
        <w:rPr>
          <w:b/>
          <w:bCs/>
          <w:iCs/>
        </w:rPr>
        <w:t>21-2</w:t>
      </w:r>
      <w:r w:rsidR="008D2842" w:rsidRPr="004C7EA6">
        <w:rPr>
          <w:iCs/>
        </w:rPr>
        <w:t xml:space="preserve"> concernant les services de Terre et les services spatiaux utilisant en partage des bandes de fréquences</w:t>
      </w:r>
      <w:r w:rsidR="00B00A36" w:rsidRPr="004C7EA6">
        <w:t>»;</w:t>
      </w:r>
    </w:p>
    <w:p w14:paraId="574EA0E5" w14:textId="23EA3017" w:rsidR="008D2842" w:rsidRPr="004C7EA6" w:rsidRDefault="008D2842" w:rsidP="00D516F4">
      <w:pPr>
        <w:rPr>
          <w:iCs/>
        </w:rPr>
      </w:pPr>
      <w:r w:rsidRPr="004C7EA6">
        <w:rPr>
          <w:i/>
          <w:iCs/>
        </w:rPr>
        <w:t>b)</w:t>
      </w:r>
      <w:r w:rsidRPr="004C7EA6">
        <w:rPr>
          <w:i/>
          <w:iCs/>
        </w:rPr>
        <w:tab/>
      </w:r>
      <w:r w:rsidR="00B00A36" w:rsidRPr="004C7EA6">
        <w:rPr>
          <w:iCs/>
        </w:rPr>
        <w:t xml:space="preserve">que le numéro </w:t>
      </w:r>
      <w:r w:rsidR="00B00A36" w:rsidRPr="004C7EA6">
        <w:rPr>
          <w:b/>
          <w:iCs/>
        </w:rPr>
        <w:t>21.5</w:t>
      </w:r>
      <w:r w:rsidR="00B00A36" w:rsidRPr="004C7EA6">
        <w:rPr>
          <w:iCs/>
        </w:rPr>
        <w:t xml:space="preserve"> est essentiel pour protéger les satellites contre les brouillages cumulatifs, comme indiqué dans l</w:t>
      </w:r>
      <w:r w:rsidR="003721D3" w:rsidRPr="004C7EA6">
        <w:rPr>
          <w:iCs/>
        </w:rPr>
        <w:t>a Recommandation UIT-R SF.355</w:t>
      </w:r>
      <w:r w:rsidR="003B0814" w:rsidRPr="004C7EA6">
        <w:rPr>
          <w:iCs/>
        </w:rPr>
        <w:t>,</w:t>
      </w:r>
      <w:r w:rsidR="003721D3" w:rsidRPr="004C7EA6">
        <w:rPr>
          <w:iCs/>
        </w:rPr>
        <w:t xml:space="preserve"> </w:t>
      </w:r>
      <w:r w:rsidR="00B11CA9" w:rsidRPr="004C7EA6">
        <w:rPr>
          <w:iCs/>
        </w:rPr>
        <w:t>libellée comme suit:</w:t>
      </w:r>
      <w:r w:rsidR="00352EFD" w:rsidRPr="004C7EA6">
        <w:rPr>
          <w:iCs/>
        </w:rPr>
        <w:t xml:space="preserve"> </w:t>
      </w:r>
      <w:r w:rsidR="003721D3" w:rsidRPr="004C7EA6">
        <w:rPr>
          <w:iCs/>
        </w:rPr>
        <w:t>«</w:t>
      </w:r>
      <w:r w:rsidR="003721D3" w:rsidRPr="004C7EA6">
        <w:t>En dehors du lobe principal, le gain de l</w:t>
      </w:r>
      <w:r w:rsidR="004C7EA6" w:rsidRPr="004C7EA6">
        <w:t>'</w:t>
      </w:r>
      <w:r w:rsidR="003721D3" w:rsidRPr="004C7EA6">
        <w:t>antenne d</w:t>
      </w:r>
      <w:r w:rsidR="004C7EA6" w:rsidRPr="004C7EA6">
        <w:t>'</w:t>
      </w:r>
      <w:r w:rsidR="003721D3" w:rsidRPr="004C7EA6">
        <w:t>une station de Terre est, dans une large mesure, indépendant du gain dans ce lobe. Par conséquent, lorsque le satellite ne se trouve pas dans le lobe principal, on peut agir sur le brouillage en limitant la puissance totale fournie à l</w:t>
      </w:r>
      <w:r w:rsidR="004C7EA6" w:rsidRPr="004C7EA6">
        <w:t>'</w:t>
      </w:r>
      <w:r w:rsidR="003721D3" w:rsidRPr="004C7EA6">
        <w:t>antenne plutôt qu</w:t>
      </w:r>
      <w:r w:rsidR="004C7EA6" w:rsidRPr="004C7EA6">
        <w:t>'</w:t>
      </w:r>
      <w:r w:rsidR="003721D3" w:rsidRPr="004C7EA6">
        <w:t>en limitant la p.i.r.e. Le brouillage total dans le lobe principal de l</w:t>
      </w:r>
      <w:r w:rsidR="004C7EA6" w:rsidRPr="004C7EA6">
        <w:t>'</w:t>
      </w:r>
      <w:r w:rsidR="003721D3" w:rsidRPr="004C7EA6">
        <w:t>antenne du satellite dépend donc du nombre de stations de Terre se trouvant dans la zone de couverture du satellite et de la valeur moyenne de leur gain d</w:t>
      </w:r>
      <w:r w:rsidR="004C7EA6" w:rsidRPr="004C7EA6">
        <w:t>'</w:t>
      </w:r>
      <w:r w:rsidR="003721D3" w:rsidRPr="004C7EA6">
        <w:t>antenne dans la direction du satellite»;</w:t>
      </w:r>
    </w:p>
    <w:p w14:paraId="32CA15FB" w14:textId="2A153AF0" w:rsidR="008D2842" w:rsidRPr="004C7EA6" w:rsidRDefault="008D2842" w:rsidP="00D516F4">
      <w:pPr>
        <w:rPr>
          <w:i/>
          <w:iCs/>
        </w:rPr>
      </w:pPr>
      <w:r w:rsidRPr="004C7EA6">
        <w:rPr>
          <w:i/>
          <w:iCs/>
        </w:rPr>
        <w:t>c)</w:t>
      </w:r>
      <w:r w:rsidRPr="004C7EA6">
        <w:rPr>
          <w:i/>
          <w:iCs/>
        </w:rPr>
        <w:tab/>
      </w:r>
      <w:r w:rsidR="003721D3" w:rsidRPr="004C7EA6">
        <w:rPr>
          <w:iCs/>
        </w:rPr>
        <w:t>que la CMR-19 a identifié plusieurs bandes de fréquences au-dessus de 24 GHz pour les Télécommunications mobiles internationales (IMT);</w:t>
      </w:r>
    </w:p>
    <w:p w14:paraId="6AFEF7A0" w14:textId="4B1B98FF" w:rsidR="008D2842" w:rsidRPr="004C7EA6" w:rsidRDefault="008D2842" w:rsidP="00D516F4">
      <w:pPr>
        <w:rPr>
          <w:i/>
          <w:iCs/>
        </w:rPr>
      </w:pPr>
      <w:r w:rsidRPr="004C7EA6">
        <w:rPr>
          <w:i/>
          <w:iCs/>
        </w:rPr>
        <w:t>d)</w:t>
      </w:r>
      <w:r w:rsidRPr="004C7EA6">
        <w:rPr>
          <w:i/>
          <w:iCs/>
        </w:rPr>
        <w:tab/>
      </w:r>
      <w:r w:rsidR="003721D3" w:rsidRPr="004C7EA6">
        <w:rPr>
          <w:iCs/>
        </w:rPr>
        <w:t xml:space="preserve">que des systèmes fixes et mobiles, y compris des IMT, sont </w:t>
      </w:r>
      <w:r w:rsidR="00B11CA9" w:rsidRPr="004C7EA6">
        <w:rPr>
          <w:iCs/>
        </w:rPr>
        <w:t xml:space="preserve">déployés </w:t>
      </w:r>
      <w:r w:rsidR="003721D3" w:rsidRPr="004C7EA6">
        <w:rPr>
          <w:iCs/>
        </w:rPr>
        <w:t>au moyen d</w:t>
      </w:r>
      <w:r w:rsidR="004C7EA6" w:rsidRPr="004C7EA6">
        <w:rPr>
          <w:iCs/>
        </w:rPr>
        <w:t>'</w:t>
      </w:r>
      <w:r w:rsidR="003721D3" w:rsidRPr="004C7EA6">
        <w:rPr>
          <w:iCs/>
        </w:rPr>
        <w:t>une antenne composée d</w:t>
      </w:r>
      <w:r w:rsidR="004C7EA6" w:rsidRPr="004C7EA6">
        <w:rPr>
          <w:iCs/>
        </w:rPr>
        <w:t>'</w:t>
      </w:r>
      <w:r w:rsidR="003721D3" w:rsidRPr="004C7EA6">
        <w:rPr>
          <w:iCs/>
        </w:rPr>
        <w:t>un réseau d</w:t>
      </w:r>
      <w:r w:rsidR="004C7EA6" w:rsidRPr="004C7EA6">
        <w:rPr>
          <w:iCs/>
        </w:rPr>
        <w:t>'</w:t>
      </w:r>
      <w:r w:rsidR="003721D3" w:rsidRPr="004C7EA6">
        <w:rPr>
          <w:iCs/>
        </w:rPr>
        <w:t xml:space="preserve">éléments actifs, dans des bandes de fréquences </w:t>
      </w:r>
      <w:r w:rsidR="00B11CA9" w:rsidRPr="004C7EA6">
        <w:rPr>
          <w:iCs/>
        </w:rPr>
        <w:t xml:space="preserve">qui ne sont pas </w:t>
      </w:r>
      <w:r w:rsidR="003721D3" w:rsidRPr="004C7EA6">
        <w:rPr>
          <w:iCs/>
        </w:rPr>
        <w:t>identifiées pour les IMT;</w:t>
      </w:r>
    </w:p>
    <w:p w14:paraId="1FE93361" w14:textId="340C2246" w:rsidR="008D2842" w:rsidRPr="004C7EA6" w:rsidRDefault="008D2842" w:rsidP="00D516F4">
      <w:pPr>
        <w:rPr>
          <w:i/>
          <w:iCs/>
        </w:rPr>
      </w:pPr>
      <w:r w:rsidRPr="004C7EA6">
        <w:rPr>
          <w:i/>
          <w:iCs/>
        </w:rPr>
        <w:t>e)</w:t>
      </w:r>
      <w:r w:rsidRPr="004C7EA6">
        <w:rPr>
          <w:i/>
          <w:iCs/>
        </w:rPr>
        <w:tab/>
      </w:r>
      <w:r w:rsidRPr="004C7EA6">
        <w:t>que les caractéristiques des ban</w:t>
      </w:r>
      <w:r w:rsidR="00354045" w:rsidRPr="004C7EA6">
        <w:t xml:space="preserve">des de fréquences plus élevées </w:t>
      </w:r>
      <w:r w:rsidRPr="004C7EA6">
        <w:t>favoriseraient davantage l</w:t>
      </w:r>
      <w:r w:rsidR="004C7EA6" w:rsidRPr="004C7EA6">
        <w:t>'</w:t>
      </w:r>
      <w:r w:rsidRPr="004C7EA6">
        <w:t>utilisation de systèmes d</w:t>
      </w:r>
      <w:r w:rsidR="004C7EA6" w:rsidRPr="004C7EA6">
        <w:t>'</w:t>
      </w:r>
      <w:r w:rsidRPr="004C7EA6">
        <w:t>antenne perfectionnés, y compris de techniques d</w:t>
      </w:r>
      <w:r w:rsidR="004C7EA6" w:rsidRPr="004C7EA6">
        <w:t>'</w:t>
      </w:r>
      <w:r w:rsidRPr="004C7EA6">
        <w:t>entrées multiples/sorties multiples (MIMO</w:t>
      </w:r>
      <w:r w:rsidR="00354045" w:rsidRPr="004C7EA6">
        <w:t>) et de formation des faisceaux</w:t>
      </w:r>
      <w:r w:rsidRPr="004C7EA6">
        <w:t>;</w:t>
      </w:r>
    </w:p>
    <w:p w14:paraId="30B9B5D7" w14:textId="1B026B65" w:rsidR="008D2842" w:rsidRPr="004C7EA6" w:rsidRDefault="008D2842" w:rsidP="00D516F4">
      <w:pPr>
        <w:rPr>
          <w:i/>
          <w:iCs/>
        </w:rPr>
      </w:pPr>
      <w:r w:rsidRPr="004C7EA6">
        <w:rPr>
          <w:i/>
          <w:iCs/>
        </w:rPr>
        <w:t>f)</w:t>
      </w:r>
      <w:r w:rsidRPr="004C7EA6">
        <w:rPr>
          <w:i/>
          <w:iCs/>
        </w:rPr>
        <w:tab/>
      </w:r>
      <w:r w:rsidR="00354045" w:rsidRPr="004C7EA6">
        <w:rPr>
          <w:iCs/>
        </w:rPr>
        <w:t>qu</w:t>
      </w:r>
      <w:r w:rsidR="004C7EA6" w:rsidRPr="004C7EA6">
        <w:rPr>
          <w:iCs/>
        </w:rPr>
        <w:t>'</w:t>
      </w:r>
      <w:r w:rsidR="00354045" w:rsidRPr="004C7EA6">
        <w:rPr>
          <w:iCs/>
        </w:rPr>
        <w:t>il est nécessaire de protéger les services existants et de permettre la poursuite de leur développement</w:t>
      </w:r>
      <w:r w:rsidR="003B0814" w:rsidRPr="004C7EA6">
        <w:rPr>
          <w:iCs/>
        </w:rPr>
        <w:t>;</w:t>
      </w:r>
    </w:p>
    <w:p w14:paraId="2A37CF17" w14:textId="20E8E8F9" w:rsidR="008D2842" w:rsidRPr="004C7EA6" w:rsidRDefault="008D2842" w:rsidP="00D516F4">
      <w:pPr>
        <w:rPr>
          <w:i/>
          <w:iCs/>
        </w:rPr>
      </w:pPr>
      <w:r w:rsidRPr="004C7EA6">
        <w:rPr>
          <w:i/>
          <w:iCs/>
        </w:rPr>
        <w:t>g)</w:t>
      </w:r>
      <w:r w:rsidRPr="004C7EA6">
        <w:rPr>
          <w:i/>
          <w:iCs/>
        </w:rPr>
        <w:tab/>
      </w:r>
      <w:r w:rsidR="00354045" w:rsidRPr="004C7EA6">
        <w:rPr>
          <w:iCs/>
        </w:rPr>
        <w:t>que, comme l</w:t>
      </w:r>
      <w:r w:rsidR="004C7EA6" w:rsidRPr="004C7EA6">
        <w:rPr>
          <w:iCs/>
        </w:rPr>
        <w:t>'</w:t>
      </w:r>
      <w:r w:rsidR="00354045" w:rsidRPr="004C7EA6">
        <w:rPr>
          <w:iCs/>
        </w:rPr>
        <w:t xml:space="preserve">a décidé la CMR-23, le numéro </w:t>
      </w:r>
      <w:r w:rsidR="00354045" w:rsidRPr="004C7EA6">
        <w:rPr>
          <w:b/>
          <w:iCs/>
        </w:rPr>
        <w:t>21.5B</w:t>
      </w:r>
      <w:r w:rsidR="00354045" w:rsidRPr="004C7EA6">
        <w:rPr>
          <w:iCs/>
        </w:rPr>
        <w:t xml:space="preserve"> s</w:t>
      </w:r>
      <w:r w:rsidR="004C7EA6" w:rsidRPr="004C7EA6">
        <w:rPr>
          <w:iCs/>
        </w:rPr>
        <w:t>'</w:t>
      </w:r>
      <w:r w:rsidR="00354045" w:rsidRPr="004C7EA6">
        <w:rPr>
          <w:iCs/>
        </w:rPr>
        <w:t>applique aux systèmes des services fixe et mobile qui utilisent une antenne composée d</w:t>
      </w:r>
      <w:r w:rsidR="004C7EA6" w:rsidRPr="004C7EA6">
        <w:rPr>
          <w:iCs/>
        </w:rPr>
        <w:t>'</w:t>
      </w:r>
      <w:r w:rsidR="00354045" w:rsidRPr="004C7EA6">
        <w:rPr>
          <w:iCs/>
        </w:rPr>
        <w:t>un réseau d</w:t>
      </w:r>
      <w:r w:rsidR="004C7EA6" w:rsidRPr="004C7EA6">
        <w:rPr>
          <w:iCs/>
        </w:rPr>
        <w:t>'</w:t>
      </w:r>
      <w:r w:rsidR="00354045" w:rsidRPr="004C7EA6">
        <w:rPr>
          <w:iCs/>
        </w:rPr>
        <w:t>éléments actifs dans la bande de fréquences 24,45-29,5 GHz,</w:t>
      </w:r>
    </w:p>
    <w:p w14:paraId="560D3FE4" w14:textId="77777777" w:rsidR="008D2842" w:rsidRPr="004C7EA6" w:rsidRDefault="008D2842" w:rsidP="00D516F4">
      <w:pPr>
        <w:pStyle w:val="Call"/>
      </w:pPr>
      <w:r w:rsidRPr="004C7EA6">
        <w:lastRenderedPageBreak/>
        <w:t>invite les administrations</w:t>
      </w:r>
    </w:p>
    <w:p w14:paraId="36007342" w14:textId="1DF1C061" w:rsidR="008D2842" w:rsidRPr="004C7EA6" w:rsidRDefault="008D2842" w:rsidP="00D516F4">
      <w:r w:rsidRPr="004C7EA6">
        <w:t xml:space="preserve">à participer activement </w:t>
      </w:r>
      <w:r w:rsidR="00354045" w:rsidRPr="004C7EA6">
        <w:t>à ces</w:t>
      </w:r>
      <w:r w:rsidRPr="004C7EA6">
        <w:t xml:space="preserve"> études </w:t>
      </w:r>
      <w:r w:rsidR="00354045" w:rsidRPr="004C7EA6">
        <w:t>de l</w:t>
      </w:r>
      <w:r w:rsidR="004C7EA6" w:rsidRPr="004C7EA6">
        <w:t>'</w:t>
      </w:r>
      <w:r w:rsidR="00354045" w:rsidRPr="004C7EA6">
        <w:t xml:space="preserve">UIT-R </w:t>
      </w:r>
      <w:r w:rsidRPr="004C7EA6">
        <w:t xml:space="preserve">et à fournir les caractéristiques techniques et opérationnelles des systèmes concernés, en soumettant des contributions </w:t>
      </w:r>
      <w:r w:rsidR="00B11CA9" w:rsidRPr="004C7EA6">
        <w:t>à</w:t>
      </w:r>
      <w:r w:rsidR="003B0814" w:rsidRPr="004C7EA6">
        <w:t xml:space="preserve"> l</w:t>
      </w:r>
      <w:r w:rsidR="004C7EA6" w:rsidRPr="004C7EA6">
        <w:t>'</w:t>
      </w:r>
      <w:r w:rsidR="003B0814" w:rsidRPr="004C7EA6">
        <w:t>UIT-R</w:t>
      </w:r>
      <w:r w:rsidRPr="004C7EA6">
        <w:t>,</w:t>
      </w:r>
    </w:p>
    <w:p w14:paraId="0142E555" w14:textId="69795A40" w:rsidR="00354045" w:rsidRPr="004C7EA6" w:rsidRDefault="00354045" w:rsidP="00D516F4">
      <w:pPr>
        <w:pStyle w:val="Call"/>
      </w:pPr>
      <w:r w:rsidRPr="004C7EA6">
        <w:t>décide d</w:t>
      </w:r>
      <w:r w:rsidR="004C7EA6" w:rsidRPr="004C7EA6">
        <w:t>'</w:t>
      </w:r>
      <w:r w:rsidRPr="004C7EA6">
        <w:t>inviter l</w:t>
      </w:r>
      <w:r w:rsidR="004C7EA6" w:rsidRPr="004C7EA6">
        <w:t>'</w:t>
      </w:r>
      <w:r w:rsidRPr="004C7EA6">
        <w:t>UIT-R à mener</w:t>
      </w:r>
      <w:r w:rsidR="00B11CA9" w:rsidRPr="004C7EA6">
        <w:t>,</w:t>
      </w:r>
      <w:r w:rsidRPr="004C7EA6">
        <w:t xml:space="preserve"> et à achever à temps pour la CMR-27</w:t>
      </w:r>
    </w:p>
    <w:p w14:paraId="7E64A15A" w14:textId="4DC6688B" w:rsidR="00354045" w:rsidRPr="004C7EA6" w:rsidRDefault="00354045" w:rsidP="00D516F4">
      <w:pPr>
        <w:keepNext/>
      </w:pPr>
      <w:r w:rsidRPr="004C7EA6">
        <w:t>les études techniques, opérationnelles et réglementaires appropriées</w:t>
      </w:r>
      <w:r w:rsidR="00B11CA9" w:rsidRPr="004C7EA6">
        <w:t>,</w:t>
      </w:r>
      <w:r w:rsidRPr="004C7EA6">
        <w:t xml:space="preserve"> </w:t>
      </w:r>
      <w:r w:rsidR="009053E0" w:rsidRPr="004C7EA6">
        <w:t>afin de</w:t>
      </w:r>
      <w:r w:rsidRPr="004C7EA6">
        <w:t xml:space="preserve"> protéger efficacement les récepteurs des stations spatiales contre les brouillages cumulatifs causés par les stations des services fixe et mobile, y compris celles qui utilisent une antenne </w:t>
      </w:r>
      <w:r w:rsidR="009053E0" w:rsidRPr="004C7EA6">
        <w:rPr>
          <w:iCs/>
        </w:rPr>
        <w:t xml:space="preserve">composée </w:t>
      </w:r>
      <w:r w:rsidRPr="004C7EA6">
        <w:t>d</w:t>
      </w:r>
      <w:r w:rsidR="004C7EA6" w:rsidRPr="004C7EA6">
        <w:t>'</w:t>
      </w:r>
      <w:r w:rsidRPr="004C7EA6">
        <w:t>un réseau d</w:t>
      </w:r>
      <w:r w:rsidR="004C7EA6" w:rsidRPr="004C7EA6">
        <w:t>'</w:t>
      </w:r>
      <w:r w:rsidRPr="004C7EA6">
        <w:t>éléments actifs, dans les bandes de fréquences suivantes</w:t>
      </w:r>
      <w:r w:rsidRPr="004C7EA6">
        <w:rPr>
          <w:iCs/>
        </w:rPr>
        <w:t>:</w:t>
      </w:r>
    </w:p>
    <w:p w14:paraId="758EF1BB" w14:textId="3DF8EDAE" w:rsidR="00354045" w:rsidRPr="004C7EA6" w:rsidRDefault="00354045" w:rsidP="00D516F4">
      <w:pPr>
        <w:pStyle w:val="enumlev1"/>
        <w:rPr>
          <w:rFonts w:eastAsia="MS Mincho"/>
        </w:rPr>
      </w:pPr>
      <w:r w:rsidRPr="004C7EA6">
        <w:rPr>
          <w:rFonts w:eastAsia="MS Mincho"/>
        </w:rPr>
        <w:t>–</w:t>
      </w:r>
      <w:r w:rsidRPr="004C7EA6">
        <w:rPr>
          <w:rFonts w:eastAsia="MS Mincho"/>
        </w:rPr>
        <w:tab/>
      </w:r>
      <w:r w:rsidRPr="004C7EA6">
        <w:rPr>
          <w:lang w:eastAsia="zh-CN"/>
        </w:rPr>
        <w:t>40-40</w:t>
      </w:r>
      <w:r w:rsidR="009053E0" w:rsidRPr="004C7EA6">
        <w:rPr>
          <w:lang w:eastAsia="zh-CN"/>
        </w:rPr>
        <w:t>,</w:t>
      </w:r>
      <w:r w:rsidRPr="004C7EA6">
        <w:rPr>
          <w:lang w:eastAsia="zh-CN"/>
        </w:rPr>
        <w:t>5 GHz, 42</w:t>
      </w:r>
      <w:r w:rsidR="009053E0" w:rsidRPr="004C7EA6">
        <w:rPr>
          <w:lang w:eastAsia="zh-CN"/>
        </w:rPr>
        <w:t>,</w:t>
      </w:r>
      <w:r w:rsidRPr="004C7EA6">
        <w:rPr>
          <w:lang w:eastAsia="zh-CN"/>
        </w:rPr>
        <w:t>5-43</w:t>
      </w:r>
      <w:r w:rsidR="009053E0" w:rsidRPr="004C7EA6">
        <w:rPr>
          <w:lang w:eastAsia="zh-CN"/>
        </w:rPr>
        <w:t>,</w:t>
      </w:r>
      <w:r w:rsidRPr="004C7EA6">
        <w:rPr>
          <w:lang w:eastAsia="zh-CN"/>
        </w:rPr>
        <w:t xml:space="preserve">5 GHz </w:t>
      </w:r>
      <w:r w:rsidR="009053E0" w:rsidRPr="004C7EA6">
        <w:rPr>
          <w:lang w:eastAsia="zh-CN"/>
        </w:rPr>
        <w:t>et</w:t>
      </w:r>
      <w:r w:rsidRPr="004C7EA6">
        <w:rPr>
          <w:lang w:eastAsia="zh-CN"/>
        </w:rPr>
        <w:t xml:space="preserve"> 43</w:t>
      </w:r>
      <w:r w:rsidR="009053E0" w:rsidRPr="004C7EA6">
        <w:rPr>
          <w:lang w:eastAsia="zh-CN"/>
        </w:rPr>
        <w:t>,</w:t>
      </w:r>
      <w:r w:rsidRPr="004C7EA6">
        <w:rPr>
          <w:lang w:eastAsia="zh-CN"/>
        </w:rPr>
        <w:t>5-47 GHz</w:t>
      </w:r>
      <w:r w:rsidRPr="004C7EA6">
        <w:rPr>
          <w:rFonts w:eastAsia="MS Mincho"/>
        </w:rPr>
        <w:t>;</w:t>
      </w:r>
    </w:p>
    <w:p w14:paraId="07DC77DE" w14:textId="0D8A1170" w:rsidR="00354045" w:rsidRPr="004C7EA6" w:rsidRDefault="00354045" w:rsidP="00D516F4">
      <w:pPr>
        <w:pStyle w:val="enumlev1"/>
        <w:rPr>
          <w:rFonts w:eastAsia="MS Mincho"/>
        </w:rPr>
      </w:pPr>
      <w:r w:rsidRPr="004C7EA6">
        <w:rPr>
          <w:rFonts w:eastAsia="MS Mincho"/>
        </w:rPr>
        <w:t>–</w:t>
      </w:r>
      <w:r w:rsidRPr="004C7EA6">
        <w:rPr>
          <w:rFonts w:eastAsia="MS Mincho"/>
        </w:rPr>
        <w:tab/>
      </w:r>
      <w:r w:rsidRPr="004C7EA6">
        <w:rPr>
          <w:lang w:eastAsia="zh-CN"/>
        </w:rPr>
        <w:t>47</w:t>
      </w:r>
      <w:r w:rsidR="009053E0" w:rsidRPr="004C7EA6">
        <w:rPr>
          <w:lang w:eastAsia="zh-CN"/>
        </w:rPr>
        <w:t>,</w:t>
      </w:r>
      <w:r w:rsidRPr="004C7EA6">
        <w:rPr>
          <w:lang w:eastAsia="zh-CN"/>
        </w:rPr>
        <w:t>2-50</w:t>
      </w:r>
      <w:r w:rsidR="009053E0" w:rsidRPr="004C7EA6">
        <w:rPr>
          <w:lang w:eastAsia="zh-CN"/>
        </w:rPr>
        <w:t>,</w:t>
      </w:r>
      <w:r w:rsidRPr="004C7EA6">
        <w:rPr>
          <w:lang w:eastAsia="zh-CN"/>
        </w:rPr>
        <w:t>2 GHz</w:t>
      </w:r>
      <w:r w:rsidRPr="004C7EA6">
        <w:rPr>
          <w:rFonts w:eastAsia="MS Mincho"/>
        </w:rPr>
        <w:t>;</w:t>
      </w:r>
    </w:p>
    <w:p w14:paraId="2FEF268A" w14:textId="393CF99D" w:rsidR="00354045" w:rsidRPr="004C7EA6" w:rsidRDefault="00354045" w:rsidP="00D516F4">
      <w:pPr>
        <w:pStyle w:val="enumlev1"/>
        <w:rPr>
          <w:rFonts w:eastAsia="MS Mincho"/>
        </w:rPr>
      </w:pPr>
      <w:r w:rsidRPr="004C7EA6">
        <w:rPr>
          <w:rFonts w:eastAsia="MS Mincho"/>
        </w:rPr>
        <w:t>–</w:t>
      </w:r>
      <w:r w:rsidRPr="004C7EA6">
        <w:rPr>
          <w:rFonts w:eastAsia="MS Mincho"/>
        </w:rPr>
        <w:tab/>
      </w:r>
      <w:r w:rsidRPr="004C7EA6">
        <w:rPr>
          <w:lang w:eastAsia="zh-CN"/>
        </w:rPr>
        <w:t>50</w:t>
      </w:r>
      <w:r w:rsidR="009053E0" w:rsidRPr="004C7EA6">
        <w:rPr>
          <w:lang w:eastAsia="zh-CN"/>
        </w:rPr>
        <w:t>,</w:t>
      </w:r>
      <w:r w:rsidRPr="004C7EA6">
        <w:rPr>
          <w:lang w:eastAsia="zh-CN"/>
        </w:rPr>
        <w:t>4-52</w:t>
      </w:r>
      <w:r w:rsidR="009053E0" w:rsidRPr="004C7EA6">
        <w:rPr>
          <w:lang w:eastAsia="zh-CN"/>
        </w:rPr>
        <w:t>,</w:t>
      </w:r>
      <w:r w:rsidRPr="004C7EA6">
        <w:rPr>
          <w:lang w:eastAsia="zh-CN"/>
        </w:rPr>
        <w:t>4 GHz</w:t>
      </w:r>
      <w:r w:rsidRPr="004C7EA6">
        <w:rPr>
          <w:rFonts w:eastAsia="MS Mincho"/>
        </w:rPr>
        <w:t>,</w:t>
      </w:r>
    </w:p>
    <w:p w14:paraId="04A63A07" w14:textId="18CDDD85" w:rsidR="00354045" w:rsidRPr="004C7EA6" w:rsidRDefault="009053E0" w:rsidP="00D516F4">
      <w:pPr>
        <w:pStyle w:val="Call"/>
      </w:pPr>
      <w:r w:rsidRPr="004C7EA6">
        <w:t>décide d</w:t>
      </w:r>
      <w:r w:rsidR="004C7EA6" w:rsidRPr="004C7EA6">
        <w:t>'</w:t>
      </w:r>
      <w:r w:rsidRPr="004C7EA6">
        <w:t>inviter la Conférence mondiale des radiocommunications de 2027</w:t>
      </w:r>
    </w:p>
    <w:p w14:paraId="52DCA32C" w14:textId="30243C4C" w:rsidR="004719CE" w:rsidRPr="004C7EA6" w:rsidRDefault="009053E0" w:rsidP="00D516F4">
      <w:r w:rsidRPr="004C7EA6">
        <w:t xml:space="preserve">à examiner, compte tenu des résultats des études susmentionnées, les mesures réglementaires, en particulier la mise à jour du Tableau </w:t>
      </w:r>
      <w:r w:rsidRPr="004C7EA6">
        <w:rPr>
          <w:b/>
        </w:rPr>
        <w:t>21-2</w:t>
      </w:r>
      <w:r w:rsidRPr="004C7EA6">
        <w:t xml:space="preserve">, nécessaires pour garantir la protection des stations spatiales au-dessus de 30 GHz, à la suite des études figurant dans le </w:t>
      </w:r>
      <w:r w:rsidRPr="004C7EA6">
        <w:rPr>
          <w:i/>
        </w:rPr>
        <w:t>décide d</w:t>
      </w:r>
      <w:r w:rsidR="004C7EA6" w:rsidRPr="004C7EA6">
        <w:rPr>
          <w:i/>
        </w:rPr>
        <w:t>'</w:t>
      </w:r>
      <w:r w:rsidRPr="004C7EA6">
        <w:rPr>
          <w:i/>
        </w:rPr>
        <w:t>inviter l</w:t>
      </w:r>
      <w:r w:rsidR="004C7EA6" w:rsidRPr="004C7EA6">
        <w:rPr>
          <w:i/>
        </w:rPr>
        <w:t>'</w:t>
      </w:r>
      <w:r w:rsidRPr="004C7EA6">
        <w:rPr>
          <w:i/>
        </w:rPr>
        <w:t>UIT-R</w:t>
      </w:r>
      <w:r w:rsidR="00354045" w:rsidRPr="004C7EA6">
        <w:t>.</w:t>
      </w:r>
    </w:p>
    <w:p w14:paraId="4E14866A" w14:textId="28B18A5A" w:rsidR="004719CE" w:rsidRPr="004C7EA6" w:rsidRDefault="004719CE" w:rsidP="00D516F4">
      <w:pPr>
        <w:pStyle w:val="Reasons"/>
      </w:pPr>
    </w:p>
    <w:p w14:paraId="3E1554CB" w14:textId="26FED9B3" w:rsidR="004719CE" w:rsidRPr="004C7EA6" w:rsidRDefault="004719CE" w:rsidP="00D516F4">
      <w:pPr>
        <w:tabs>
          <w:tab w:val="clear" w:pos="1134"/>
          <w:tab w:val="clear" w:pos="1871"/>
          <w:tab w:val="clear" w:pos="2268"/>
        </w:tabs>
        <w:overflowPunct/>
        <w:autoSpaceDE/>
        <w:autoSpaceDN/>
        <w:adjustRightInd/>
        <w:spacing w:before="0"/>
        <w:textAlignment w:val="auto"/>
      </w:pPr>
      <w:r w:rsidRPr="004C7EA6">
        <w:br w:type="page"/>
      </w:r>
    </w:p>
    <w:p w14:paraId="19F2719C" w14:textId="580208C4" w:rsidR="004719CE" w:rsidRPr="004C7EA6" w:rsidRDefault="009053E0" w:rsidP="00D516F4">
      <w:pPr>
        <w:pStyle w:val="Annextitle"/>
      </w:pPr>
      <w:r w:rsidRPr="004C7EA6">
        <w:lastRenderedPageBreak/>
        <w:t>Proposition</w:t>
      </w:r>
      <w:r w:rsidR="00544D2C" w:rsidRPr="004C7EA6">
        <w:t xml:space="preserve"> </w:t>
      </w:r>
      <w:r w:rsidR="00B11CA9" w:rsidRPr="004C7EA6">
        <w:t xml:space="preserve">visant à inscrire </w:t>
      </w:r>
      <w:r w:rsidRPr="004C7EA6">
        <w:t xml:space="preserve">un point </w:t>
      </w:r>
      <w:r w:rsidR="00B11CA9" w:rsidRPr="004C7EA6">
        <w:t xml:space="preserve">à </w:t>
      </w:r>
      <w:r w:rsidRPr="004C7EA6">
        <w:t>l</w:t>
      </w:r>
      <w:r w:rsidR="004C7EA6" w:rsidRPr="004C7EA6">
        <w:t>'</w:t>
      </w:r>
      <w:r w:rsidRPr="004C7EA6">
        <w:t>ordre d</w:t>
      </w:r>
      <w:r w:rsidR="004848C2" w:rsidRPr="004C7EA6">
        <w:t xml:space="preserve">u jour </w:t>
      </w:r>
      <w:r w:rsidR="00DA1FC0" w:rsidRPr="004C7EA6">
        <w:br/>
      </w:r>
      <w:r w:rsidR="004848C2" w:rsidRPr="004C7EA6">
        <w:t>préliminaire de la CMR</w:t>
      </w:r>
      <w:r w:rsidR="00DA1FC0" w:rsidRPr="004C7EA6">
        <w:noBreakHyphen/>
      </w:r>
      <w:r w:rsidRPr="004C7EA6">
        <w:t>27</w:t>
      </w:r>
    </w:p>
    <w:tbl>
      <w:tblPr>
        <w:tblW w:w="9630" w:type="dxa"/>
        <w:tblInd w:w="135" w:type="dxa"/>
        <w:tblLayout w:type="fixed"/>
        <w:tblLook w:val="04A0" w:firstRow="1" w:lastRow="0" w:firstColumn="1" w:lastColumn="0" w:noHBand="0" w:noVBand="1"/>
      </w:tblPr>
      <w:tblGrid>
        <w:gridCol w:w="4845"/>
        <w:gridCol w:w="4785"/>
      </w:tblGrid>
      <w:tr w:rsidR="004719CE" w:rsidRPr="004C7EA6" w14:paraId="12F7FC99" w14:textId="77777777" w:rsidTr="00DC6815">
        <w:trPr>
          <w:trHeight w:val="300"/>
        </w:trPr>
        <w:tc>
          <w:tcPr>
            <w:tcW w:w="9630" w:type="dxa"/>
            <w:gridSpan w:val="2"/>
            <w:tcMar>
              <w:left w:w="108" w:type="dxa"/>
              <w:right w:w="108" w:type="dxa"/>
            </w:tcMar>
          </w:tcPr>
          <w:p w14:paraId="0DABCD84" w14:textId="141EB562" w:rsidR="004719CE" w:rsidRPr="004C7EA6" w:rsidRDefault="004719CE" w:rsidP="00DA1FC0">
            <w:pPr>
              <w:spacing w:after="40"/>
            </w:pPr>
            <w:r w:rsidRPr="004C7EA6">
              <w:rPr>
                <w:b/>
                <w:bCs/>
                <w:szCs w:val="24"/>
              </w:rPr>
              <w:t>Objet:</w:t>
            </w:r>
            <w:r w:rsidR="009053E0" w:rsidRPr="004C7EA6">
              <w:t xml:space="preserve"> </w:t>
            </w:r>
            <w:r w:rsidR="009053E0" w:rsidRPr="004C7EA6">
              <w:rPr>
                <w:bCs/>
                <w:szCs w:val="24"/>
              </w:rPr>
              <w:t>Protection de la réception par satellite contre les brouillages cumulatifs causés par les services fixe et mobile dans les bandes de fréquences supérieures à 30 GHz</w:t>
            </w:r>
            <w:r w:rsidR="00851F9C" w:rsidRPr="004C7EA6">
              <w:rPr>
                <w:bCs/>
                <w:szCs w:val="24"/>
              </w:rPr>
              <w:t>.</w:t>
            </w:r>
          </w:p>
        </w:tc>
      </w:tr>
      <w:tr w:rsidR="004719CE" w:rsidRPr="004C7EA6" w14:paraId="4205C353" w14:textId="77777777" w:rsidTr="00DC6815">
        <w:trPr>
          <w:trHeight w:val="300"/>
        </w:trPr>
        <w:tc>
          <w:tcPr>
            <w:tcW w:w="9630" w:type="dxa"/>
            <w:gridSpan w:val="2"/>
            <w:tcBorders>
              <w:left w:val="nil"/>
              <w:bottom w:val="single" w:sz="8" w:space="0" w:color="auto"/>
              <w:right w:val="nil"/>
            </w:tcBorders>
            <w:tcMar>
              <w:left w:w="108" w:type="dxa"/>
              <w:right w:w="108" w:type="dxa"/>
            </w:tcMar>
          </w:tcPr>
          <w:p w14:paraId="4EA24389" w14:textId="4FFC6D6D" w:rsidR="004719CE" w:rsidRPr="004C7EA6" w:rsidRDefault="004719CE" w:rsidP="00DA1FC0">
            <w:pPr>
              <w:spacing w:after="40"/>
            </w:pPr>
            <w:r w:rsidRPr="004C7EA6">
              <w:rPr>
                <w:b/>
                <w:bCs/>
              </w:rPr>
              <w:t>Origine:</w:t>
            </w:r>
            <w:r w:rsidR="009053E0" w:rsidRPr="004C7EA6">
              <w:t xml:space="preserve"> </w:t>
            </w:r>
            <w:r w:rsidR="004848C2" w:rsidRPr="004C7EA6">
              <w:t>Allemagne (République fédérale d</w:t>
            </w:r>
            <w:r w:rsidR="004C7EA6" w:rsidRPr="004C7EA6">
              <w:t>'</w:t>
            </w:r>
            <w:r w:rsidR="004848C2" w:rsidRPr="004C7EA6">
              <w:t>), Autriche, Belgique, Croatie, Espagne, France, Hongrie, Italie, Luxembourg, Malte, Monténégro, Norvège, Pays-Bas, Pologne, Portugal, Roumanie, Suisse</w:t>
            </w:r>
          </w:p>
        </w:tc>
      </w:tr>
      <w:tr w:rsidR="004719CE" w:rsidRPr="004C7EA6" w14:paraId="4756D1B9" w14:textId="77777777" w:rsidTr="00DC6815">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543BC73" w14:textId="77777777" w:rsidR="00C4060F" w:rsidRPr="004C7EA6" w:rsidRDefault="004719CE" w:rsidP="00DA1FC0">
            <w:pPr>
              <w:spacing w:after="40"/>
            </w:pPr>
            <w:r w:rsidRPr="004C7EA6">
              <w:rPr>
                <w:b/>
                <w:bCs/>
                <w:i/>
                <w:iCs/>
              </w:rPr>
              <w:t>Proposition</w:t>
            </w:r>
            <w:r w:rsidRPr="004C7EA6">
              <w:rPr>
                <w:b/>
                <w:bCs/>
              </w:rPr>
              <w:t>:</w:t>
            </w:r>
            <w:r w:rsidR="004848C2" w:rsidRPr="004C7EA6">
              <w:t xml:space="preserve"> </w:t>
            </w:r>
          </w:p>
          <w:p w14:paraId="722317D9" w14:textId="52E242F3" w:rsidR="004719CE" w:rsidRPr="004C7EA6" w:rsidRDefault="00C4060F" w:rsidP="00DA1FC0">
            <w:pPr>
              <w:spacing w:after="40"/>
            </w:pPr>
            <w:r w:rsidRPr="004C7EA6">
              <w:t>E</w:t>
            </w:r>
            <w:r w:rsidR="004848C2" w:rsidRPr="004C7EA6">
              <w:rPr>
                <w:iCs/>
              </w:rPr>
              <w:t xml:space="preserve">xaminer les dispositions appropriées </w:t>
            </w:r>
            <w:r w:rsidR="00B11CA9" w:rsidRPr="004C7EA6">
              <w:rPr>
                <w:iCs/>
              </w:rPr>
              <w:t>permettant de</w:t>
            </w:r>
            <w:r w:rsidR="004848C2" w:rsidRPr="004C7EA6">
              <w:rPr>
                <w:iCs/>
              </w:rPr>
              <w:t xml:space="preserve"> protéger la réception par satellite contre les brouillages cumulatifs causés par les services fixe et mobile, y compris les systèmes utilisant une antenne composée d</w:t>
            </w:r>
            <w:r w:rsidR="004C7EA6" w:rsidRPr="004C7EA6">
              <w:rPr>
                <w:iCs/>
              </w:rPr>
              <w:t>'</w:t>
            </w:r>
            <w:r w:rsidR="004848C2" w:rsidRPr="004C7EA6">
              <w:rPr>
                <w:iCs/>
              </w:rPr>
              <w:t>un réseau d</w:t>
            </w:r>
            <w:r w:rsidR="004C7EA6" w:rsidRPr="004C7EA6">
              <w:rPr>
                <w:iCs/>
              </w:rPr>
              <w:t>'</w:t>
            </w:r>
            <w:r w:rsidR="004848C2" w:rsidRPr="004C7EA6">
              <w:rPr>
                <w:iCs/>
              </w:rPr>
              <w:t xml:space="preserve">éléments actifs, dans certaines bandes de fréquences au-dessus de 30 GHz, conformément à la Résolution </w:t>
            </w:r>
            <w:r w:rsidR="004848C2" w:rsidRPr="004C7EA6">
              <w:rPr>
                <w:b/>
                <w:iCs/>
              </w:rPr>
              <w:t>[MCP-A10-Table 21-2] (CMR</w:t>
            </w:r>
            <w:r w:rsidR="00DA1FC0" w:rsidRPr="004C7EA6">
              <w:rPr>
                <w:b/>
                <w:iCs/>
              </w:rPr>
              <w:noBreakHyphen/>
            </w:r>
            <w:r w:rsidR="004848C2" w:rsidRPr="004C7EA6">
              <w:rPr>
                <w:b/>
                <w:iCs/>
              </w:rPr>
              <w:t>23)</w:t>
            </w:r>
            <w:r w:rsidR="004848C2" w:rsidRPr="004C7EA6">
              <w:rPr>
                <w:iCs/>
              </w:rPr>
              <w:t>.</w:t>
            </w:r>
          </w:p>
        </w:tc>
      </w:tr>
      <w:tr w:rsidR="004719CE" w:rsidRPr="004C7EA6" w14:paraId="099F17D4" w14:textId="77777777" w:rsidTr="00DC6815">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3EB66CC" w14:textId="77777777" w:rsidR="004719CE" w:rsidRPr="004C7EA6" w:rsidRDefault="004719CE" w:rsidP="00D516F4">
            <w:pPr>
              <w:rPr>
                <w:b/>
                <w:color w:val="000000" w:themeColor="text1"/>
                <w:szCs w:val="24"/>
              </w:rPr>
            </w:pPr>
            <w:r w:rsidRPr="004C7EA6">
              <w:rPr>
                <w:b/>
                <w:i/>
                <w:iCs/>
                <w:color w:val="000000" w:themeColor="text1"/>
                <w:szCs w:val="24"/>
              </w:rPr>
              <w:t>Contexte/motif</w:t>
            </w:r>
            <w:r w:rsidRPr="004C7EA6">
              <w:rPr>
                <w:b/>
                <w:color w:val="000000" w:themeColor="text1"/>
                <w:szCs w:val="24"/>
              </w:rPr>
              <w:t>:</w:t>
            </w:r>
          </w:p>
          <w:p w14:paraId="2DFEDA12" w14:textId="6712573F" w:rsidR="004848C2" w:rsidRPr="004C7EA6" w:rsidRDefault="001F237C" w:rsidP="00D516F4">
            <w:r w:rsidRPr="004C7EA6">
              <w:t>C</w:t>
            </w:r>
            <w:r w:rsidR="004848C2" w:rsidRPr="004C7EA6">
              <w:t>onformément au Document 550 (CMR-19), l</w:t>
            </w:r>
            <w:r w:rsidR="004C7EA6" w:rsidRPr="004C7EA6">
              <w:t>'</w:t>
            </w:r>
            <w:r w:rsidR="004848C2" w:rsidRPr="004C7EA6">
              <w:t>UIT-R est invité «</w:t>
            </w:r>
            <w:r w:rsidR="004848C2" w:rsidRPr="004C7EA6">
              <w:rPr>
                <w:iCs/>
              </w:rPr>
              <w:t>à étudier d</w:t>
            </w:r>
            <w:r w:rsidR="004C7EA6" w:rsidRPr="004C7EA6">
              <w:rPr>
                <w:iCs/>
              </w:rPr>
              <w:t>'</w:t>
            </w:r>
            <w:r w:rsidR="004848C2" w:rsidRPr="004C7EA6">
              <w:rPr>
                <w:iCs/>
              </w:rPr>
              <w:t>urgence la possibilité d</w:t>
            </w:r>
            <w:r w:rsidR="004C7EA6" w:rsidRPr="004C7EA6">
              <w:rPr>
                <w:iCs/>
              </w:rPr>
              <w:t>'</w:t>
            </w:r>
            <w:r w:rsidR="004848C2" w:rsidRPr="004C7EA6">
              <w:rPr>
                <w:iCs/>
              </w:rPr>
              <w:t xml:space="preserve">appliquer la limite indiquée au numéro </w:t>
            </w:r>
            <w:r w:rsidR="004848C2" w:rsidRPr="004C7EA6">
              <w:rPr>
                <w:b/>
                <w:iCs/>
              </w:rPr>
              <w:t xml:space="preserve">21.5 </w:t>
            </w:r>
            <w:r w:rsidR="004848C2" w:rsidRPr="004C7EA6">
              <w:rPr>
                <w:iCs/>
              </w:rPr>
              <w:t>du Règlement des radiocommunications aux stations IMT qui utilisent une antenne composée d</w:t>
            </w:r>
            <w:r w:rsidR="004C7EA6" w:rsidRPr="004C7EA6">
              <w:rPr>
                <w:iCs/>
              </w:rPr>
              <w:t>'</w:t>
            </w:r>
            <w:r w:rsidR="004848C2" w:rsidRPr="004C7EA6">
              <w:rPr>
                <w:iCs/>
              </w:rPr>
              <w:t>un réseau d</w:t>
            </w:r>
            <w:r w:rsidR="004C7EA6" w:rsidRPr="004C7EA6">
              <w:rPr>
                <w:iCs/>
              </w:rPr>
              <w:t>'</w:t>
            </w:r>
            <w:r w:rsidR="004848C2" w:rsidRPr="004C7EA6">
              <w:rPr>
                <w:iCs/>
              </w:rPr>
              <w:t xml:space="preserve">éléments actifs, en vue de recommander des solutions pour remplacer ou réviser éventuellement cette limite pour lesdites stations, ainsi que les éventuelles mises à jour nécessaires du Tableau </w:t>
            </w:r>
            <w:r w:rsidR="004848C2" w:rsidRPr="004C7EA6">
              <w:rPr>
                <w:b/>
                <w:iCs/>
              </w:rPr>
              <w:t>21-2</w:t>
            </w:r>
            <w:r w:rsidR="004848C2" w:rsidRPr="004C7EA6">
              <w:rPr>
                <w:iCs/>
              </w:rPr>
              <w:t xml:space="preserve"> concernant les services de Terre et les services spatiaux utilisant en partage des bandes de fréquences»</w:t>
            </w:r>
            <w:r w:rsidR="00C4060F" w:rsidRPr="004C7EA6">
              <w:rPr>
                <w:iCs/>
              </w:rPr>
              <w:t>.</w:t>
            </w:r>
          </w:p>
          <w:p w14:paraId="10F07692" w14:textId="226241CD" w:rsidR="004848C2" w:rsidRPr="004C7EA6" w:rsidRDefault="00B11CA9" w:rsidP="00D516F4">
            <w:pPr>
              <w:rPr>
                <w:b/>
                <w:color w:val="000000" w:themeColor="text1"/>
                <w:szCs w:val="24"/>
              </w:rPr>
            </w:pPr>
            <w:r w:rsidRPr="004C7EA6">
              <w:rPr>
                <w:color w:val="000000" w:themeColor="text1"/>
                <w:szCs w:val="24"/>
              </w:rPr>
              <w:t>Suite</w:t>
            </w:r>
            <w:r w:rsidR="00C82D2C" w:rsidRPr="004C7EA6">
              <w:rPr>
                <w:color w:val="000000" w:themeColor="text1"/>
                <w:szCs w:val="24"/>
              </w:rPr>
              <w:t xml:space="preserve"> à ce document, la CEPT a proposé que la CMR-23 insère une nouvelle disposition</w:t>
            </w:r>
            <w:r w:rsidR="002018BD" w:rsidRPr="004C7EA6">
              <w:rPr>
                <w:color w:val="000000" w:themeColor="text1"/>
                <w:szCs w:val="24"/>
              </w:rPr>
              <w:t>, à savoir le</w:t>
            </w:r>
            <w:r w:rsidR="00C82D2C" w:rsidRPr="004C7EA6">
              <w:rPr>
                <w:color w:val="000000" w:themeColor="text1"/>
                <w:szCs w:val="24"/>
              </w:rPr>
              <w:t xml:space="preserve"> numéro </w:t>
            </w:r>
            <w:r w:rsidR="00C82D2C" w:rsidRPr="004C7EA6">
              <w:rPr>
                <w:b/>
                <w:color w:val="000000" w:themeColor="text1"/>
                <w:szCs w:val="24"/>
              </w:rPr>
              <w:t>21.5B</w:t>
            </w:r>
            <w:r w:rsidR="002018BD" w:rsidRPr="004C7EA6">
              <w:rPr>
                <w:bCs/>
                <w:color w:val="000000" w:themeColor="text1"/>
                <w:szCs w:val="24"/>
              </w:rPr>
              <w:t>,</w:t>
            </w:r>
            <w:r w:rsidR="00C82D2C" w:rsidRPr="004C7EA6">
              <w:rPr>
                <w:color w:val="000000" w:themeColor="text1"/>
                <w:szCs w:val="24"/>
              </w:rPr>
              <w:t xml:space="preserve"> afin d</w:t>
            </w:r>
            <w:r w:rsidR="004C7EA6" w:rsidRPr="004C7EA6">
              <w:rPr>
                <w:color w:val="000000" w:themeColor="text1"/>
                <w:szCs w:val="24"/>
              </w:rPr>
              <w:t>'</w:t>
            </w:r>
            <w:r w:rsidR="00C82D2C" w:rsidRPr="004C7EA6">
              <w:rPr>
                <w:color w:val="000000" w:themeColor="text1"/>
                <w:szCs w:val="24"/>
              </w:rPr>
              <w:t>utiliser la TRP dans la bande de fréquences 24,45-29,5 GHz lors de l</w:t>
            </w:r>
            <w:r w:rsidR="004C7EA6" w:rsidRPr="004C7EA6">
              <w:rPr>
                <w:color w:val="000000" w:themeColor="text1"/>
                <w:szCs w:val="24"/>
              </w:rPr>
              <w:t>'</w:t>
            </w:r>
            <w:r w:rsidR="00C82D2C" w:rsidRPr="004C7EA6">
              <w:rPr>
                <w:color w:val="000000" w:themeColor="text1"/>
                <w:szCs w:val="24"/>
              </w:rPr>
              <w:t xml:space="preserve">application du numéro </w:t>
            </w:r>
            <w:r w:rsidR="00C82D2C" w:rsidRPr="004C7EA6">
              <w:rPr>
                <w:b/>
                <w:color w:val="000000" w:themeColor="text1"/>
                <w:szCs w:val="24"/>
              </w:rPr>
              <w:t>21.5</w:t>
            </w:r>
            <w:r w:rsidR="00C82D2C" w:rsidRPr="004C7EA6">
              <w:rPr>
                <w:color w:val="000000" w:themeColor="text1"/>
                <w:szCs w:val="24"/>
              </w:rPr>
              <w:t xml:space="preserve"> aux stations des services fixe et mobile utilisant </w:t>
            </w:r>
            <w:r w:rsidR="002018BD" w:rsidRPr="004C7EA6">
              <w:rPr>
                <w:color w:val="000000" w:themeColor="text1"/>
                <w:szCs w:val="24"/>
              </w:rPr>
              <w:t>un système AAS</w:t>
            </w:r>
            <w:r w:rsidR="00C82D2C" w:rsidRPr="004C7EA6">
              <w:rPr>
                <w:color w:val="000000" w:themeColor="text1"/>
                <w:szCs w:val="24"/>
              </w:rPr>
              <w:t xml:space="preserve"> et de modifier le Tableau </w:t>
            </w:r>
            <w:r w:rsidR="00C82D2C" w:rsidRPr="004C7EA6">
              <w:rPr>
                <w:b/>
                <w:color w:val="000000" w:themeColor="text1"/>
                <w:szCs w:val="24"/>
              </w:rPr>
              <w:t>21-2</w:t>
            </w:r>
            <w:r w:rsidR="00C82D2C" w:rsidRPr="004C7EA6">
              <w:rPr>
                <w:color w:val="000000" w:themeColor="text1"/>
                <w:szCs w:val="24"/>
              </w:rPr>
              <w:t xml:space="preserve"> en conséquence</w:t>
            </w:r>
            <w:r w:rsidR="00C82D2C" w:rsidRPr="004C7EA6">
              <w:rPr>
                <w:bCs/>
                <w:color w:val="000000" w:themeColor="text1"/>
                <w:szCs w:val="24"/>
              </w:rPr>
              <w:t>.</w:t>
            </w:r>
          </w:p>
          <w:p w14:paraId="68B883A4" w14:textId="4798DE16" w:rsidR="00C82D2C" w:rsidRPr="004C7EA6" w:rsidRDefault="002018BD" w:rsidP="00DA1FC0">
            <w:pPr>
              <w:spacing w:after="40"/>
              <w:rPr>
                <w:color w:val="000000" w:themeColor="text1"/>
                <w:szCs w:val="24"/>
              </w:rPr>
            </w:pPr>
            <w:r w:rsidRPr="004C7EA6">
              <w:rPr>
                <w:color w:val="000000" w:themeColor="text1"/>
                <w:szCs w:val="24"/>
              </w:rPr>
              <w:t xml:space="preserve">En raison des questions restées en suspens pendant </w:t>
            </w:r>
            <w:r w:rsidR="00F91B23" w:rsidRPr="004C7EA6">
              <w:rPr>
                <w:color w:val="000000" w:themeColor="text1"/>
                <w:szCs w:val="24"/>
              </w:rPr>
              <w:t>l</w:t>
            </w:r>
            <w:r w:rsidR="004C7EA6" w:rsidRPr="004C7EA6">
              <w:rPr>
                <w:color w:val="000000" w:themeColor="text1"/>
                <w:szCs w:val="24"/>
              </w:rPr>
              <w:t>'</w:t>
            </w:r>
            <w:r w:rsidR="00F91B23" w:rsidRPr="004C7EA6">
              <w:rPr>
                <w:color w:val="000000" w:themeColor="text1"/>
                <w:szCs w:val="24"/>
              </w:rPr>
              <w:t xml:space="preserve">actuel </w:t>
            </w:r>
            <w:r w:rsidRPr="004C7EA6">
              <w:rPr>
                <w:color w:val="000000" w:themeColor="text1"/>
                <w:szCs w:val="24"/>
              </w:rPr>
              <w:t>cycle d</w:t>
            </w:r>
            <w:r w:rsidR="004C7EA6" w:rsidRPr="004C7EA6">
              <w:rPr>
                <w:color w:val="000000" w:themeColor="text1"/>
                <w:szCs w:val="24"/>
              </w:rPr>
              <w:t>'</w:t>
            </w:r>
            <w:r w:rsidRPr="004C7EA6">
              <w:rPr>
                <w:color w:val="000000" w:themeColor="text1"/>
                <w:szCs w:val="24"/>
              </w:rPr>
              <w:t>études</w:t>
            </w:r>
            <w:r w:rsidR="00F91B23" w:rsidRPr="004C7EA6">
              <w:rPr>
                <w:color w:val="000000" w:themeColor="text1"/>
                <w:szCs w:val="24"/>
              </w:rPr>
              <w:t>,</w:t>
            </w:r>
            <w:r w:rsidRPr="004C7EA6">
              <w:rPr>
                <w:color w:val="000000" w:themeColor="text1"/>
                <w:szCs w:val="24"/>
              </w:rPr>
              <w:t xml:space="preserve"> </w:t>
            </w:r>
            <w:r w:rsidR="00DE08D3" w:rsidRPr="004C7EA6">
              <w:rPr>
                <w:color w:val="000000" w:themeColor="text1"/>
                <w:szCs w:val="24"/>
              </w:rPr>
              <w:t>s</w:t>
            </w:r>
            <w:r w:rsidR="004C7EA6" w:rsidRPr="004C7EA6">
              <w:rPr>
                <w:color w:val="000000" w:themeColor="text1"/>
                <w:szCs w:val="24"/>
              </w:rPr>
              <w:t>'</w:t>
            </w:r>
            <w:r w:rsidR="00DE08D3" w:rsidRPr="004C7EA6">
              <w:rPr>
                <w:color w:val="000000" w:themeColor="text1"/>
                <w:szCs w:val="24"/>
              </w:rPr>
              <w:t>agissant d</w:t>
            </w:r>
            <w:r w:rsidRPr="004C7EA6">
              <w:rPr>
                <w:color w:val="000000" w:themeColor="text1"/>
                <w:szCs w:val="24"/>
              </w:rPr>
              <w:t>es bandes de fréquences applicables et de l</w:t>
            </w:r>
            <w:r w:rsidR="004C7EA6" w:rsidRPr="004C7EA6">
              <w:rPr>
                <w:color w:val="000000" w:themeColor="text1"/>
                <w:szCs w:val="24"/>
              </w:rPr>
              <w:t>'</w:t>
            </w:r>
            <w:r w:rsidRPr="004C7EA6">
              <w:rPr>
                <w:color w:val="000000" w:themeColor="text1"/>
                <w:szCs w:val="24"/>
              </w:rPr>
              <w:t xml:space="preserve">incohérence relative au Tableau </w:t>
            </w:r>
            <w:r w:rsidRPr="004C7EA6">
              <w:rPr>
                <w:b/>
                <w:color w:val="000000" w:themeColor="text1"/>
                <w:szCs w:val="24"/>
              </w:rPr>
              <w:t>21-2</w:t>
            </w:r>
            <w:r w:rsidRPr="004C7EA6">
              <w:rPr>
                <w:color w:val="000000" w:themeColor="text1"/>
                <w:szCs w:val="24"/>
              </w:rPr>
              <w:t>, qui est limité aux bandes de fréquences au-dessous de 30 GHz (sauf la bande de fréquences 51,4-52,4 GHz, en raison de la nouvelle attribution décidée par la CMR-19), il est nécessaire d</w:t>
            </w:r>
            <w:r w:rsidR="004C7EA6" w:rsidRPr="004C7EA6">
              <w:rPr>
                <w:color w:val="000000" w:themeColor="text1"/>
                <w:szCs w:val="24"/>
              </w:rPr>
              <w:t>'</w:t>
            </w:r>
            <w:r w:rsidRPr="004C7EA6">
              <w:rPr>
                <w:color w:val="000000" w:themeColor="text1"/>
                <w:szCs w:val="24"/>
              </w:rPr>
              <w:t xml:space="preserve">envisager une mise à jour du Tableau </w:t>
            </w:r>
            <w:r w:rsidRPr="004C7EA6">
              <w:rPr>
                <w:b/>
                <w:color w:val="000000" w:themeColor="text1"/>
                <w:szCs w:val="24"/>
              </w:rPr>
              <w:t>21-2</w:t>
            </w:r>
            <w:r w:rsidRPr="004C7EA6">
              <w:rPr>
                <w:color w:val="000000" w:themeColor="text1"/>
                <w:szCs w:val="24"/>
              </w:rPr>
              <w:t>.</w:t>
            </w:r>
          </w:p>
        </w:tc>
      </w:tr>
      <w:tr w:rsidR="004719CE" w:rsidRPr="004C7EA6" w14:paraId="3E042591" w14:textId="77777777" w:rsidTr="00DC6815">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8C3F738" w14:textId="77777777" w:rsidR="004719CE" w:rsidRPr="004C7EA6" w:rsidRDefault="004719CE" w:rsidP="00D516F4">
            <w:pPr>
              <w:jc w:val="both"/>
              <w:rPr>
                <w:b/>
                <w:bCs/>
              </w:rPr>
            </w:pPr>
            <w:r w:rsidRPr="004C7EA6">
              <w:rPr>
                <w:b/>
                <w:bCs/>
                <w:i/>
                <w:iCs/>
              </w:rPr>
              <w:t>Services de radiocommunication concernés</w:t>
            </w:r>
            <w:r w:rsidRPr="004C7EA6">
              <w:rPr>
                <w:b/>
                <w:bCs/>
              </w:rPr>
              <w:t>:</w:t>
            </w:r>
          </w:p>
          <w:p w14:paraId="3761CD0C" w14:textId="33A13DB5" w:rsidR="004848C2" w:rsidRPr="004C7EA6" w:rsidRDefault="004848C2" w:rsidP="00DA1FC0">
            <w:pPr>
              <w:spacing w:after="40"/>
            </w:pPr>
            <w:r w:rsidRPr="004C7EA6">
              <w:t>Fixe par satellite, inter-satellites, mobile, mobile par satellite</w:t>
            </w:r>
          </w:p>
        </w:tc>
      </w:tr>
      <w:tr w:rsidR="004719CE" w:rsidRPr="004C7EA6" w14:paraId="7587DB9F" w14:textId="77777777" w:rsidTr="00DC6815">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924E125" w14:textId="77777777" w:rsidR="004719CE" w:rsidRPr="004C7EA6" w:rsidRDefault="004719CE" w:rsidP="00D516F4">
            <w:pPr>
              <w:jc w:val="both"/>
              <w:rPr>
                <w:b/>
                <w:bCs/>
              </w:rPr>
            </w:pPr>
            <w:r w:rsidRPr="004C7EA6">
              <w:rPr>
                <w:b/>
                <w:bCs/>
                <w:i/>
                <w:iCs/>
              </w:rPr>
              <w:t>Indication des difficultés éventuelles</w:t>
            </w:r>
            <w:r w:rsidRPr="004C7EA6">
              <w:rPr>
                <w:b/>
                <w:bCs/>
              </w:rPr>
              <w:t>:</w:t>
            </w:r>
          </w:p>
          <w:p w14:paraId="40220E35" w14:textId="0A8B7B05" w:rsidR="004848C2" w:rsidRPr="004C7EA6" w:rsidRDefault="004848C2" w:rsidP="00DA1FC0">
            <w:pPr>
              <w:spacing w:after="40"/>
            </w:pPr>
            <w:r w:rsidRPr="004C7EA6">
              <w:t>Aucune difficulté n</w:t>
            </w:r>
            <w:r w:rsidR="004C7EA6" w:rsidRPr="004C7EA6">
              <w:t>'</w:t>
            </w:r>
            <w:r w:rsidRPr="004C7EA6">
              <w:t>a été identifiée</w:t>
            </w:r>
          </w:p>
        </w:tc>
      </w:tr>
      <w:tr w:rsidR="004719CE" w:rsidRPr="004C7EA6" w14:paraId="6586CEC6" w14:textId="77777777" w:rsidTr="00DC6815">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23A08BD5" w14:textId="77777777" w:rsidR="004719CE" w:rsidRPr="004C7EA6" w:rsidRDefault="004719CE" w:rsidP="00D516F4">
            <w:pPr>
              <w:jc w:val="both"/>
              <w:rPr>
                <w:b/>
                <w:bCs/>
              </w:rPr>
            </w:pPr>
            <w:r w:rsidRPr="004C7EA6">
              <w:rPr>
                <w:b/>
                <w:bCs/>
                <w:i/>
                <w:iCs/>
              </w:rPr>
              <w:t>Études précédentes ou en cours sur la question</w:t>
            </w:r>
            <w:r w:rsidRPr="004C7EA6">
              <w:rPr>
                <w:b/>
                <w:bCs/>
              </w:rPr>
              <w:t>:</w:t>
            </w:r>
          </w:p>
          <w:p w14:paraId="780150D4" w14:textId="751D2061" w:rsidR="00C82D2C" w:rsidRPr="004C7EA6" w:rsidRDefault="00C82D2C" w:rsidP="00DA1FC0">
            <w:pPr>
              <w:spacing w:after="40"/>
              <w:rPr>
                <w:bCs/>
                <w:szCs w:val="24"/>
              </w:rPr>
            </w:pPr>
            <w:r w:rsidRPr="004C7EA6">
              <w:rPr>
                <w:bCs/>
                <w:szCs w:val="24"/>
              </w:rPr>
              <w:t>Études relatives au Document 550 (CMR-19) et études menées en vue de la CMR-19 (point 1.13 de l</w:t>
            </w:r>
            <w:r w:rsidR="004C7EA6" w:rsidRPr="004C7EA6">
              <w:rPr>
                <w:bCs/>
                <w:szCs w:val="24"/>
              </w:rPr>
              <w:t>'</w:t>
            </w:r>
            <w:r w:rsidRPr="004C7EA6">
              <w:rPr>
                <w:bCs/>
                <w:szCs w:val="24"/>
              </w:rPr>
              <w:t>ordre du jour)</w:t>
            </w:r>
          </w:p>
        </w:tc>
      </w:tr>
      <w:tr w:rsidR="004719CE" w:rsidRPr="004C7EA6" w14:paraId="582E9E25" w14:textId="77777777" w:rsidTr="00DC6815">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35940A40" w14:textId="77777777" w:rsidR="004719CE" w:rsidRPr="004C7EA6" w:rsidRDefault="004719CE" w:rsidP="00D516F4">
            <w:pPr>
              <w:rPr>
                <w:b/>
                <w:bCs/>
              </w:rPr>
            </w:pPr>
            <w:r w:rsidRPr="004C7EA6">
              <w:rPr>
                <w:b/>
                <w:bCs/>
                <w:i/>
                <w:iCs/>
              </w:rPr>
              <w:t>Études devant être réalisées par</w:t>
            </w:r>
            <w:r w:rsidRPr="004C7EA6">
              <w:rPr>
                <w:b/>
                <w:bCs/>
              </w:rPr>
              <w:t>:</w:t>
            </w:r>
          </w:p>
          <w:p w14:paraId="7FB76235" w14:textId="0CAA5207" w:rsidR="00C82D2C" w:rsidRPr="004C7EA6" w:rsidRDefault="00C82D2C" w:rsidP="00D516F4">
            <w:r w:rsidRPr="004C7EA6">
              <w:t>GT 4D de l</w:t>
            </w:r>
            <w:r w:rsidR="004C7EA6" w:rsidRPr="004C7EA6">
              <w:t>'</w:t>
            </w:r>
            <w:r w:rsidRPr="004C7EA6">
              <w:t>UIT-R</w:t>
            </w:r>
            <w:r w:rsidR="00F91B23" w:rsidRPr="004C7EA6">
              <w:t xml:space="preserve">, </w:t>
            </w:r>
            <w:r w:rsidRPr="004C7EA6">
              <w:t>avec l</w:t>
            </w:r>
            <w:r w:rsidR="004C7EA6" w:rsidRPr="004C7EA6">
              <w:t>'</w:t>
            </w:r>
            <w:r w:rsidRPr="004C7EA6">
              <w:t>appui du GT 5D</w:t>
            </w:r>
          </w:p>
        </w:tc>
        <w:tc>
          <w:tcPr>
            <w:tcW w:w="4785" w:type="dxa"/>
            <w:tcBorders>
              <w:top w:val="nil"/>
              <w:left w:val="single" w:sz="8" w:space="0" w:color="auto"/>
              <w:bottom w:val="single" w:sz="8" w:space="0" w:color="auto"/>
              <w:right w:val="nil"/>
            </w:tcBorders>
            <w:tcMar>
              <w:left w:w="108" w:type="dxa"/>
              <w:right w:w="108" w:type="dxa"/>
            </w:tcMar>
          </w:tcPr>
          <w:p w14:paraId="27786D52" w14:textId="77777777" w:rsidR="004719CE" w:rsidRPr="004C7EA6" w:rsidRDefault="004719CE" w:rsidP="00D516F4">
            <w:pPr>
              <w:jc w:val="both"/>
              <w:rPr>
                <w:b/>
                <w:bCs/>
              </w:rPr>
            </w:pPr>
            <w:r w:rsidRPr="004C7EA6">
              <w:rPr>
                <w:b/>
                <w:bCs/>
                <w:i/>
                <w:iCs/>
              </w:rPr>
              <w:t>avec la participation de</w:t>
            </w:r>
            <w:r w:rsidRPr="004C7EA6">
              <w:rPr>
                <w:b/>
                <w:bCs/>
              </w:rPr>
              <w:t>:</w:t>
            </w:r>
          </w:p>
          <w:p w14:paraId="393F9B1E" w14:textId="5996DF0E" w:rsidR="00C82D2C" w:rsidRPr="004C7EA6" w:rsidRDefault="00C82D2C" w:rsidP="00DA1FC0">
            <w:pPr>
              <w:spacing w:after="40"/>
              <w:rPr>
                <w:bCs/>
                <w:color w:val="000000" w:themeColor="text1"/>
                <w:szCs w:val="24"/>
              </w:rPr>
            </w:pPr>
            <w:r w:rsidRPr="004C7EA6">
              <w:rPr>
                <w:bCs/>
                <w:color w:val="000000" w:themeColor="text1"/>
                <w:szCs w:val="24"/>
              </w:rPr>
              <w:t>Administrations et Membres du Secteur de l</w:t>
            </w:r>
            <w:r w:rsidR="004C7EA6" w:rsidRPr="004C7EA6">
              <w:rPr>
                <w:bCs/>
                <w:color w:val="000000" w:themeColor="text1"/>
                <w:szCs w:val="24"/>
              </w:rPr>
              <w:t>'</w:t>
            </w:r>
            <w:r w:rsidRPr="004C7EA6">
              <w:rPr>
                <w:bCs/>
                <w:color w:val="000000" w:themeColor="text1"/>
                <w:szCs w:val="24"/>
              </w:rPr>
              <w:t>UIT-R</w:t>
            </w:r>
          </w:p>
        </w:tc>
      </w:tr>
      <w:tr w:rsidR="004719CE" w:rsidRPr="004C7EA6" w14:paraId="381AD744" w14:textId="77777777" w:rsidTr="00DC6815">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14D2B5F" w14:textId="32DFB2DA" w:rsidR="004719CE" w:rsidRPr="004C7EA6" w:rsidRDefault="004719CE" w:rsidP="00C4060F">
            <w:pPr>
              <w:keepNext/>
              <w:keepLines/>
              <w:rPr>
                <w:b/>
                <w:bCs/>
              </w:rPr>
            </w:pPr>
            <w:r w:rsidRPr="004C7EA6">
              <w:rPr>
                <w:b/>
                <w:bCs/>
                <w:i/>
                <w:iCs/>
              </w:rPr>
              <w:lastRenderedPageBreak/>
              <w:t>Commissions d</w:t>
            </w:r>
            <w:r w:rsidR="004C7EA6" w:rsidRPr="004C7EA6">
              <w:rPr>
                <w:b/>
                <w:bCs/>
                <w:i/>
                <w:iCs/>
              </w:rPr>
              <w:t>'</w:t>
            </w:r>
            <w:r w:rsidRPr="004C7EA6">
              <w:rPr>
                <w:b/>
                <w:bCs/>
                <w:i/>
                <w:iCs/>
              </w:rPr>
              <w:t>études de l</w:t>
            </w:r>
            <w:r w:rsidR="004C7EA6" w:rsidRPr="004C7EA6">
              <w:rPr>
                <w:b/>
                <w:bCs/>
                <w:i/>
                <w:iCs/>
              </w:rPr>
              <w:t>'</w:t>
            </w:r>
            <w:r w:rsidRPr="004C7EA6">
              <w:rPr>
                <w:b/>
                <w:bCs/>
                <w:i/>
                <w:iCs/>
              </w:rPr>
              <w:t>UIT-R concernées</w:t>
            </w:r>
            <w:r w:rsidRPr="004C7EA6">
              <w:rPr>
                <w:b/>
                <w:bCs/>
              </w:rPr>
              <w:t>:</w:t>
            </w:r>
          </w:p>
          <w:p w14:paraId="0F75DFE4" w14:textId="28E705D2" w:rsidR="00C82D2C" w:rsidRPr="004C7EA6" w:rsidRDefault="00C82D2C" w:rsidP="00C4060F">
            <w:pPr>
              <w:keepNext/>
              <w:keepLines/>
              <w:spacing w:after="40"/>
            </w:pPr>
            <w:r w:rsidRPr="004C7EA6">
              <w:t>CE 4, CE 5</w:t>
            </w:r>
          </w:p>
        </w:tc>
      </w:tr>
      <w:tr w:rsidR="004719CE" w:rsidRPr="004C7EA6" w14:paraId="219C9BC5" w14:textId="77777777" w:rsidTr="00DC6815">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ABE4F96" w14:textId="21CCC4AB" w:rsidR="004719CE" w:rsidRPr="004C7EA6" w:rsidRDefault="004719CE" w:rsidP="00C4060F">
            <w:pPr>
              <w:rPr>
                <w:b/>
                <w:bCs/>
                <w:i/>
                <w:iCs/>
                <w:szCs w:val="24"/>
              </w:rPr>
            </w:pPr>
            <w:r w:rsidRPr="004C7EA6">
              <w:rPr>
                <w:b/>
                <w:bCs/>
                <w:i/>
                <w:iCs/>
                <w:szCs w:val="24"/>
              </w:rPr>
              <w:t>Répercussions au niveau des ressources de l</w:t>
            </w:r>
            <w:r w:rsidR="004C7EA6" w:rsidRPr="004C7EA6">
              <w:rPr>
                <w:b/>
                <w:bCs/>
                <w:i/>
                <w:iCs/>
                <w:szCs w:val="24"/>
              </w:rPr>
              <w:t>'</w:t>
            </w:r>
            <w:r w:rsidRPr="004C7EA6">
              <w:rPr>
                <w:b/>
                <w:bCs/>
                <w:i/>
                <w:iCs/>
                <w:szCs w:val="24"/>
              </w:rPr>
              <w:t>UIT, y compris incidences financières (voir le numéro 126 de la Convention)</w:t>
            </w:r>
            <w:r w:rsidRPr="004C7EA6">
              <w:rPr>
                <w:b/>
                <w:bCs/>
                <w:szCs w:val="24"/>
              </w:rPr>
              <w:t>:</w:t>
            </w:r>
          </w:p>
          <w:p w14:paraId="78C11056" w14:textId="75E9B024" w:rsidR="00C82D2C" w:rsidRPr="004C7EA6" w:rsidRDefault="00C82D2C" w:rsidP="00DA1FC0">
            <w:pPr>
              <w:spacing w:after="40"/>
            </w:pPr>
            <w:r w:rsidRPr="004C7EA6">
              <w:t>Ce projet de point de l</w:t>
            </w:r>
            <w:r w:rsidR="004C7EA6" w:rsidRPr="004C7EA6">
              <w:t>'</w:t>
            </w:r>
            <w:r w:rsidRPr="004C7EA6">
              <w:t>ordre du jour sera traité dans le cadre des procédures normales et du budget prévu de l</w:t>
            </w:r>
            <w:r w:rsidR="004C7EA6" w:rsidRPr="004C7EA6">
              <w:t>'</w:t>
            </w:r>
            <w:r w:rsidRPr="004C7EA6">
              <w:t>UIT-R. Aucun surcoût n</w:t>
            </w:r>
            <w:r w:rsidR="004C7EA6" w:rsidRPr="004C7EA6">
              <w:t>'</w:t>
            </w:r>
            <w:r w:rsidRPr="004C7EA6">
              <w:t>est prévu.</w:t>
            </w:r>
          </w:p>
        </w:tc>
      </w:tr>
      <w:tr w:rsidR="004719CE" w:rsidRPr="004C7EA6" w14:paraId="4978245E" w14:textId="77777777" w:rsidTr="00DC6815">
        <w:trPr>
          <w:trHeight w:val="300"/>
        </w:trPr>
        <w:tc>
          <w:tcPr>
            <w:tcW w:w="4845" w:type="dxa"/>
            <w:tcBorders>
              <w:top w:val="single" w:sz="8" w:space="0" w:color="auto"/>
              <w:left w:val="nil"/>
              <w:bottom w:val="single" w:sz="8" w:space="0" w:color="auto"/>
              <w:right w:val="nil"/>
            </w:tcBorders>
            <w:tcMar>
              <w:left w:w="108" w:type="dxa"/>
              <w:right w:w="108" w:type="dxa"/>
            </w:tcMar>
          </w:tcPr>
          <w:p w14:paraId="10109708" w14:textId="13B0A099" w:rsidR="00C82D2C" w:rsidRPr="004C7EA6" w:rsidRDefault="004719CE" w:rsidP="00D516F4">
            <w:r w:rsidRPr="004C7EA6">
              <w:rPr>
                <w:b/>
                <w:bCs/>
                <w:i/>
                <w:iCs/>
              </w:rPr>
              <w:t>Proposition régionale commune</w:t>
            </w:r>
            <w:r w:rsidRPr="004C7EA6">
              <w:rPr>
                <w:b/>
                <w:bCs/>
              </w:rPr>
              <w:t>:</w:t>
            </w:r>
            <w:r w:rsidR="00FB285F" w:rsidRPr="004C7EA6">
              <w:t xml:space="preserve"> </w:t>
            </w:r>
            <w:r w:rsidR="00FB285F" w:rsidRPr="004C7EA6">
              <w:rPr>
                <w:bCs/>
                <w:iCs/>
              </w:rPr>
              <w:t>Non</w:t>
            </w:r>
          </w:p>
        </w:tc>
        <w:tc>
          <w:tcPr>
            <w:tcW w:w="4785" w:type="dxa"/>
            <w:tcBorders>
              <w:top w:val="nil"/>
              <w:left w:val="nil"/>
              <w:bottom w:val="single" w:sz="8" w:space="0" w:color="auto"/>
              <w:right w:val="nil"/>
            </w:tcBorders>
            <w:tcMar>
              <w:left w:w="108" w:type="dxa"/>
              <w:right w:w="108" w:type="dxa"/>
            </w:tcMar>
          </w:tcPr>
          <w:p w14:paraId="677EC5CD" w14:textId="5E382333" w:rsidR="004719CE" w:rsidRPr="004C7EA6" w:rsidRDefault="004719CE" w:rsidP="00D516F4">
            <w:r w:rsidRPr="004C7EA6">
              <w:rPr>
                <w:b/>
                <w:bCs/>
                <w:i/>
                <w:iCs/>
              </w:rPr>
              <w:t>Proposition soumise par plusieurs pays</w:t>
            </w:r>
            <w:r w:rsidRPr="004C7EA6">
              <w:rPr>
                <w:b/>
                <w:bCs/>
              </w:rPr>
              <w:t>:</w:t>
            </w:r>
            <w:r w:rsidR="00C82D2C" w:rsidRPr="004C7EA6">
              <w:t xml:space="preserve"> </w:t>
            </w:r>
            <w:r w:rsidR="00C82D2C" w:rsidRPr="004C7EA6">
              <w:rPr>
                <w:bCs/>
              </w:rPr>
              <w:t>Oui</w:t>
            </w:r>
          </w:p>
          <w:p w14:paraId="057736A6" w14:textId="19BECA22" w:rsidR="004719CE" w:rsidRPr="004C7EA6" w:rsidRDefault="004719CE" w:rsidP="00DA1FC0">
            <w:pPr>
              <w:spacing w:after="40"/>
              <w:jc w:val="both"/>
            </w:pPr>
            <w:r w:rsidRPr="004C7EA6">
              <w:rPr>
                <w:b/>
                <w:bCs/>
                <w:i/>
                <w:iCs/>
              </w:rPr>
              <w:t>Nombre de pays</w:t>
            </w:r>
            <w:r w:rsidRPr="004C7EA6">
              <w:rPr>
                <w:b/>
                <w:bCs/>
              </w:rPr>
              <w:t>:</w:t>
            </w:r>
            <w:r w:rsidR="00C82D2C" w:rsidRPr="004C7EA6">
              <w:t xml:space="preserve"> </w:t>
            </w:r>
            <w:r w:rsidR="00C82D2C" w:rsidRPr="004C7EA6">
              <w:rPr>
                <w:bCs/>
              </w:rPr>
              <w:t>17</w:t>
            </w:r>
          </w:p>
        </w:tc>
      </w:tr>
      <w:tr w:rsidR="004719CE" w:rsidRPr="004C7EA6" w14:paraId="32F0407A" w14:textId="77777777" w:rsidTr="00DC6815">
        <w:trPr>
          <w:trHeight w:val="300"/>
        </w:trPr>
        <w:tc>
          <w:tcPr>
            <w:tcW w:w="9630" w:type="dxa"/>
            <w:gridSpan w:val="2"/>
            <w:tcBorders>
              <w:top w:val="single" w:sz="8" w:space="0" w:color="auto"/>
              <w:left w:val="nil"/>
              <w:bottom w:val="nil"/>
              <w:right w:val="nil"/>
            </w:tcBorders>
            <w:tcMar>
              <w:left w:w="108" w:type="dxa"/>
              <w:right w:w="108" w:type="dxa"/>
            </w:tcMar>
          </w:tcPr>
          <w:p w14:paraId="21180E7B" w14:textId="0C0F4DD8" w:rsidR="00C4060F" w:rsidRPr="004C7EA6" w:rsidRDefault="004719CE" w:rsidP="00DA1FC0">
            <w:pPr>
              <w:spacing w:after="40"/>
              <w:rPr>
                <w:bCs/>
                <w:iCs/>
              </w:rPr>
            </w:pPr>
            <w:r w:rsidRPr="004C7EA6">
              <w:rPr>
                <w:b/>
                <w:bCs/>
                <w:i/>
                <w:iCs/>
              </w:rPr>
              <w:t>Observations</w:t>
            </w:r>
            <w:r w:rsidR="00C82D2C" w:rsidRPr="004C7EA6">
              <w:rPr>
                <w:b/>
                <w:bCs/>
              </w:rPr>
              <w:t>:</w:t>
            </w:r>
            <w:r w:rsidR="00C82D2C" w:rsidRPr="004C7EA6">
              <w:t xml:space="preserve"> </w:t>
            </w:r>
            <w:r w:rsidR="00C82D2C" w:rsidRPr="004C7EA6">
              <w:rPr>
                <w:bCs/>
                <w:iCs/>
              </w:rPr>
              <w:t>Aucune</w:t>
            </w:r>
          </w:p>
        </w:tc>
      </w:tr>
    </w:tbl>
    <w:p w14:paraId="24A022E9" w14:textId="67670047" w:rsidR="004719CE" w:rsidRPr="004C7EA6" w:rsidRDefault="004719CE" w:rsidP="00D516F4">
      <w:pPr>
        <w:jc w:val="center"/>
      </w:pPr>
      <w:r w:rsidRPr="004C7EA6">
        <w:t>______________</w:t>
      </w:r>
    </w:p>
    <w:sectPr w:rsidR="004719CE" w:rsidRPr="004C7EA6">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FB40" w14:textId="77777777" w:rsidR="00CB685A" w:rsidRDefault="00CB685A">
      <w:r>
        <w:separator/>
      </w:r>
    </w:p>
  </w:endnote>
  <w:endnote w:type="continuationSeparator" w:id="0">
    <w:p w14:paraId="7F297C0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434" w14:textId="1712740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516F4">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2F1F" w14:textId="2E487E5A" w:rsidR="00936D25" w:rsidRPr="00DD601B" w:rsidRDefault="00DD601B" w:rsidP="00DD601B">
    <w:pPr>
      <w:pStyle w:val="Footer"/>
      <w:rPr>
        <w:lang w:val="en-US"/>
      </w:rPr>
    </w:pPr>
    <w:r>
      <w:fldChar w:fldCharType="begin"/>
    </w:r>
    <w:r>
      <w:rPr>
        <w:lang w:val="en-US"/>
      </w:rPr>
      <w:instrText xml:space="preserve"> FILENAME \p  \* MERGEFORMAT </w:instrText>
    </w:r>
    <w:r>
      <w:fldChar w:fldCharType="separate"/>
    </w:r>
    <w:r>
      <w:rPr>
        <w:lang w:val="en-US"/>
      </w:rPr>
      <w:t>P:\FRA\ITU-R\CONF-R\CMR23\100\166F.docx</w:t>
    </w:r>
    <w:r>
      <w:fldChar w:fldCharType="end"/>
    </w:r>
    <w:r w:rsidRPr="00D516F4">
      <w:rPr>
        <w:lang w:val="en-GB"/>
      </w:rPr>
      <w:t xml:space="preserve"> (530449)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4700" w14:textId="0595A2A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52EFD">
      <w:rPr>
        <w:lang w:val="en-US"/>
      </w:rPr>
      <w:t>P:\FRA\ITU-R\CONF-R\CMR23\100\166F.docx</w:t>
    </w:r>
    <w:r>
      <w:fldChar w:fldCharType="end"/>
    </w:r>
    <w:r w:rsidR="00BB22EC" w:rsidRPr="00D516F4">
      <w:rPr>
        <w:lang w:val="en-GB"/>
      </w:rPr>
      <w:t xml:space="preserve"> (530449)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1E6E" w14:textId="77777777" w:rsidR="00CB685A" w:rsidRDefault="00CB685A">
      <w:r>
        <w:rPr>
          <w:b/>
        </w:rPr>
        <w:t>_______________</w:t>
      </w:r>
    </w:p>
  </w:footnote>
  <w:footnote w:type="continuationSeparator" w:id="0">
    <w:p w14:paraId="7A103120"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9684" w14:textId="77777777" w:rsidR="00DD601B" w:rsidRDefault="00DD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E4C0" w14:textId="7DBBCDDA" w:rsidR="004F1F8E" w:rsidRDefault="004F1F8E" w:rsidP="004F1F8E">
    <w:pPr>
      <w:pStyle w:val="Header"/>
    </w:pPr>
    <w:r>
      <w:fldChar w:fldCharType="begin"/>
    </w:r>
    <w:r>
      <w:instrText xml:space="preserve"> PAGE </w:instrText>
    </w:r>
    <w:r>
      <w:fldChar w:fldCharType="separate"/>
    </w:r>
    <w:r w:rsidR="00FB285F">
      <w:rPr>
        <w:noProof/>
      </w:rPr>
      <w:t>7</w:t>
    </w:r>
    <w:r>
      <w:fldChar w:fldCharType="end"/>
    </w:r>
  </w:p>
  <w:p w14:paraId="08E5A2F3" w14:textId="77777777" w:rsidR="004F1F8E" w:rsidRDefault="00225CF2" w:rsidP="00FD7AA3">
    <w:pPr>
      <w:pStyle w:val="Header"/>
    </w:pPr>
    <w:r>
      <w:t>WRC</w:t>
    </w:r>
    <w:r w:rsidR="00D3426F">
      <w:t>23</w:t>
    </w:r>
    <w:r w:rsidR="004F1F8E">
      <w:t>/</w:t>
    </w:r>
    <w:r w:rsidR="006A4B45">
      <w:t>166-</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1FEB" w14:textId="77777777" w:rsidR="00DD601B" w:rsidRDefault="00DD6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8A2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7C3A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A9A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FA9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24C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0EF8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D82E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2676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105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769D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84936310">
    <w:abstractNumId w:val="8"/>
  </w:num>
  <w:num w:numId="2" w16cid:durableId="19490041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40843576">
    <w:abstractNumId w:val="9"/>
  </w:num>
  <w:num w:numId="4" w16cid:durableId="720205684">
    <w:abstractNumId w:val="7"/>
  </w:num>
  <w:num w:numId="5" w16cid:durableId="43994820">
    <w:abstractNumId w:val="6"/>
  </w:num>
  <w:num w:numId="6" w16cid:durableId="1109937292">
    <w:abstractNumId w:val="5"/>
  </w:num>
  <w:num w:numId="7" w16cid:durableId="1855067073">
    <w:abstractNumId w:val="4"/>
  </w:num>
  <w:num w:numId="8" w16cid:durableId="529031134">
    <w:abstractNumId w:val="3"/>
  </w:num>
  <w:num w:numId="9" w16cid:durableId="963198903">
    <w:abstractNumId w:val="2"/>
  </w:num>
  <w:num w:numId="10" w16cid:durableId="1185901940">
    <w:abstractNumId w:val="1"/>
  </w:num>
  <w:num w:numId="11" w16cid:durableId="27028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C51"/>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E3667"/>
    <w:rsid w:val="001F17E8"/>
    <w:rsid w:val="001F237C"/>
    <w:rsid w:val="002018BD"/>
    <w:rsid w:val="00204306"/>
    <w:rsid w:val="00205990"/>
    <w:rsid w:val="00225CF2"/>
    <w:rsid w:val="00232FD2"/>
    <w:rsid w:val="0026554E"/>
    <w:rsid w:val="002A4622"/>
    <w:rsid w:val="002A6F8F"/>
    <w:rsid w:val="002B17E5"/>
    <w:rsid w:val="002B39F2"/>
    <w:rsid w:val="002C0EBF"/>
    <w:rsid w:val="002C28A4"/>
    <w:rsid w:val="002D7E0A"/>
    <w:rsid w:val="00315AFE"/>
    <w:rsid w:val="003411F6"/>
    <w:rsid w:val="00352EFD"/>
    <w:rsid w:val="00354045"/>
    <w:rsid w:val="003606A6"/>
    <w:rsid w:val="0036650C"/>
    <w:rsid w:val="003721D3"/>
    <w:rsid w:val="00393ACD"/>
    <w:rsid w:val="003A583E"/>
    <w:rsid w:val="003B0814"/>
    <w:rsid w:val="003E112B"/>
    <w:rsid w:val="003E1D1C"/>
    <w:rsid w:val="003E7B05"/>
    <w:rsid w:val="003F3719"/>
    <w:rsid w:val="003F6F2D"/>
    <w:rsid w:val="004519DF"/>
    <w:rsid w:val="00466211"/>
    <w:rsid w:val="004719CE"/>
    <w:rsid w:val="00483196"/>
    <w:rsid w:val="004834A9"/>
    <w:rsid w:val="004848C2"/>
    <w:rsid w:val="004C7EA6"/>
    <w:rsid w:val="004D01FC"/>
    <w:rsid w:val="004E28C3"/>
    <w:rsid w:val="004F1F8E"/>
    <w:rsid w:val="00512A32"/>
    <w:rsid w:val="005343DA"/>
    <w:rsid w:val="00544D2C"/>
    <w:rsid w:val="00560874"/>
    <w:rsid w:val="00586CF2"/>
    <w:rsid w:val="005A7C75"/>
    <w:rsid w:val="005C3768"/>
    <w:rsid w:val="005C6C3F"/>
    <w:rsid w:val="00613635"/>
    <w:rsid w:val="0062093D"/>
    <w:rsid w:val="00637ECF"/>
    <w:rsid w:val="00647B59"/>
    <w:rsid w:val="00690C7B"/>
    <w:rsid w:val="006A4B45"/>
    <w:rsid w:val="006D4724"/>
    <w:rsid w:val="006D7CE0"/>
    <w:rsid w:val="006F5FA2"/>
    <w:rsid w:val="0070076C"/>
    <w:rsid w:val="00701BAE"/>
    <w:rsid w:val="00721F04"/>
    <w:rsid w:val="00730E95"/>
    <w:rsid w:val="007426B9"/>
    <w:rsid w:val="00764342"/>
    <w:rsid w:val="00774362"/>
    <w:rsid w:val="00786598"/>
    <w:rsid w:val="00790C74"/>
    <w:rsid w:val="007A04E8"/>
    <w:rsid w:val="007B2C34"/>
    <w:rsid w:val="007E1013"/>
    <w:rsid w:val="007F282B"/>
    <w:rsid w:val="00830086"/>
    <w:rsid w:val="00851625"/>
    <w:rsid w:val="00851F9C"/>
    <w:rsid w:val="00863C0A"/>
    <w:rsid w:val="008A3120"/>
    <w:rsid w:val="008A4B97"/>
    <w:rsid w:val="008C5B8E"/>
    <w:rsid w:val="008C5DD5"/>
    <w:rsid w:val="008C7123"/>
    <w:rsid w:val="008D2842"/>
    <w:rsid w:val="008D41BE"/>
    <w:rsid w:val="008D58D3"/>
    <w:rsid w:val="008E3BC9"/>
    <w:rsid w:val="009053E0"/>
    <w:rsid w:val="00923064"/>
    <w:rsid w:val="0093094F"/>
    <w:rsid w:val="00930FFD"/>
    <w:rsid w:val="00936D25"/>
    <w:rsid w:val="00941EA5"/>
    <w:rsid w:val="00964700"/>
    <w:rsid w:val="00966C16"/>
    <w:rsid w:val="0098732F"/>
    <w:rsid w:val="009A045F"/>
    <w:rsid w:val="009A6A2B"/>
    <w:rsid w:val="009B0B77"/>
    <w:rsid w:val="009B18B1"/>
    <w:rsid w:val="009C7E7C"/>
    <w:rsid w:val="00A00473"/>
    <w:rsid w:val="00A03C9B"/>
    <w:rsid w:val="00A37105"/>
    <w:rsid w:val="00A46520"/>
    <w:rsid w:val="00A606C3"/>
    <w:rsid w:val="00A81B64"/>
    <w:rsid w:val="00A83B09"/>
    <w:rsid w:val="00A84541"/>
    <w:rsid w:val="00AA25D3"/>
    <w:rsid w:val="00AE36A0"/>
    <w:rsid w:val="00B00294"/>
    <w:rsid w:val="00B00A36"/>
    <w:rsid w:val="00B11CA9"/>
    <w:rsid w:val="00B3749C"/>
    <w:rsid w:val="00B64FD0"/>
    <w:rsid w:val="00BA5BD0"/>
    <w:rsid w:val="00BB1D82"/>
    <w:rsid w:val="00BB22EC"/>
    <w:rsid w:val="00BC217E"/>
    <w:rsid w:val="00BD51C5"/>
    <w:rsid w:val="00BF26E7"/>
    <w:rsid w:val="00C1305F"/>
    <w:rsid w:val="00C4060F"/>
    <w:rsid w:val="00C53FCA"/>
    <w:rsid w:val="00C71DEB"/>
    <w:rsid w:val="00C76BAF"/>
    <w:rsid w:val="00C814B9"/>
    <w:rsid w:val="00C82D2C"/>
    <w:rsid w:val="00CB685A"/>
    <w:rsid w:val="00CD516F"/>
    <w:rsid w:val="00D119A7"/>
    <w:rsid w:val="00D16A47"/>
    <w:rsid w:val="00D25FBA"/>
    <w:rsid w:val="00D32B28"/>
    <w:rsid w:val="00D3426F"/>
    <w:rsid w:val="00D42954"/>
    <w:rsid w:val="00D516F4"/>
    <w:rsid w:val="00D66EAC"/>
    <w:rsid w:val="00D730DF"/>
    <w:rsid w:val="00D772F0"/>
    <w:rsid w:val="00D77BDC"/>
    <w:rsid w:val="00DA1FC0"/>
    <w:rsid w:val="00DB12CB"/>
    <w:rsid w:val="00DC402B"/>
    <w:rsid w:val="00DC448A"/>
    <w:rsid w:val="00DD601B"/>
    <w:rsid w:val="00DE08D3"/>
    <w:rsid w:val="00DE0932"/>
    <w:rsid w:val="00DF15E8"/>
    <w:rsid w:val="00E03A27"/>
    <w:rsid w:val="00E049F1"/>
    <w:rsid w:val="00E37A25"/>
    <w:rsid w:val="00E537FF"/>
    <w:rsid w:val="00E60CB2"/>
    <w:rsid w:val="00E6539B"/>
    <w:rsid w:val="00E70A31"/>
    <w:rsid w:val="00E723A7"/>
    <w:rsid w:val="00EA3F38"/>
    <w:rsid w:val="00EA5AB6"/>
    <w:rsid w:val="00EB37BA"/>
    <w:rsid w:val="00EB3D33"/>
    <w:rsid w:val="00EC7615"/>
    <w:rsid w:val="00ED16AA"/>
    <w:rsid w:val="00ED6B8D"/>
    <w:rsid w:val="00EE3D7B"/>
    <w:rsid w:val="00EF662E"/>
    <w:rsid w:val="00F10064"/>
    <w:rsid w:val="00F148F1"/>
    <w:rsid w:val="00F26DE9"/>
    <w:rsid w:val="00F711A7"/>
    <w:rsid w:val="00F91B23"/>
    <w:rsid w:val="00FA3BBF"/>
    <w:rsid w:val="00FB285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7FC25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Zchn"/>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customStyle="1" w:styleId="edit">
    <w:name w:val="edit"/>
    <w:basedOn w:val="Reasons"/>
    <w:rsid w:val="00BB22EC"/>
  </w:style>
  <w:style w:type="paragraph" w:customStyle="1" w:styleId="EditorsNote">
    <w:name w:val="EditorsNote"/>
    <w:basedOn w:val="edit"/>
    <w:qFormat/>
    <w:rsid w:val="00BB22EC"/>
  </w:style>
  <w:style w:type="character" w:customStyle="1" w:styleId="CallChar">
    <w:name w:val="Call Char"/>
    <w:basedOn w:val="DefaultParagraphFont"/>
    <w:link w:val="Call"/>
    <w:qFormat/>
    <w:locked/>
    <w:rsid w:val="008D2842"/>
    <w:rPr>
      <w:rFonts w:ascii="Times New Roman" w:hAnsi="Times New Roman"/>
      <w:i/>
      <w:sz w:val="24"/>
      <w:lang w:val="fr-FR" w:eastAsia="en-US"/>
    </w:rPr>
  </w:style>
  <w:style w:type="character" w:customStyle="1" w:styleId="RestitleZchn">
    <w:name w:val="Res_title Zchn"/>
    <w:basedOn w:val="DefaultParagraphFont"/>
    <w:link w:val="Restitle"/>
    <w:rsid w:val="00DC448A"/>
    <w:rPr>
      <w:rFonts w:ascii="Times New Roman Bold" w:hAnsi="Times New Roman Bold"/>
      <w:b/>
      <w:sz w:val="28"/>
      <w:lang w:val="fr-FR" w:eastAsia="en-US"/>
    </w:rPr>
  </w:style>
  <w:style w:type="character" w:customStyle="1" w:styleId="enumlev1Char">
    <w:name w:val="enumlev1 Char"/>
    <w:basedOn w:val="DefaultParagraphFont"/>
    <w:link w:val="enumlev1"/>
    <w:qFormat/>
    <w:locked/>
    <w:rsid w:val="00354045"/>
    <w:rPr>
      <w:rFonts w:ascii="Times New Roman" w:hAnsi="Times New Roman"/>
      <w:sz w:val="24"/>
      <w:lang w:val="fr-FR" w:eastAsia="en-US"/>
    </w:rPr>
  </w:style>
  <w:style w:type="paragraph" w:styleId="Revision">
    <w:name w:val="Revision"/>
    <w:hidden/>
    <w:uiPriority w:val="99"/>
    <w:semiHidden/>
    <w:rsid w:val="00B11CA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C7AD3-CEA9-429B-A5A3-27B69F9ABA9A}">
  <ds:schemaRefs>
    <ds:schemaRef ds:uri="http://schemas.microsoft.com/sharepoint/events"/>
  </ds:schemaRefs>
</ds:datastoreItem>
</file>

<file path=customXml/itemProps2.xml><?xml version="1.0" encoding="utf-8"?>
<ds:datastoreItem xmlns:ds="http://schemas.openxmlformats.org/officeDocument/2006/customXml" ds:itemID="{126EDB19-63EB-479C-BDC2-975D81B564BF}">
  <ds:schemaRefs>
    <ds:schemaRef ds:uri="http://purl.org/dc/elements/1.1/"/>
    <ds:schemaRef ds:uri="996b2e75-67fd-4955-a3b0-5ab9934cb50b"/>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terms/"/>
  </ds:schemaRefs>
</ds:datastoreItem>
</file>

<file path=customXml/itemProps3.xml><?xml version="1.0" encoding="utf-8"?>
<ds:datastoreItem xmlns:ds="http://schemas.openxmlformats.org/officeDocument/2006/customXml" ds:itemID="{D360C4F7-9F1F-4025-902F-4B74570E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1286</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R23-WRC23-C-0166!!MSW-F</vt:lpstr>
    </vt:vector>
  </TitlesOfParts>
  <Manager>Secrétariat général - Pool</Manager>
  <Company>Union internationale des télécommunications (UIT)</Company>
  <LinksUpToDate>false</LinksUpToDate>
  <CharactersWithSpaces>8784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R23-WRC23-C-0166!!MSW-F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2023-11-14T09:10:00Z</dcterms:created>
  <dcterms:modified xsi:type="dcterms:W3CDTF">2023-11-14T23:15:00Z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