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169"/>
        <w:gridCol w:w="1951"/>
      </w:tblGrid>
      <w:tr w:rsidR="00F320AA" w:rsidRPr="005606C7" w14:paraId="4C3BD3AD" w14:textId="77777777" w:rsidTr="00F320AA">
        <w:trPr>
          <w:cantSplit/>
        </w:trPr>
        <w:tc>
          <w:tcPr>
            <w:tcW w:w="1418" w:type="dxa"/>
            <w:vAlign w:val="center"/>
          </w:tcPr>
          <w:p w14:paraId="2A86A737" w14:textId="77777777" w:rsidR="00F320AA" w:rsidRPr="005606C7" w:rsidRDefault="00F320AA" w:rsidP="00F320AA">
            <w:pPr>
              <w:spacing w:before="0"/>
              <w:rPr>
                <w:rFonts w:ascii="Verdana" w:hAnsi="Verdana"/>
                <w:position w:val="6"/>
              </w:rPr>
            </w:pPr>
            <w:r w:rsidRPr="005606C7">
              <w:rPr>
                <w:noProof/>
              </w:rPr>
              <w:drawing>
                <wp:inline distT="0" distB="0" distL="0" distR="0" wp14:anchorId="5DE5FD03" wp14:editId="5B2839D3">
                  <wp:extent cx="712470" cy="785495"/>
                  <wp:effectExtent l="0" t="0" r="0" b="0"/>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662" w:type="dxa"/>
            <w:gridSpan w:val="2"/>
          </w:tcPr>
          <w:p w14:paraId="0AC9A35A" w14:textId="77777777" w:rsidR="00F320AA" w:rsidRPr="005606C7" w:rsidRDefault="00F320AA" w:rsidP="00F320AA">
            <w:pPr>
              <w:spacing w:before="400" w:after="48" w:line="240" w:lineRule="atLeast"/>
              <w:rPr>
                <w:rFonts w:ascii="Verdana" w:hAnsi="Verdana"/>
                <w:position w:val="6"/>
              </w:rPr>
            </w:pPr>
            <w:r w:rsidRPr="005606C7">
              <w:rPr>
                <w:rFonts w:ascii="Verdana" w:hAnsi="Verdana" w:cs="Times"/>
                <w:b/>
                <w:position w:val="6"/>
                <w:sz w:val="22"/>
                <w:szCs w:val="22"/>
              </w:rPr>
              <w:t>World Radiocommunication Conference (WRC-23)</w:t>
            </w:r>
            <w:r w:rsidRPr="005606C7">
              <w:rPr>
                <w:rFonts w:ascii="Verdana" w:hAnsi="Verdana" w:cs="Times"/>
                <w:b/>
                <w:position w:val="6"/>
                <w:sz w:val="26"/>
                <w:szCs w:val="26"/>
              </w:rPr>
              <w:br/>
            </w:r>
            <w:r w:rsidRPr="005606C7">
              <w:rPr>
                <w:rFonts w:ascii="Verdana" w:hAnsi="Verdana"/>
                <w:b/>
                <w:bCs/>
                <w:position w:val="6"/>
                <w:sz w:val="18"/>
                <w:szCs w:val="18"/>
              </w:rPr>
              <w:t>Dubai, 20 November - 15 December 2023</w:t>
            </w:r>
          </w:p>
        </w:tc>
        <w:tc>
          <w:tcPr>
            <w:tcW w:w="1951" w:type="dxa"/>
            <w:vAlign w:val="center"/>
          </w:tcPr>
          <w:p w14:paraId="748C7A46" w14:textId="77777777" w:rsidR="00F320AA" w:rsidRPr="005606C7" w:rsidRDefault="00EB0812" w:rsidP="00F320AA">
            <w:pPr>
              <w:spacing w:before="0" w:line="240" w:lineRule="atLeast"/>
            </w:pPr>
            <w:r w:rsidRPr="005606C7">
              <w:rPr>
                <w:noProof/>
              </w:rPr>
              <w:drawing>
                <wp:inline distT="0" distB="0" distL="0" distR="0" wp14:anchorId="313F3669" wp14:editId="61171D0E">
                  <wp:extent cx="1007778" cy="10077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4481" cy="1014481"/>
                          </a:xfrm>
                          <a:prstGeom prst="rect">
                            <a:avLst/>
                          </a:prstGeom>
                          <a:noFill/>
                          <a:ln>
                            <a:noFill/>
                          </a:ln>
                        </pic:spPr>
                      </pic:pic>
                    </a:graphicData>
                  </a:graphic>
                </wp:inline>
              </w:drawing>
            </w:r>
          </w:p>
        </w:tc>
      </w:tr>
      <w:tr w:rsidR="00A066F1" w:rsidRPr="005606C7" w14:paraId="68742E9A" w14:textId="77777777">
        <w:trPr>
          <w:cantSplit/>
        </w:trPr>
        <w:tc>
          <w:tcPr>
            <w:tcW w:w="6911" w:type="dxa"/>
            <w:gridSpan w:val="2"/>
            <w:tcBorders>
              <w:bottom w:val="single" w:sz="12" w:space="0" w:color="auto"/>
            </w:tcBorders>
          </w:tcPr>
          <w:p w14:paraId="2E34849E" w14:textId="77777777" w:rsidR="00A066F1" w:rsidRPr="005606C7" w:rsidRDefault="00A066F1" w:rsidP="00A066F1">
            <w:pPr>
              <w:spacing w:before="0" w:after="48" w:line="240" w:lineRule="atLeast"/>
              <w:rPr>
                <w:rFonts w:ascii="Verdana" w:hAnsi="Verdana"/>
                <w:b/>
                <w:smallCaps/>
                <w:sz w:val="20"/>
              </w:rPr>
            </w:pPr>
            <w:bookmarkStart w:id="0" w:name="dhead"/>
          </w:p>
        </w:tc>
        <w:tc>
          <w:tcPr>
            <w:tcW w:w="3120" w:type="dxa"/>
            <w:gridSpan w:val="2"/>
            <w:tcBorders>
              <w:bottom w:val="single" w:sz="12" w:space="0" w:color="auto"/>
            </w:tcBorders>
          </w:tcPr>
          <w:p w14:paraId="2FD06309" w14:textId="77777777" w:rsidR="00A066F1" w:rsidRPr="005606C7" w:rsidRDefault="00A066F1" w:rsidP="00A066F1">
            <w:pPr>
              <w:spacing w:before="0" w:line="240" w:lineRule="atLeast"/>
              <w:rPr>
                <w:rFonts w:ascii="Verdana" w:hAnsi="Verdana"/>
                <w:szCs w:val="24"/>
              </w:rPr>
            </w:pPr>
          </w:p>
        </w:tc>
      </w:tr>
      <w:tr w:rsidR="00A066F1" w:rsidRPr="005606C7" w14:paraId="6C4EBA50" w14:textId="77777777">
        <w:trPr>
          <w:cantSplit/>
        </w:trPr>
        <w:tc>
          <w:tcPr>
            <w:tcW w:w="6911" w:type="dxa"/>
            <w:gridSpan w:val="2"/>
            <w:tcBorders>
              <w:top w:val="single" w:sz="12" w:space="0" w:color="auto"/>
            </w:tcBorders>
          </w:tcPr>
          <w:p w14:paraId="4C2CBE15" w14:textId="77777777" w:rsidR="00A066F1" w:rsidRPr="005606C7" w:rsidRDefault="00A066F1" w:rsidP="00A066F1">
            <w:pPr>
              <w:spacing w:before="0" w:after="48" w:line="240" w:lineRule="atLeast"/>
              <w:rPr>
                <w:rFonts w:ascii="Verdana" w:hAnsi="Verdana"/>
                <w:b/>
                <w:smallCaps/>
                <w:sz w:val="20"/>
              </w:rPr>
            </w:pPr>
          </w:p>
        </w:tc>
        <w:tc>
          <w:tcPr>
            <w:tcW w:w="3120" w:type="dxa"/>
            <w:gridSpan w:val="2"/>
            <w:tcBorders>
              <w:top w:val="single" w:sz="12" w:space="0" w:color="auto"/>
            </w:tcBorders>
          </w:tcPr>
          <w:p w14:paraId="6B851A4C" w14:textId="77777777" w:rsidR="00A066F1" w:rsidRPr="005606C7" w:rsidRDefault="00A066F1" w:rsidP="00A066F1">
            <w:pPr>
              <w:spacing w:before="0" w:line="240" w:lineRule="atLeast"/>
              <w:rPr>
                <w:rFonts w:ascii="Verdana" w:hAnsi="Verdana"/>
                <w:sz w:val="20"/>
              </w:rPr>
            </w:pPr>
          </w:p>
        </w:tc>
      </w:tr>
      <w:tr w:rsidR="00A066F1" w:rsidRPr="005606C7" w14:paraId="4ACDCE1E" w14:textId="77777777">
        <w:trPr>
          <w:cantSplit/>
          <w:trHeight w:val="23"/>
        </w:trPr>
        <w:tc>
          <w:tcPr>
            <w:tcW w:w="6911" w:type="dxa"/>
            <w:gridSpan w:val="2"/>
            <w:shd w:val="clear" w:color="auto" w:fill="auto"/>
          </w:tcPr>
          <w:p w14:paraId="234E6DB3" w14:textId="77777777" w:rsidR="00A066F1" w:rsidRPr="005606C7"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5606C7">
              <w:rPr>
                <w:rFonts w:ascii="Verdana" w:hAnsi="Verdana"/>
                <w:sz w:val="20"/>
                <w:szCs w:val="20"/>
              </w:rPr>
              <w:t>PLENARY MEETING</w:t>
            </w:r>
          </w:p>
        </w:tc>
        <w:tc>
          <w:tcPr>
            <w:tcW w:w="3120" w:type="dxa"/>
            <w:gridSpan w:val="2"/>
          </w:tcPr>
          <w:p w14:paraId="12D32F64" w14:textId="77777777" w:rsidR="00A066F1" w:rsidRPr="005606C7" w:rsidRDefault="00E55816" w:rsidP="00AA666F">
            <w:pPr>
              <w:tabs>
                <w:tab w:val="left" w:pos="851"/>
              </w:tabs>
              <w:spacing w:before="0" w:line="240" w:lineRule="atLeast"/>
              <w:rPr>
                <w:rFonts w:ascii="Verdana" w:hAnsi="Verdana"/>
                <w:sz w:val="20"/>
              </w:rPr>
            </w:pPr>
            <w:r w:rsidRPr="005606C7">
              <w:rPr>
                <w:rFonts w:ascii="Verdana" w:hAnsi="Verdana"/>
                <w:b/>
                <w:sz w:val="20"/>
              </w:rPr>
              <w:t>Document 166</w:t>
            </w:r>
            <w:r w:rsidR="00A066F1" w:rsidRPr="005606C7">
              <w:rPr>
                <w:rFonts w:ascii="Verdana" w:hAnsi="Verdana"/>
                <w:b/>
                <w:sz w:val="20"/>
              </w:rPr>
              <w:t>-</w:t>
            </w:r>
            <w:r w:rsidR="005E10C9" w:rsidRPr="005606C7">
              <w:rPr>
                <w:rFonts w:ascii="Verdana" w:hAnsi="Verdana"/>
                <w:b/>
                <w:sz w:val="20"/>
              </w:rPr>
              <w:t>E</w:t>
            </w:r>
          </w:p>
        </w:tc>
      </w:tr>
      <w:tr w:rsidR="00A066F1" w:rsidRPr="005606C7" w14:paraId="3630483E" w14:textId="77777777">
        <w:trPr>
          <w:cantSplit/>
          <w:trHeight w:val="23"/>
        </w:trPr>
        <w:tc>
          <w:tcPr>
            <w:tcW w:w="6911" w:type="dxa"/>
            <w:gridSpan w:val="2"/>
            <w:shd w:val="clear" w:color="auto" w:fill="auto"/>
          </w:tcPr>
          <w:p w14:paraId="546936FB" w14:textId="77777777" w:rsidR="00A066F1" w:rsidRPr="005606C7"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gridSpan w:val="2"/>
          </w:tcPr>
          <w:p w14:paraId="636F0C1B" w14:textId="77777777" w:rsidR="00A066F1" w:rsidRPr="005606C7" w:rsidRDefault="00420873" w:rsidP="00A066F1">
            <w:pPr>
              <w:tabs>
                <w:tab w:val="left" w:pos="993"/>
              </w:tabs>
              <w:spacing w:before="0"/>
              <w:rPr>
                <w:rFonts w:ascii="Verdana" w:hAnsi="Verdana"/>
                <w:sz w:val="20"/>
              </w:rPr>
            </w:pPr>
            <w:r w:rsidRPr="005606C7">
              <w:rPr>
                <w:rFonts w:ascii="Verdana" w:hAnsi="Verdana"/>
                <w:b/>
                <w:sz w:val="20"/>
              </w:rPr>
              <w:t>30 October 2023</w:t>
            </w:r>
          </w:p>
        </w:tc>
      </w:tr>
      <w:tr w:rsidR="00A066F1" w:rsidRPr="005606C7" w14:paraId="1E75C5C3" w14:textId="77777777">
        <w:trPr>
          <w:cantSplit/>
          <w:trHeight w:val="23"/>
        </w:trPr>
        <w:tc>
          <w:tcPr>
            <w:tcW w:w="6911" w:type="dxa"/>
            <w:gridSpan w:val="2"/>
            <w:shd w:val="clear" w:color="auto" w:fill="auto"/>
          </w:tcPr>
          <w:p w14:paraId="75504398" w14:textId="77777777" w:rsidR="00A066F1" w:rsidRPr="005606C7"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gridSpan w:val="2"/>
          </w:tcPr>
          <w:p w14:paraId="233E0C97" w14:textId="77777777" w:rsidR="00A066F1" w:rsidRPr="005606C7" w:rsidRDefault="00E55816" w:rsidP="00A066F1">
            <w:pPr>
              <w:tabs>
                <w:tab w:val="left" w:pos="993"/>
              </w:tabs>
              <w:spacing w:before="0"/>
              <w:rPr>
                <w:rFonts w:ascii="Verdana" w:hAnsi="Verdana"/>
                <w:b/>
                <w:sz w:val="20"/>
              </w:rPr>
            </w:pPr>
            <w:r w:rsidRPr="005606C7">
              <w:rPr>
                <w:rFonts w:ascii="Verdana" w:hAnsi="Verdana"/>
                <w:b/>
                <w:sz w:val="20"/>
              </w:rPr>
              <w:t>Original: English</w:t>
            </w:r>
          </w:p>
        </w:tc>
      </w:tr>
      <w:tr w:rsidR="00A066F1" w:rsidRPr="005606C7" w14:paraId="0E800D58" w14:textId="77777777" w:rsidTr="00025864">
        <w:trPr>
          <w:cantSplit/>
          <w:trHeight w:val="23"/>
        </w:trPr>
        <w:tc>
          <w:tcPr>
            <w:tcW w:w="10031" w:type="dxa"/>
            <w:gridSpan w:val="4"/>
            <w:shd w:val="clear" w:color="auto" w:fill="auto"/>
          </w:tcPr>
          <w:p w14:paraId="27309991" w14:textId="77777777" w:rsidR="00A066F1" w:rsidRPr="005606C7" w:rsidRDefault="00A066F1" w:rsidP="00A066F1">
            <w:pPr>
              <w:tabs>
                <w:tab w:val="left" w:pos="993"/>
              </w:tabs>
              <w:spacing w:before="0"/>
              <w:rPr>
                <w:rFonts w:ascii="Verdana" w:hAnsi="Verdana"/>
                <w:b/>
                <w:sz w:val="20"/>
              </w:rPr>
            </w:pPr>
          </w:p>
        </w:tc>
      </w:tr>
      <w:tr w:rsidR="00E55816" w:rsidRPr="005606C7" w14:paraId="6D2C129F" w14:textId="77777777" w:rsidTr="00025864">
        <w:trPr>
          <w:cantSplit/>
          <w:trHeight w:val="23"/>
        </w:trPr>
        <w:tc>
          <w:tcPr>
            <w:tcW w:w="10031" w:type="dxa"/>
            <w:gridSpan w:val="4"/>
            <w:shd w:val="clear" w:color="auto" w:fill="auto"/>
          </w:tcPr>
          <w:p w14:paraId="618CAF40" w14:textId="10BF4A3E" w:rsidR="00E55816" w:rsidRPr="005606C7" w:rsidRDefault="00125E84" w:rsidP="00E55816">
            <w:pPr>
              <w:pStyle w:val="Source"/>
            </w:pPr>
            <w:r>
              <w:t>Germany (Federal Republic of)/Austria/Belgium/Croatia (Republic of)/Spain/France/Hungary/Italy/Luxembourg/Malta/Montenegro/Norway/Netherlands (Kingdom of the)/Poland (Republic of)/Portugal/Romania/Switzerland (Confederation of)</w:t>
            </w:r>
          </w:p>
        </w:tc>
      </w:tr>
      <w:tr w:rsidR="00E55816" w:rsidRPr="005606C7" w14:paraId="1DEDFCB9" w14:textId="77777777" w:rsidTr="00025864">
        <w:trPr>
          <w:cantSplit/>
          <w:trHeight w:val="23"/>
        </w:trPr>
        <w:tc>
          <w:tcPr>
            <w:tcW w:w="10031" w:type="dxa"/>
            <w:gridSpan w:val="4"/>
            <w:shd w:val="clear" w:color="auto" w:fill="auto"/>
          </w:tcPr>
          <w:p w14:paraId="4ED35EF0" w14:textId="77777777" w:rsidR="00E55816" w:rsidRPr="005606C7" w:rsidRDefault="007D5320" w:rsidP="00E55816">
            <w:pPr>
              <w:pStyle w:val="Title1"/>
            </w:pPr>
            <w:r w:rsidRPr="005606C7">
              <w:t>PROPOSALS FOR THE WORK OF THE CONFERENCE</w:t>
            </w:r>
          </w:p>
        </w:tc>
      </w:tr>
      <w:tr w:rsidR="00E55816" w:rsidRPr="005606C7" w14:paraId="332C1C10" w14:textId="77777777" w:rsidTr="00025864">
        <w:trPr>
          <w:cantSplit/>
          <w:trHeight w:val="23"/>
        </w:trPr>
        <w:tc>
          <w:tcPr>
            <w:tcW w:w="10031" w:type="dxa"/>
            <w:gridSpan w:val="4"/>
            <w:shd w:val="clear" w:color="auto" w:fill="auto"/>
          </w:tcPr>
          <w:p w14:paraId="4E050F63" w14:textId="77777777" w:rsidR="00E55816" w:rsidRPr="005606C7" w:rsidRDefault="00E55816" w:rsidP="00E55816">
            <w:pPr>
              <w:pStyle w:val="Title2"/>
            </w:pPr>
          </w:p>
        </w:tc>
      </w:tr>
      <w:tr w:rsidR="00A538A6" w:rsidRPr="005606C7" w14:paraId="521EBC75" w14:textId="77777777" w:rsidTr="00025864">
        <w:trPr>
          <w:cantSplit/>
          <w:trHeight w:val="23"/>
        </w:trPr>
        <w:tc>
          <w:tcPr>
            <w:tcW w:w="10031" w:type="dxa"/>
            <w:gridSpan w:val="4"/>
            <w:shd w:val="clear" w:color="auto" w:fill="auto"/>
          </w:tcPr>
          <w:p w14:paraId="3E3D5626" w14:textId="77777777" w:rsidR="00A538A6" w:rsidRPr="005606C7" w:rsidRDefault="004B13CB" w:rsidP="004B13CB">
            <w:pPr>
              <w:pStyle w:val="Agendaitem"/>
              <w:rPr>
                <w:lang w:val="en-GB"/>
              </w:rPr>
            </w:pPr>
            <w:r w:rsidRPr="005606C7">
              <w:rPr>
                <w:lang w:val="en-GB"/>
              </w:rPr>
              <w:t>Agenda item 10</w:t>
            </w:r>
          </w:p>
        </w:tc>
      </w:tr>
    </w:tbl>
    <w:bookmarkEnd w:id="5"/>
    <w:bookmarkEnd w:id="6"/>
    <w:p w14:paraId="0030A761" w14:textId="6FE7C5FD" w:rsidR="00187BD9" w:rsidRPr="005606C7" w:rsidRDefault="0033631A" w:rsidP="00342D32">
      <w:pPr>
        <w:pStyle w:val="Normalaftertitle"/>
      </w:pPr>
      <w:r w:rsidRPr="005606C7">
        <w:t>10</w:t>
      </w:r>
      <w:r w:rsidRPr="005606C7">
        <w:rPr>
          <w:b/>
          <w:bCs/>
        </w:rPr>
        <w:tab/>
      </w:r>
      <w:r w:rsidRPr="005606C7">
        <w:t xml:space="preserve">to recommend to the ITU Council items for inclusion in the agenda for the next world radiocommunication conference, </w:t>
      </w:r>
      <w:r w:rsidRPr="005606C7">
        <w:rPr>
          <w:iCs/>
        </w:rPr>
        <w:t xml:space="preserve">and items for the preliminary agenda of future conferences, </w:t>
      </w:r>
      <w:r w:rsidRPr="005606C7">
        <w:t xml:space="preserve">in accordance with Article 7 of the ITU Convention </w:t>
      </w:r>
      <w:r w:rsidRPr="005606C7">
        <w:rPr>
          <w:iCs/>
        </w:rPr>
        <w:t>and Resolution</w:t>
      </w:r>
      <w:r w:rsidR="00F005B2" w:rsidRPr="005606C7">
        <w:rPr>
          <w:iCs/>
        </w:rPr>
        <w:t> </w:t>
      </w:r>
      <w:r w:rsidRPr="005606C7">
        <w:rPr>
          <w:b/>
          <w:bCs/>
          <w:iCs/>
        </w:rPr>
        <w:t>804 (Rev.WRC</w:t>
      </w:r>
      <w:r w:rsidRPr="005606C7">
        <w:rPr>
          <w:b/>
          <w:bCs/>
          <w:iCs/>
        </w:rPr>
        <w:noBreakHyphen/>
        <w:t>19)</w:t>
      </w:r>
      <w:r w:rsidRPr="005606C7">
        <w:rPr>
          <w:iCs/>
        </w:rPr>
        <w:t>,</w:t>
      </w:r>
    </w:p>
    <w:p w14:paraId="41E11F85" w14:textId="77777777" w:rsidR="00342D32" w:rsidRPr="005606C7" w:rsidRDefault="00342D32" w:rsidP="00342D32">
      <w:pPr>
        <w:pStyle w:val="Headingb"/>
        <w:rPr>
          <w:lang w:val="en-GB"/>
        </w:rPr>
      </w:pPr>
      <w:r w:rsidRPr="005606C7">
        <w:rPr>
          <w:lang w:val="en-GB"/>
        </w:rPr>
        <w:t>Introduction</w:t>
      </w:r>
    </w:p>
    <w:p w14:paraId="74830BFA" w14:textId="500DE5FD" w:rsidR="00342D32" w:rsidRPr="005606C7" w:rsidRDefault="00342D32" w:rsidP="005606C7">
      <w:r w:rsidRPr="005606C7">
        <w:t xml:space="preserve">The following wording of the new agenda item is proposed for insertion in </w:t>
      </w:r>
      <w:r w:rsidR="006A4846" w:rsidRPr="005606C7">
        <w:t xml:space="preserve">draft new </w:t>
      </w:r>
      <w:r w:rsidRPr="005606C7">
        <w:t xml:space="preserve">Resolution </w:t>
      </w:r>
      <w:r w:rsidRPr="005606C7">
        <w:rPr>
          <w:b/>
          <w:bCs/>
        </w:rPr>
        <w:t>[</w:t>
      </w:r>
      <w:r w:rsidR="00602423" w:rsidRPr="005606C7">
        <w:rPr>
          <w:b/>
          <w:bCs/>
        </w:rPr>
        <w:t>MCP</w:t>
      </w:r>
      <w:r w:rsidRPr="005606C7">
        <w:rPr>
          <w:b/>
          <w:bCs/>
        </w:rPr>
        <w:t>-A10</w:t>
      </w:r>
      <w:r w:rsidRPr="005606C7">
        <w:t>-</w:t>
      </w:r>
      <w:r w:rsidRPr="005606C7">
        <w:rPr>
          <w:b/>
          <w:bCs/>
        </w:rPr>
        <w:t>WRC-27]</w:t>
      </w:r>
      <w:r w:rsidR="00F005B2" w:rsidRPr="005606C7">
        <w:rPr>
          <w:b/>
          <w:bCs/>
        </w:rPr>
        <w:t> </w:t>
      </w:r>
      <w:r w:rsidRPr="005606C7">
        <w:rPr>
          <w:b/>
          <w:bCs/>
        </w:rPr>
        <w:t>(WRC</w:t>
      </w:r>
      <w:r w:rsidR="00F005B2" w:rsidRPr="005606C7">
        <w:rPr>
          <w:b/>
          <w:bCs/>
        </w:rPr>
        <w:noBreakHyphen/>
      </w:r>
      <w:r w:rsidRPr="005606C7">
        <w:rPr>
          <w:b/>
          <w:bCs/>
        </w:rPr>
        <w:t>23)</w:t>
      </w:r>
      <w:r w:rsidRPr="005606C7">
        <w:t xml:space="preserve"> </w:t>
      </w:r>
      <w:r w:rsidR="006F395B" w:rsidRPr="005606C7">
        <w:t xml:space="preserve">on the </w:t>
      </w:r>
      <w:r w:rsidR="006A4846" w:rsidRPr="005606C7">
        <w:t xml:space="preserve">agenda </w:t>
      </w:r>
      <w:r w:rsidRPr="005606C7">
        <w:t>for the 2027 World Radiocommunication Conference:</w:t>
      </w:r>
    </w:p>
    <w:p w14:paraId="68FD2D4D" w14:textId="7E52523C" w:rsidR="00342D32" w:rsidRPr="005606C7" w:rsidRDefault="00342D32" w:rsidP="005606C7">
      <w:r w:rsidRPr="005606C7">
        <w:t>1</w:t>
      </w:r>
      <w:r w:rsidRPr="005606C7">
        <w:tab/>
        <w:t>on the basis of proposals from administrations, taking account of the results of WRC</w:t>
      </w:r>
      <w:r w:rsidR="00F005B2" w:rsidRPr="005606C7">
        <w:noBreakHyphen/>
      </w:r>
      <w:r w:rsidR="006A4846" w:rsidRPr="005606C7">
        <w:t>23</w:t>
      </w:r>
      <w:r w:rsidR="00923206" w:rsidRPr="005606C7">
        <w:t xml:space="preserve"> </w:t>
      </w:r>
      <w:r w:rsidRPr="005606C7">
        <w:t>and the Report of the Conference Preparatory Meeting, and with due regard to the requirements of</w:t>
      </w:r>
      <w:r w:rsidR="00923206" w:rsidRPr="005606C7">
        <w:t xml:space="preserve"> </w:t>
      </w:r>
      <w:r w:rsidRPr="005606C7">
        <w:t>existing and future services in the frequency bands under consideration, to consider and take</w:t>
      </w:r>
      <w:r w:rsidR="00923206" w:rsidRPr="005606C7">
        <w:t xml:space="preserve"> </w:t>
      </w:r>
      <w:r w:rsidRPr="005606C7">
        <w:t>appropriate action in respect of the following items:</w:t>
      </w:r>
    </w:p>
    <w:p w14:paraId="53BFD935" w14:textId="77777777" w:rsidR="00342D32" w:rsidRPr="005606C7" w:rsidRDefault="00342D32" w:rsidP="005606C7">
      <w:r w:rsidRPr="005606C7">
        <w:t>[…]</w:t>
      </w:r>
    </w:p>
    <w:p w14:paraId="01FCB839" w14:textId="51E80F22" w:rsidR="00342D32" w:rsidRPr="005606C7" w:rsidRDefault="00342D32" w:rsidP="005606C7">
      <w:r w:rsidRPr="005606C7">
        <w:t>1.XX</w:t>
      </w:r>
      <w:r w:rsidRPr="005606C7">
        <w:tab/>
        <w:t>to consider regulatory actions to protect satellite reception from aggregate interference of fixed and mobile services in frequency bands above 30</w:t>
      </w:r>
      <w:r w:rsidR="00F005B2" w:rsidRPr="005606C7">
        <w:t> </w:t>
      </w:r>
      <w:r w:rsidRPr="005606C7">
        <w:t xml:space="preserve">GHz in accordance with Resolution </w:t>
      </w:r>
      <w:r w:rsidRPr="005606C7">
        <w:rPr>
          <w:b/>
          <w:bCs/>
        </w:rPr>
        <w:t>[</w:t>
      </w:r>
      <w:r w:rsidR="00602423" w:rsidRPr="005606C7">
        <w:rPr>
          <w:b/>
          <w:bCs/>
        </w:rPr>
        <w:t>MCP</w:t>
      </w:r>
      <w:r w:rsidRPr="005606C7">
        <w:rPr>
          <w:b/>
          <w:bCs/>
        </w:rPr>
        <w:t>-</w:t>
      </w:r>
      <w:r w:rsidR="001A0363" w:rsidRPr="005606C7">
        <w:rPr>
          <w:b/>
          <w:bCs/>
        </w:rPr>
        <w:t> </w:t>
      </w:r>
      <w:r w:rsidRPr="005606C7">
        <w:rPr>
          <w:b/>
          <w:bCs/>
        </w:rPr>
        <w:t>A10-Table 21-2](WRC-23)</w:t>
      </w:r>
      <w:r w:rsidRPr="005606C7">
        <w:t>;</w:t>
      </w:r>
    </w:p>
    <w:p w14:paraId="573420BF" w14:textId="42800E51" w:rsidR="00342D32" w:rsidRPr="005606C7" w:rsidRDefault="00342D32" w:rsidP="006A4846">
      <w:pPr>
        <w:pStyle w:val="EditorsNote"/>
      </w:pPr>
      <w:r w:rsidRPr="005606C7">
        <w:t>Note: Numbering to be corrected after finali</w:t>
      </w:r>
      <w:r w:rsidR="00F005B2" w:rsidRPr="005606C7">
        <w:t>z</w:t>
      </w:r>
      <w:r w:rsidRPr="005606C7">
        <w:t>ing the list of agenda items.</w:t>
      </w:r>
    </w:p>
    <w:p w14:paraId="05D92884" w14:textId="77777777" w:rsidR="00342D32" w:rsidRPr="005606C7" w:rsidRDefault="00342D32" w:rsidP="00342D32">
      <w:pPr>
        <w:pStyle w:val="Headingb"/>
        <w:rPr>
          <w:lang w:val="en-GB"/>
        </w:rPr>
      </w:pPr>
      <w:r w:rsidRPr="005606C7">
        <w:rPr>
          <w:lang w:val="en-GB"/>
        </w:rPr>
        <w:t>Proposals</w:t>
      </w:r>
    </w:p>
    <w:p w14:paraId="28D7F024" w14:textId="77777777" w:rsidR="00187BD9" w:rsidRPr="005606C7" w:rsidRDefault="00187BD9" w:rsidP="00187BD9">
      <w:pPr>
        <w:tabs>
          <w:tab w:val="clear" w:pos="1134"/>
          <w:tab w:val="clear" w:pos="1871"/>
          <w:tab w:val="clear" w:pos="2268"/>
        </w:tabs>
        <w:overflowPunct/>
        <w:autoSpaceDE/>
        <w:autoSpaceDN/>
        <w:adjustRightInd/>
        <w:spacing w:before="0"/>
        <w:textAlignment w:val="auto"/>
      </w:pPr>
      <w:r w:rsidRPr="005606C7">
        <w:br w:type="page"/>
      </w:r>
    </w:p>
    <w:p w14:paraId="71F73A17" w14:textId="77777777" w:rsidR="00125E84" w:rsidRDefault="00125E84" w:rsidP="00125E84">
      <w:pPr>
        <w:pStyle w:val="Proposal"/>
      </w:pPr>
      <w:r>
        <w:lastRenderedPageBreak/>
        <w:t>ADD</w:t>
      </w:r>
      <w:r>
        <w:tab/>
        <w:t>D/AUT/BEL/HRV/E/F/HNG/I/LUX/MLT/MNE/NOR/HOL/POL/POR/ROU/SUI/166/1</w:t>
      </w:r>
    </w:p>
    <w:p w14:paraId="2EF1B665" w14:textId="13D03E4C" w:rsidR="00F827C7" w:rsidRPr="005606C7" w:rsidRDefault="0033631A">
      <w:pPr>
        <w:pStyle w:val="ResNo"/>
      </w:pPr>
      <w:r w:rsidRPr="005606C7">
        <w:t xml:space="preserve">Draft New Resolution </w:t>
      </w:r>
      <w:r w:rsidR="00101C95" w:rsidRPr="005606C7">
        <w:t>[</w:t>
      </w:r>
      <w:r w:rsidR="00821E38" w:rsidRPr="005606C7">
        <w:t>MCP</w:t>
      </w:r>
      <w:r w:rsidR="00101C95" w:rsidRPr="005606C7">
        <w:t>-A10-Table 21-2]</w:t>
      </w:r>
      <w:r w:rsidR="00821E38" w:rsidRPr="005606C7">
        <w:t xml:space="preserve"> </w:t>
      </w:r>
      <w:r w:rsidR="00101C95" w:rsidRPr="005606C7">
        <w:t>(WRC</w:t>
      </w:r>
      <w:r w:rsidR="00F005B2" w:rsidRPr="005606C7">
        <w:noBreakHyphen/>
      </w:r>
      <w:r w:rsidR="00101C95" w:rsidRPr="005606C7">
        <w:t>23)</w:t>
      </w:r>
    </w:p>
    <w:p w14:paraId="4C67D82D" w14:textId="77777777" w:rsidR="00002681" w:rsidRPr="005606C7" w:rsidRDefault="00002681" w:rsidP="00002681">
      <w:pPr>
        <w:pStyle w:val="Restitle"/>
      </w:pPr>
      <w:r w:rsidRPr="005606C7">
        <w:t>Protection of space stations sharing frequency in some frequency bands above 30 GHz from terrestrial stations in the fixed service or the mobile service, including IMT stations that use an array of active elements</w:t>
      </w:r>
    </w:p>
    <w:p w14:paraId="082CBEAD" w14:textId="67E4BECD" w:rsidR="000E61CE" w:rsidRPr="005606C7" w:rsidRDefault="000E61CE" w:rsidP="006A4846">
      <w:pPr>
        <w:pStyle w:val="EditorsNote"/>
      </w:pPr>
      <w:r w:rsidRPr="005606C7">
        <w:t>Note: this proposal should be reviewed in relation with WRC</w:t>
      </w:r>
      <w:r w:rsidR="00F005B2" w:rsidRPr="005606C7">
        <w:noBreakHyphen/>
      </w:r>
      <w:r w:rsidRPr="005606C7">
        <w:t xml:space="preserve">23 decision in response to </w:t>
      </w:r>
      <w:r w:rsidR="006A4846" w:rsidRPr="005606C7">
        <w:t xml:space="preserve">Document </w:t>
      </w:r>
      <w:r w:rsidRPr="005606C7">
        <w:t>550 (WRC</w:t>
      </w:r>
      <w:r w:rsidR="00F005B2" w:rsidRPr="005606C7">
        <w:noBreakHyphen/>
      </w:r>
      <w:r w:rsidRPr="005606C7">
        <w:t>19) including on possible follow-up actions towards WRC</w:t>
      </w:r>
      <w:r w:rsidR="00F005B2" w:rsidRPr="005606C7">
        <w:noBreakHyphen/>
      </w:r>
      <w:r w:rsidRPr="005606C7">
        <w:t>27</w:t>
      </w:r>
    </w:p>
    <w:p w14:paraId="6BBC073E" w14:textId="77777777" w:rsidR="000A4F78" w:rsidRPr="005606C7" w:rsidRDefault="000A4F78" w:rsidP="000A4F78">
      <w:pPr>
        <w:pStyle w:val="Normalaftertitle"/>
      </w:pPr>
      <w:r w:rsidRPr="005606C7">
        <w:t>The World Radiocommunication Conference (Dubai, 2023),</w:t>
      </w:r>
    </w:p>
    <w:p w14:paraId="276EBCA0" w14:textId="77777777" w:rsidR="000A4F78" w:rsidRPr="005606C7" w:rsidRDefault="000A4F78" w:rsidP="000A4F78">
      <w:pPr>
        <w:pStyle w:val="Call"/>
      </w:pPr>
      <w:r w:rsidRPr="005606C7">
        <w:t>considering</w:t>
      </w:r>
    </w:p>
    <w:p w14:paraId="5E471D91" w14:textId="160504BC" w:rsidR="000A4F78" w:rsidRPr="005606C7" w:rsidRDefault="000A4F78" w:rsidP="000A4F78">
      <w:r w:rsidRPr="005606C7">
        <w:rPr>
          <w:i/>
        </w:rPr>
        <w:t>a)</w:t>
      </w:r>
      <w:r w:rsidRPr="005606C7">
        <w:tab/>
        <w:t>that Document</w:t>
      </w:r>
      <w:r w:rsidR="00F005B2" w:rsidRPr="005606C7">
        <w:t> </w:t>
      </w:r>
      <w:r w:rsidRPr="005606C7">
        <w:t>550 (WRC</w:t>
      </w:r>
      <w:r w:rsidR="00F005B2" w:rsidRPr="005606C7">
        <w:noBreakHyphen/>
      </w:r>
      <w:r w:rsidRPr="005606C7">
        <w:t>19) invited ITU</w:t>
      </w:r>
      <w:r w:rsidR="00F005B2" w:rsidRPr="005606C7">
        <w:noBreakHyphen/>
      </w:r>
      <w:r w:rsidRPr="005606C7">
        <w:t xml:space="preserve">R </w:t>
      </w:r>
      <w:r w:rsidRPr="005606C7">
        <w:rPr>
          <w:rFonts w:eastAsiaTheme="minorEastAsia"/>
          <w:iCs/>
          <w:szCs w:val="24"/>
        </w:rPr>
        <w:t>“</w:t>
      </w:r>
      <w:r w:rsidRPr="005606C7">
        <w:rPr>
          <w:rFonts w:eastAsiaTheme="minorEastAsia"/>
          <w:i/>
          <w:szCs w:val="24"/>
        </w:rPr>
        <w:t>to study, as a matter of urgency, the applicability of the limit specified in No. </w:t>
      </w:r>
      <w:r w:rsidRPr="005606C7">
        <w:rPr>
          <w:rFonts w:eastAsiaTheme="minorEastAsia"/>
          <w:b/>
          <w:i/>
          <w:szCs w:val="24"/>
        </w:rPr>
        <w:t>21.5</w:t>
      </w:r>
      <w:r w:rsidRPr="005606C7">
        <w:rPr>
          <w:rFonts w:eastAsiaTheme="minorEastAsia"/>
          <w:i/>
          <w:szCs w:val="24"/>
        </w:rPr>
        <w:t xml:space="preserve"> of the Radio Regulations to IMT stations that use an antenna that consists of an array of active elements, with a view to recommend ways for its possible replacement or revision for such stations, as well as any necessary updates to Table</w:t>
      </w:r>
      <w:r w:rsidR="00F005B2" w:rsidRPr="005606C7">
        <w:rPr>
          <w:rFonts w:eastAsiaTheme="minorEastAsia"/>
          <w:i/>
          <w:szCs w:val="24"/>
        </w:rPr>
        <w:t> </w:t>
      </w:r>
      <w:r w:rsidRPr="005606C7">
        <w:rPr>
          <w:rFonts w:eastAsiaTheme="minorEastAsia"/>
          <w:b/>
          <w:i/>
          <w:szCs w:val="24"/>
        </w:rPr>
        <w:t>21-2</w:t>
      </w:r>
      <w:r w:rsidRPr="005606C7">
        <w:rPr>
          <w:rFonts w:eastAsiaTheme="minorEastAsia"/>
          <w:i/>
          <w:szCs w:val="24"/>
        </w:rPr>
        <w:t xml:space="preserve"> related to terrestrial and space services sharing frequency bands</w:t>
      </w:r>
      <w:r w:rsidRPr="005606C7">
        <w:rPr>
          <w:rFonts w:eastAsiaTheme="minorEastAsia"/>
          <w:iCs/>
          <w:szCs w:val="24"/>
        </w:rPr>
        <w:t>”</w:t>
      </w:r>
      <w:r w:rsidRPr="005606C7">
        <w:t>;</w:t>
      </w:r>
    </w:p>
    <w:p w14:paraId="69461C8A" w14:textId="14F0E1F1" w:rsidR="000A4F78" w:rsidRPr="005606C7" w:rsidRDefault="000A4F78" w:rsidP="000A4F78">
      <w:r w:rsidRPr="005606C7">
        <w:rPr>
          <w:i/>
          <w:iCs/>
        </w:rPr>
        <w:t>b)</w:t>
      </w:r>
      <w:r w:rsidRPr="005606C7">
        <w:rPr>
          <w:i/>
          <w:iCs/>
        </w:rPr>
        <w:tab/>
      </w:r>
      <w:r w:rsidRPr="005606C7">
        <w:t xml:space="preserve">that </w:t>
      </w:r>
      <w:r w:rsidRPr="005606C7">
        <w:rPr>
          <w:iCs/>
          <w:lang w:eastAsia="ja-JP"/>
        </w:rPr>
        <w:t>No.</w:t>
      </w:r>
      <w:r w:rsidR="00F005B2" w:rsidRPr="005606C7">
        <w:rPr>
          <w:iCs/>
          <w:lang w:eastAsia="ja-JP"/>
        </w:rPr>
        <w:t> </w:t>
      </w:r>
      <w:r w:rsidRPr="005606C7">
        <w:rPr>
          <w:b/>
          <w:bCs/>
          <w:iCs/>
          <w:lang w:eastAsia="ja-JP"/>
        </w:rPr>
        <w:t>21.5</w:t>
      </w:r>
      <w:r w:rsidRPr="005606C7">
        <w:rPr>
          <w:iCs/>
          <w:lang w:eastAsia="ja-JP"/>
        </w:rPr>
        <w:t xml:space="preserve"> </w:t>
      </w:r>
      <w:r w:rsidRPr="005606C7">
        <w:rPr>
          <w:bCs/>
          <w:iCs/>
          <w:lang w:eastAsia="ja-JP"/>
        </w:rPr>
        <w:t>is</w:t>
      </w:r>
      <w:r w:rsidRPr="005606C7">
        <w:rPr>
          <w:iCs/>
          <w:lang w:eastAsia="ja-JP"/>
        </w:rPr>
        <w:t xml:space="preserve"> critical to protect satellites from aggregated interferences as explained in Recommendation ITU</w:t>
      </w:r>
      <w:r w:rsidR="00F005B2" w:rsidRPr="005606C7">
        <w:rPr>
          <w:iCs/>
          <w:lang w:eastAsia="ja-JP"/>
        </w:rPr>
        <w:noBreakHyphen/>
      </w:r>
      <w:r w:rsidRPr="005606C7">
        <w:rPr>
          <w:iCs/>
          <w:lang w:eastAsia="ja-JP"/>
        </w:rPr>
        <w:t>R</w:t>
      </w:r>
      <w:r w:rsidR="00F005B2" w:rsidRPr="005606C7">
        <w:rPr>
          <w:iCs/>
          <w:lang w:eastAsia="ja-JP"/>
        </w:rPr>
        <w:t> </w:t>
      </w:r>
      <w:r w:rsidRPr="005606C7">
        <w:rPr>
          <w:iCs/>
          <w:lang w:eastAsia="ja-JP"/>
        </w:rPr>
        <w:t>SF.355 “</w:t>
      </w:r>
      <w:r w:rsidRPr="005606C7">
        <w:rPr>
          <w:i/>
          <w:iCs/>
          <w:lang w:eastAsia="ja-JP"/>
        </w:rPr>
        <w:t>Outside its main beam the gain of a terrestrial-station antenna is largely independent of the in-beam gain. Consequently, when the satellite is not in the main beam the interference may be controlled by limiting the total power fed to the antenna rather than by limiting the e.i.r.p. The total interference entering the main beam of the satellite antenna therefore depends upon the number of terrestrial stations within the coverage area and the average of their antenna gains in the direction of the satellite</w:t>
      </w:r>
      <w:r w:rsidRPr="005606C7">
        <w:rPr>
          <w:iCs/>
          <w:lang w:eastAsia="ja-JP"/>
        </w:rPr>
        <w:t>”</w:t>
      </w:r>
      <w:r w:rsidRPr="005606C7">
        <w:t>;</w:t>
      </w:r>
    </w:p>
    <w:p w14:paraId="41C1C44E" w14:textId="6A113310" w:rsidR="000A4F78" w:rsidRPr="005606C7" w:rsidRDefault="000A4F78" w:rsidP="000A4F78">
      <w:r w:rsidRPr="005606C7">
        <w:rPr>
          <w:i/>
        </w:rPr>
        <w:t>c)</w:t>
      </w:r>
      <w:r w:rsidRPr="005606C7">
        <w:tab/>
        <w:t>that WRC</w:t>
      </w:r>
      <w:r w:rsidR="00F005B2" w:rsidRPr="005606C7">
        <w:noBreakHyphen/>
      </w:r>
      <w:r w:rsidRPr="005606C7">
        <w:t>19 identified several frequency bands above 24</w:t>
      </w:r>
      <w:r w:rsidR="00F005B2" w:rsidRPr="005606C7">
        <w:t> </w:t>
      </w:r>
      <w:r w:rsidRPr="005606C7">
        <w:t xml:space="preserve">GHz for </w:t>
      </w:r>
      <w:r w:rsidR="003A090F" w:rsidRPr="005606C7">
        <w:t>International Mobile Telecommunications (</w:t>
      </w:r>
      <w:r w:rsidRPr="005606C7">
        <w:t>IMT</w:t>
      </w:r>
      <w:r w:rsidR="003A090F" w:rsidRPr="005606C7">
        <w:t>)</w:t>
      </w:r>
      <w:r w:rsidRPr="005606C7">
        <w:t>;</w:t>
      </w:r>
    </w:p>
    <w:p w14:paraId="4194CCF0" w14:textId="77777777" w:rsidR="000A4F78" w:rsidRPr="005606C7" w:rsidRDefault="000A4F78" w:rsidP="000A4F78">
      <w:r w:rsidRPr="005606C7">
        <w:rPr>
          <w:i/>
        </w:rPr>
        <w:t>d)</w:t>
      </w:r>
      <w:r w:rsidRPr="005606C7">
        <w:tab/>
        <w:t xml:space="preserve">that there are deployments of fixed and mobile systems, including IMT, using </w:t>
      </w:r>
      <w:r w:rsidRPr="005606C7">
        <w:rPr>
          <w:rFonts w:eastAsiaTheme="minorEastAsia"/>
          <w:szCs w:val="24"/>
        </w:rPr>
        <w:t>an antenna that consists of an array of active elements,</w:t>
      </w:r>
      <w:r w:rsidRPr="005606C7">
        <w:t xml:space="preserve"> in bands not identified for IMT;</w:t>
      </w:r>
    </w:p>
    <w:p w14:paraId="0486DC8C" w14:textId="77777777" w:rsidR="000A4F78" w:rsidRPr="005606C7" w:rsidRDefault="000A4F78" w:rsidP="000A4F78">
      <w:pPr>
        <w:rPr>
          <w:iCs/>
        </w:rPr>
      </w:pPr>
      <w:r w:rsidRPr="005606C7">
        <w:rPr>
          <w:i/>
          <w:iCs/>
        </w:rPr>
        <w:t>e)</w:t>
      </w:r>
      <w:r w:rsidRPr="005606C7">
        <w:rPr>
          <w:iCs/>
        </w:rPr>
        <w:tab/>
        <w:t>that the properties of higher frequency bands would better enable the use of advanced antenna systems, including multiple-input and multiple-output (MIMO) and beam-forming techniques;</w:t>
      </w:r>
    </w:p>
    <w:p w14:paraId="44C793AB" w14:textId="77777777" w:rsidR="000A4F78" w:rsidRPr="005606C7" w:rsidRDefault="000A4F78" w:rsidP="000A4F78">
      <w:r w:rsidRPr="005606C7">
        <w:rPr>
          <w:i/>
        </w:rPr>
        <w:t>f)</w:t>
      </w:r>
      <w:r w:rsidRPr="005606C7">
        <w:tab/>
        <w:t>the need to protect existing services and to allow for their continued development;</w:t>
      </w:r>
    </w:p>
    <w:p w14:paraId="3778D26D" w14:textId="72F306F4" w:rsidR="000A4F78" w:rsidRPr="005606C7" w:rsidRDefault="000A4F78" w:rsidP="000A4F78">
      <w:pPr>
        <w:rPr>
          <w:rFonts w:eastAsiaTheme="minorEastAsia"/>
          <w:szCs w:val="24"/>
        </w:rPr>
      </w:pPr>
      <w:r w:rsidRPr="005606C7">
        <w:rPr>
          <w:i/>
        </w:rPr>
        <w:t>g)</w:t>
      </w:r>
      <w:r w:rsidRPr="005606C7">
        <w:tab/>
        <w:t>that, as decided by WRC</w:t>
      </w:r>
      <w:r w:rsidR="00F005B2" w:rsidRPr="005606C7">
        <w:noBreakHyphen/>
      </w:r>
      <w:r w:rsidRPr="005606C7">
        <w:t>23, No.</w:t>
      </w:r>
      <w:r w:rsidR="00F005B2" w:rsidRPr="005606C7">
        <w:t> </w:t>
      </w:r>
      <w:r w:rsidRPr="005606C7">
        <w:rPr>
          <w:b/>
        </w:rPr>
        <w:t>21.5B</w:t>
      </w:r>
      <w:r w:rsidRPr="005606C7">
        <w:t xml:space="preserve"> applies to systems in the fixed and mobile services </w:t>
      </w:r>
      <w:r w:rsidRPr="005606C7">
        <w:rPr>
          <w:rFonts w:eastAsiaTheme="minorEastAsia"/>
          <w:szCs w:val="24"/>
        </w:rPr>
        <w:t>that use an antenna that consists of an array of active elements in the frequency band 24.45-29.5</w:t>
      </w:r>
      <w:r w:rsidR="00F005B2" w:rsidRPr="005606C7">
        <w:rPr>
          <w:rFonts w:eastAsiaTheme="minorEastAsia"/>
          <w:szCs w:val="24"/>
        </w:rPr>
        <w:t> </w:t>
      </w:r>
      <w:r w:rsidRPr="005606C7">
        <w:rPr>
          <w:rFonts w:eastAsiaTheme="minorEastAsia"/>
          <w:szCs w:val="24"/>
        </w:rPr>
        <w:t>GHz,</w:t>
      </w:r>
    </w:p>
    <w:p w14:paraId="312D6821" w14:textId="77777777" w:rsidR="000A4F78" w:rsidRPr="005606C7" w:rsidRDefault="000A4F78" w:rsidP="000A4F78">
      <w:pPr>
        <w:pStyle w:val="Call"/>
        <w:rPr>
          <w:lang w:eastAsia="nl-NL"/>
        </w:rPr>
      </w:pPr>
      <w:r w:rsidRPr="005606C7">
        <w:rPr>
          <w:lang w:eastAsia="nl-NL"/>
        </w:rPr>
        <w:t>invites administrations</w:t>
      </w:r>
    </w:p>
    <w:p w14:paraId="36008D3C" w14:textId="145CF2AE" w:rsidR="000A4F78" w:rsidRPr="005606C7" w:rsidRDefault="000A4F78" w:rsidP="005606C7">
      <w:r w:rsidRPr="005606C7">
        <w:t>to participate actively in these ITU</w:t>
      </w:r>
      <w:r w:rsidR="00F005B2" w:rsidRPr="005606C7">
        <w:noBreakHyphen/>
      </w:r>
      <w:r w:rsidRPr="005606C7">
        <w:t>R studies and provide the technical and operational characteristics of the systems involved by submitting contributions to the ITU</w:t>
      </w:r>
      <w:r w:rsidR="00F005B2" w:rsidRPr="005606C7">
        <w:noBreakHyphen/>
      </w:r>
      <w:r w:rsidRPr="005606C7">
        <w:t>R Sector,</w:t>
      </w:r>
    </w:p>
    <w:p w14:paraId="4E370911" w14:textId="58CB1C7A" w:rsidR="000A4F78" w:rsidRPr="005606C7" w:rsidRDefault="000A4F78" w:rsidP="000A4F78">
      <w:pPr>
        <w:pStyle w:val="Call"/>
      </w:pPr>
      <w:r w:rsidRPr="005606C7">
        <w:lastRenderedPageBreak/>
        <w:t>resolves to invite ITU</w:t>
      </w:r>
      <w:r w:rsidR="00F005B2" w:rsidRPr="005606C7">
        <w:noBreakHyphen/>
      </w:r>
      <w:r w:rsidRPr="005606C7">
        <w:t>R to conduct and complete in time for WRC</w:t>
      </w:r>
      <w:r w:rsidR="00F005B2" w:rsidRPr="005606C7">
        <w:noBreakHyphen/>
      </w:r>
      <w:r w:rsidRPr="005606C7">
        <w:t>27</w:t>
      </w:r>
    </w:p>
    <w:p w14:paraId="3063BBF3" w14:textId="1A04A01E" w:rsidR="000A4F78" w:rsidRPr="005606C7" w:rsidRDefault="000A4F78" w:rsidP="005606C7">
      <w:pPr>
        <w:rPr>
          <w:iCs/>
        </w:rPr>
      </w:pPr>
      <w:r w:rsidRPr="005606C7">
        <w:t xml:space="preserve">appropriate technical, operational and regulatory studies in order to effectively protect space station receivers from aggregate interference of stations in the fixed and mobile services including those </w:t>
      </w:r>
      <w:r w:rsidRPr="005606C7">
        <w:rPr>
          <w:rFonts w:eastAsiaTheme="minorEastAsia"/>
          <w:szCs w:val="24"/>
        </w:rPr>
        <w:t>that use an antenna that consists of an array of active elements, in the following frequency bands</w:t>
      </w:r>
      <w:r w:rsidRPr="005606C7">
        <w:rPr>
          <w:iCs/>
        </w:rPr>
        <w:t>:</w:t>
      </w:r>
    </w:p>
    <w:p w14:paraId="7D2E2CE5" w14:textId="2DE4CA61" w:rsidR="000A4F78" w:rsidRPr="005606C7" w:rsidRDefault="000A4F78" w:rsidP="000A4F78">
      <w:pPr>
        <w:pStyle w:val="enumlev1"/>
        <w:rPr>
          <w:rFonts w:eastAsia="MS Mincho"/>
        </w:rPr>
      </w:pPr>
      <w:r w:rsidRPr="005606C7">
        <w:rPr>
          <w:rFonts w:eastAsia="MS Mincho"/>
        </w:rPr>
        <w:t>–</w:t>
      </w:r>
      <w:r w:rsidRPr="005606C7">
        <w:rPr>
          <w:rFonts w:eastAsia="MS Mincho"/>
        </w:rPr>
        <w:tab/>
      </w:r>
      <w:r w:rsidRPr="005606C7">
        <w:rPr>
          <w:lang w:eastAsia="zh-CN"/>
        </w:rPr>
        <w:t>40-40.5</w:t>
      </w:r>
      <w:r w:rsidR="00F005B2" w:rsidRPr="005606C7">
        <w:rPr>
          <w:lang w:eastAsia="zh-CN"/>
        </w:rPr>
        <w:t> </w:t>
      </w:r>
      <w:r w:rsidRPr="005606C7">
        <w:rPr>
          <w:lang w:eastAsia="zh-CN"/>
        </w:rPr>
        <w:t>GHz, 42.5-43.5</w:t>
      </w:r>
      <w:r w:rsidR="00F005B2" w:rsidRPr="005606C7">
        <w:rPr>
          <w:lang w:eastAsia="zh-CN"/>
        </w:rPr>
        <w:t> </w:t>
      </w:r>
      <w:r w:rsidRPr="005606C7">
        <w:rPr>
          <w:lang w:eastAsia="zh-CN"/>
        </w:rPr>
        <w:t>GHz and 43.5-47</w:t>
      </w:r>
      <w:r w:rsidR="00F005B2" w:rsidRPr="005606C7">
        <w:rPr>
          <w:lang w:eastAsia="zh-CN"/>
        </w:rPr>
        <w:t> </w:t>
      </w:r>
      <w:r w:rsidRPr="005606C7">
        <w:rPr>
          <w:lang w:eastAsia="zh-CN"/>
        </w:rPr>
        <w:t>GHz</w:t>
      </w:r>
      <w:r w:rsidRPr="005606C7">
        <w:rPr>
          <w:rFonts w:eastAsia="MS Mincho"/>
        </w:rPr>
        <w:t>;</w:t>
      </w:r>
    </w:p>
    <w:p w14:paraId="6F7D424D" w14:textId="4AED0EC0" w:rsidR="000A4F78" w:rsidRPr="005606C7" w:rsidRDefault="000A4F78" w:rsidP="000A4F78">
      <w:pPr>
        <w:pStyle w:val="enumlev1"/>
        <w:rPr>
          <w:rFonts w:eastAsia="MS Mincho"/>
        </w:rPr>
      </w:pPr>
      <w:r w:rsidRPr="005606C7">
        <w:rPr>
          <w:rFonts w:eastAsia="MS Mincho"/>
        </w:rPr>
        <w:t>–</w:t>
      </w:r>
      <w:r w:rsidRPr="005606C7">
        <w:rPr>
          <w:rFonts w:eastAsia="MS Mincho"/>
        </w:rPr>
        <w:tab/>
      </w:r>
      <w:r w:rsidRPr="005606C7">
        <w:rPr>
          <w:lang w:eastAsia="zh-CN"/>
        </w:rPr>
        <w:t>47.2-50.2</w:t>
      </w:r>
      <w:r w:rsidR="00F005B2" w:rsidRPr="005606C7">
        <w:rPr>
          <w:lang w:eastAsia="zh-CN"/>
        </w:rPr>
        <w:t> </w:t>
      </w:r>
      <w:r w:rsidRPr="005606C7">
        <w:rPr>
          <w:lang w:eastAsia="zh-CN"/>
        </w:rPr>
        <w:t>GHz</w:t>
      </w:r>
      <w:r w:rsidRPr="005606C7">
        <w:rPr>
          <w:rFonts w:eastAsia="MS Mincho"/>
        </w:rPr>
        <w:t>;</w:t>
      </w:r>
    </w:p>
    <w:p w14:paraId="33658094" w14:textId="6F695E00" w:rsidR="000A4F78" w:rsidRPr="005606C7" w:rsidRDefault="000A4F78" w:rsidP="000A4F78">
      <w:pPr>
        <w:pStyle w:val="enumlev1"/>
        <w:rPr>
          <w:rFonts w:eastAsia="MS Mincho"/>
        </w:rPr>
      </w:pPr>
      <w:r w:rsidRPr="005606C7">
        <w:rPr>
          <w:rFonts w:eastAsia="MS Mincho"/>
        </w:rPr>
        <w:t>–</w:t>
      </w:r>
      <w:r w:rsidRPr="005606C7">
        <w:rPr>
          <w:rFonts w:eastAsia="MS Mincho"/>
        </w:rPr>
        <w:tab/>
      </w:r>
      <w:r w:rsidRPr="005606C7">
        <w:rPr>
          <w:lang w:eastAsia="zh-CN"/>
        </w:rPr>
        <w:t>50.4-52.4</w:t>
      </w:r>
      <w:r w:rsidR="00F005B2" w:rsidRPr="005606C7">
        <w:rPr>
          <w:lang w:eastAsia="zh-CN"/>
        </w:rPr>
        <w:t> </w:t>
      </w:r>
      <w:r w:rsidRPr="005606C7">
        <w:rPr>
          <w:lang w:eastAsia="zh-CN"/>
        </w:rPr>
        <w:t>GHz</w:t>
      </w:r>
      <w:r w:rsidR="00E2363B" w:rsidRPr="005606C7">
        <w:rPr>
          <w:rFonts w:eastAsia="MS Mincho"/>
        </w:rPr>
        <w:t>,</w:t>
      </w:r>
    </w:p>
    <w:p w14:paraId="58028A4D" w14:textId="77777777" w:rsidR="000A4F78" w:rsidRPr="005606C7" w:rsidRDefault="000A4F78" w:rsidP="000A4F78">
      <w:pPr>
        <w:pStyle w:val="Call"/>
      </w:pPr>
      <w:r w:rsidRPr="005606C7">
        <w:t>resolves to invite the 2027 World Radiocommunication Conference</w:t>
      </w:r>
    </w:p>
    <w:p w14:paraId="74809252" w14:textId="14E5B36C" w:rsidR="000A4F78" w:rsidRPr="005606C7" w:rsidRDefault="000A4F78" w:rsidP="000A4F78">
      <w:r w:rsidRPr="005606C7">
        <w:t>to consider, based on the results of the above studies, regulatory actions, in particular update of Table</w:t>
      </w:r>
      <w:r w:rsidR="00F005B2" w:rsidRPr="005606C7">
        <w:t> </w:t>
      </w:r>
      <w:r w:rsidRPr="005606C7">
        <w:rPr>
          <w:b/>
          <w:bCs/>
        </w:rPr>
        <w:t>21</w:t>
      </w:r>
      <w:r w:rsidR="00F005B2" w:rsidRPr="005606C7">
        <w:rPr>
          <w:b/>
          <w:bCs/>
        </w:rPr>
        <w:noBreakHyphen/>
      </w:r>
      <w:r w:rsidRPr="005606C7">
        <w:rPr>
          <w:b/>
          <w:bCs/>
        </w:rPr>
        <w:t>2</w:t>
      </w:r>
      <w:r w:rsidRPr="005606C7">
        <w:t>, required for the protection of space stations above 30</w:t>
      </w:r>
      <w:r w:rsidR="00F005B2" w:rsidRPr="005606C7">
        <w:t> </w:t>
      </w:r>
      <w:r w:rsidRPr="005606C7">
        <w:t xml:space="preserve">GHz, in response to the studies listed in </w:t>
      </w:r>
      <w:r w:rsidRPr="005606C7">
        <w:rPr>
          <w:i/>
          <w:iCs/>
        </w:rPr>
        <w:t>resolves to invite ITU</w:t>
      </w:r>
      <w:r w:rsidR="00F005B2" w:rsidRPr="005606C7">
        <w:rPr>
          <w:i/>
          <w:iCs/>
        </w:rPr>
        <w:noBreakHyphen/>
      </w:r>
      <w:r w:rsidRPr="005606C7">
        <w:rPr>
          <w:i/>
          <w:iCs/>
        </w:rPr>
        <w:t>R</w:t>
      </w:r>
      <w:r w:rsidRPr="005606C7">
        <w:t>.</w:t>
      </w:r>
    </w:p>
    <w:p w14:paraId="38382B68" w14:textId="77777777" w:rsidR="00F827C7" w:rsidRPr="005606C7" w:rsidRDefault="00F827C7">
      <w:pPr>
        <w:pStyle w:val="Reasons"/>
      </w:pPr>
    </w:p>
    <w:p w14:paraId="6048303C" w14:textId="6F28E812" w:rsidR="000A4F78" w:rsidRPr="005606C7" w:rsidRDefault="000A4F78" w:rsidP="000A4F78">
      <w:r w:rsidRPr="005606C7">
        <w:br w:type="page"/>
      </w:r>
    </w:p>
    <w:p w14:paraId="3307E7D3" w14:textId="7FFA8E81" w:rsidR="007777B3" w:rsidRPr="005606C7" w:rsidRDefault="007777B3" w:rsidP="007777B3">
      <w:pPr>
        <w:pStyle w:val="Annextitle"/>
      </w:pPr>
      <w:r w:rsidRPr="005606C7">
        <w:lastRenderedPageBreak/>
        <w:t>Proposals on a preliminary agenda item for WRC</w:t>
      </w:r>
      <w:r w:rsidR="00F005B2" w:rsidRPr="005606C7">
        <w:noBreakHyphen/>
      </w:r>
      <w:r w:rsidRPr="005606C7">
        <w:t>27</w:t>
      </w:r>
    </w:p>
    <w:tbl>
      <w:tblPr>
        <w:tblW w:w="9317" w:type="dxa"/>
        <w:tblInd w:w="99" w:type="dxa"/>
        <w:tblBorders>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205"/>
        <w:gridCol w:w="5112"/>
      </w:tblGrid>
      <w:tr w:rsidR="00D16294" w:rsidRPr="005606C7" w14:paraId="15D44CAC" w14:textId="77777777" w:rsidTr="003955B4">
        <w:tc>
          <w:tcPr>
            <w:tcW w:w="9317" w:type="dxa"/>
            <w:gridSpan w:val="2"/>
            <w:tcBorders>
              <w:top w:val="nil"/>
              <w:bottom w:val="nil"/>
            </w:tcBorders>
          </w:tcPr>
          <w:p w14:paraId="128BBCBD" w14:textId="4CA0CF86" w:rsidR="00D16294" w:rsidRPr="005606C7" w:rsidRDefault="00D16294" w:rsidP="003955B4">
            <w:pPr>
              <w:spacing w:beforeLines="50" w:afterLines="50" w:after="120"/>
              <w:rPr>
                <w:rFonts w:eastAsia="MS Mincho"/>
                <w:kern w:val="2"/>
                <w:lang w:eastAsia="ja-JP"/>
              </w:rPr>
            </w:pPr>
            <w:r w:rsidRPr="005606C7">
              <w:rPr>
                <w:rFonts w:eastAsia="MS Gothic"/>
                <w:b/>
                <w:bCs/>
                <w:i/>
                <w:iCs/>
                <w:kern w:val="2"/>
              </w:rPr>
              <w:t xml:space="preserve">Subject: </w:t>
            </w:r>
            <w:r w:rsidR="007B2B1C" w:rsidRPr="005606C7">
              <w:t>P</w:t>
            </w:r>
            <w:r w:rsidR="00E3492D" w:rsidRPr="005606C7">
              <w:t>rotection of satellite reception from aggregate interference of fixed and mobile services in frequency bands above 30</w:t>
            </w:r>
            <w:r w:rsidR="00F005B2" w:rsidRPr="005606C7">
              <w:t> </w:t>
            </w:r>
            <w:r w:rsidR="00E3492D" w:rsidRPr="005606C7">
              <w:t>GHz</w:t>
            </w:r>
          </w:p>
        </w:tc>
      </w:tr>
      <w:tr w:rsidR="00D16294" w:rsidRPr="005606C7" w14:paraId="42A827A2" w14:textId="77777777" w:rsidTr="003955B4">
        <w:tc>
          <w:tcPr>
            <w:tcW w:w="9317" w:type="dxa"/>
            <w:gridSpan w:val="2"/>
            <w:tcBorders>
              <w:top w:val="nil"/>
            </w:tcBorders>
          </w:tcPr>
          <w:p w14:paraId="0C8E1AD5" w14:textId="59D8D9BD" w:rsidR="00D16294" w:rsidRPr="005606C7" w:rsidRDefault="00D16294" w:rsidP="003955B4">
            <w:pPr>
              <w:spacing w:beforeLines="50" w:afterLines="50" w:after="120"/>
              <w:rPr>
                <w:rFonts w:eastAsia="MS Gothic"/>
                <w:b/>
                <w:bCs/>
                <w:kern w:val="2"/>
              </w:rPr>
            </w:pPr>
            <w:r w:rsidRPr="005606C7">
              <w:rPr>
                <w:rFonts w:eastAsia="MS Gothic"/>
                <w:b/>
                <w:bCs/>
                <w:i/>
                <w:kern w:val="2"/>
              </w:rPr>
              <w:t xml:space="preserve">Origin: </w:t>
            </w:r>
            <w:r w:rsidR="00DD6CF8" w:rsidRPr="005606C7">
              <w:t>Austria, Belgium, Croatia, France, Germany (Republic of), Hungary, Italy, Luxembourg, Malta, Montenegro, Netherlands, Norway, Poland, Portugal, Romania, Spain, Switzerland</w:t>
            </w:r>
          </w:p>
        </w:tc>
      </w:tr>
      <w:tr w:rsidR="00D16294" w:rsidRPr="005606C7" w14:paraId="03C0E586" w14:textId="77777777" w:rsidTr="003955B4">
        <w:tc>
          <w:tcPr>
            <w:tcW w:w="9317" w:type="dxa"/>
            <w:gridSpan w:val="2"/>
          </w:tcPr>
          <w:p w14:paraId="48054BEA" w14:textId="77777777" w:rsidR="00D16294" w:rsidRPr="005606C7" w:rsidRDefault="00D16294" w:rsidP="003955B4">
            <w:pPr>
              <w:spacing w:beforeLines="50" w:afterLines="50" w:after="120"/>
              <w:rPr>
                <w:rFonts w:eastAsia="MS Gothic"/>
                <w:b/>
                <w:bCs/>
                <w:i/>
                <w:iCs/>
                <w:kern w:val="2"/>
                <w:lang w:eastAsia="ja-JP"/>
              </w:rPr>
            </w:pPr>
            <w:r w:rsidRPr="005606C7">
              <w:rPr>
                <w:rFonts w:eastAsia="MS Gothic"/>
                <w:b/>
                <w:bCs/>
                <w:i/>
                <w:iCs/>
                <w:kern w:val="2"/>
              </w:rPr>
              <w:t>Proposal:</w:t>
            </w:r>
          </w:p>
          <w:p w14:paraId="0E3E3697" w14:textId="59160658" w:rsidR="00D16294" w:rsidRPr="005606C7" w:rsidRDefault="00050AFF" w:rsidP="003955B4">
            <w:pPr>
              <w:spacing w:beforeLines="50" w:afterLines="50" w:after="120"/>
              <w:rPr>
                <w:rFonts w:eastAsia="SimSun"/>
                <w:i/>
                <w:kern w:val="2"/>
                <w:lang w:eastAsia="ko-KR"/>
              </w:rPr>
            </w:pPr>
            <w:r w:rsidRPr="005606C7">
              <w:t xml:space="preserve">to consider appropriate provisions to protect satellite reception from aggregate interference of fixed and mobile services including systems </w:t>
            </w:r>
            <w:r w:rsidRPr="005606C7">
              <w:rPr>
                <w:rFonts w:eastAsiaTheme="minorEastAsia"/>
                <w:szCs w:val="24"/>
              </w:rPr>
              <w:t>that use an antenna that consists of an array of active elements, in some frequency bands above 30</w:t>
            </w:r>
            <w:r w:rsidR="00F005B2" w:rsidRPr="005606C7">
              <w:rPr>
                <w:rFonts w:eastAsiaTheme="minorEastAsia"/>
                <w:szCs w:val="24"/>
              </w:rPr>
              <w:t> </w:t>
            </w:r>
            <w:r w:rsidRPr="005606C7">
              <w:rPr>
                <w:rFonts w:eastAsiaTheme="minorEastAsia"/>
                <w:szCs w:val="24"/>
              </w:rPr>
              <w:t xml:space="preserve">GHz </w:t>
            </w:r>
            <w:r w:rsidRPr="005606C7">
              <w:t>in accordance with Resolution </w:t>
            </w:r>
            <w:r w:rsidRPr="005606C7">
              <w:rPr>
                <w:b/>
                <w:bCs/>
              </w:rPr>
              <w:t>[</w:t>
            </w:r>
            <w:r w:rsidR="00F7759B" w:rsidRPr="005606C7">
              <w:rPr>
                <w:b/>
                <w:bCs/>
              </w:rPr>
              <w:t>MCP</w:t>
            </w:r>
            <w:r w:rsidRPr="005606C7">
              <w:rPr>
                <w:b/>
                <w:bCs/>
              </w:rPr>
              <w:t>- A10-Table</w:t>
            </w:r>
            <w:r w:rsidR="00F7759B" w:rsidRPr="005606C7">
              <w:rPr>
                <w:b/>
                <w:bCs/>
              </w:rPr>
              <w:t xml:space="preserve"> </w:t>
            </w:r>
            <w:r w:rsidRPr="005606C7">
              <w:rPr>
                <w:b/>
                <w:bCs/>
              </w:rPr>
              <w:t>21-2](WRC-23)</w:t>
            </w:r>
            <w:r w:rsidRPr="005606C7">
              <w:t>.</w:t>
            </w:r>
          </w:p>
        </w:tc>
      </w:tr>
      <w:tr w:rsidR="00D16294" w:rsidRPr="005606C7" w14:paraId="5B602431" w14:textId="77777777" w:rsidTr="003955B4">
        <w:tc>
          <w:tcPr>
            <w:tcW w:w="9317" w:type="dxa"/>
            <w:gridSpan w:val="2"/>
          </w:tcPr>
          <w:p w14:paraId="1A31EEAB" w14:textId="77777777" w:rsidR="00D16294" w:rsidRPr="005606C7" w:rsidRDefault="00D16294" w:rsidP="00F005B2">
            <w:pPr>
              <w:pStyle w:val="Reasons"/>
              <w:rPr>
                <w:rFonts w:eastAsia="SimSun"/>
                <w:b/>
                <w:bCs/>
                <w:i/>
                <w:iCs/>
                <w:lang w:eastAsia="ko-KR"/>
              </w:rPr>
            </w:pPr>
            <w:r w:rsidRPr="005606C7">
              <w:rPr>
                <w:rFonts w:eastAsia="MS Gothic"/>
                <w:b/>
                <w:bCs/>
                <w:i/>
                <w:iCs/>
                <w:lang w:eastAsia="ko-KR"/>
              </w:rPr>
              <w:t>Background/</w:t>
            </w:r>
            <w:r w:rsidRPr="005606C7">
              <w:rPr>
                <w:rFonts w:eastAsia="MS Gothic"/>
                <w:b/>
                <w:bCs/>
                <w:i/>
                <w:iCs/>
                <w:lang w:eastAsia="ja-JP"/>
              </w:rPr>
              <w:t>r</w:t>
            </w:r>
            <w:r w:rsidRPr="005606C7">
              <w:rPr>
                <w:rFonts w:eastAsia="MS Gothic"/>
                <w:b/>
                <w:bCs/>
                <w:i/>
                <w:iCs/>
                <w:lang w:eastAsia="ko-KR"/>
              </w:rPr>
              <w:t>eason:</w:t>
            </w:r>
          </w:p>
          <w:p w14:paraId="4477A4F0" w14:textId="5707ED94" w:rsidR="00F03A06" w:rsidRPr="005606C7" w:rsidRDefault="00F03A06" w:rsidP="00F005B2">
            <w:pPr>
              <w:pStyle w:val="Reasons"/>
            </w:pPr>
            <w:r w:rsidRPr="005606C7">
              <w:t>Document</w:t>
            </w:r>
            <w:r w:rsidR="00F005B2" w:rsidRPr="005606C7">
              <w:t> </w:t>
            </w:r>
            <w:r w:rsidRPr="005606C7">
              <w:t>550 (WRC</w:t>
            </w:r>
            <w:r w:rsidR="00F005B2" w:rsidRPr="005606C7">
              <w:noBreakHyphen/>
            </w:r>
            <w:r w:rsidRPr="005606C7">
              <w:t>19) invited ITU</w:t>
            </w:r>
            <w:r w:rsidR="00F005B2" w:rsidRPr="005606C7">
              <w:noBreakHyphen/>
            </w:r>
            <w:r w:rsidRPr="005606C7">
              <w:t xml:space="preserve">R </w:t>
            </w:r>
            <w:r w:rsidRPr="005606C7">
              <w:rPr>
                <w:rFonts w:eastAsiaTheme="minorEastAsia"/>
              </w:rPr>
              <w:t>“to study, as a matter of urgency, the applicability of the limit specified in No. </w:t>
            </w:r>
            <w:r w:rsidRPr="005606C7">
              <w:rPr>
                <w:rFonts w:eastAsiaTheme="minorEastAsia"/>
                <w:b/>
                <w:bCs/>
              </w:rPr>
              <w:t>21.5</w:t>
            </w:r>
            <w:r w:rsidRPr="005606C7">
              <w:rPr>
                <w:rFonts w:eastAsiaTheme="minorEastAsia"/>
              </w:rPr>
              <w:t xml:space="preserve"> of the Radio Regulations to IMT stations that use an antenna that consists of an array of active elements, with a view to recommend ways for its possible replacement or revision for such stations, as well as any necessary updates to Table</w:t>
            </w:r>
            <w:r w:rsidR="00F005B2" w:rsidRPr="005606C7">
              <w:rPr>
                <w:rFonts w:eastAsiaTheme="minorEastAsia"/>
              </w:rPr>
              <w:t> </w:t>
            </w:r>
            <w:r w:rsidRPr="005606C7">
              <w:rPr>
                <w:rFonts w:eastAsiaTheme="minorEastAsia"/>
                <w:b/>
                <w:bCs/>
              </w:rPr>
              <w:t xml:space="preserve">21-2 </w:t>
            </w:r>
            <w:r w:rsidRPr="005606C7">
              <w:rPr>
                <w:rFonts w:eastAsiaTheme="minorEastAsia"/>
              </w:rPr>
              <w:t>related to terrestrial and space services sharing frequency bands.”</w:t>
            </w:r>
          </w:p>
          <w:p w14:paraId="3CFF5E95" w14:textId="7DE9264D" w:rsidR="00F03A06" w:rsidRPr="005606C7" w:rsidRDefault="00F03A06" w:rsidP="00F005B2">
            <w:pPr>
              <w:pStyle w:val="Reasons"/>
            </w:pPr>
            <w:r w:rsidRPr="005606C7">
              <w:t>In response to this document, CEPT proposed that WRC</w:t>
            </w:r>
            <w:r w:rsidR="00F005B2" w:rsidRPr="005606C7">
              <w:noBreakHyphen/>
            </w:r>
            <w:r w:rsidRPr="005606C7">
              <w:t xml:space="preserve">23 would insert a new provision </w:t>
            </w:r>
            <w:r w:rsidR="006A4846" w:rsidRPr="005606C7">
              <w:t>No. </w:t>
            </w:r>
            <w:r w:rsidRPr="005606C7">
              <w:rPr>
                <w:b/>
                <w:bCs/>
              </w:rPr>
              <w:t>21.5B</w:t>
            </w:r>
            <w:r w:rsidRPr="005606C7">
              <w:t xml:space="preserve"> to use TRP in the </w:t>
            </w:r>
            <w:r w:rsidR="006A4846" w:rsidRPr="005606C7">
              <w:t xml:space="preserve">frequency </w:t>
            </w:r>
            <w:r w:rsidRPr="005606C7">
              <w:t>band 24.45-29.5</w:t>
            </w:r>
            <w:r w:rsidR="00F005B2" w:rsidRPr="005606C7">
              <w:t> </w:t>
            </w:r>
            <w:r w:rsidRPr="005606C7">
              <w:t xml:space="preserve">GHz in the application of </w:t>
            </w:r>
            <w:r w:rsidR="006A4846" w:rsidRPr="005606C7">
              <w:t>No.</w:t>
            </w:r>
            <w:r w:rsidR="00F005B2" w:rsidRPr="005606C7">
              <w:t> </w:t>
            </w:r>
            <w:r w:rsidRPr="005606C7">
              <w:rPr>
                <w:b/>
                <w:bCs/>
              </w:rPr>
              <w:t>21.5</w:t>
            </w:r>
            <w:r w:rsidRPr="005606C7">
              <w:t xml:space="preserve"> to fixed and mobile service stations using AAS and to modify Table </w:t>
            </w:r>
            <w:r w:rsidRPr="005606C7">
              <w:rPr>
                <w:b/>
                <w:bCs/>
              </w:rPr>
              <w:t>21-2</w:t>
            </w:r>
            <w:r w:rsidRPr="005606C7">
              <w:t xml:space="preserve"> accordingly. </w:t>
            </w:r>
          </w:p>
          <w:p w14:paraId="5793C7AD" w14:textId="16813238" w:rsidR="00D16294" w:rsidRPr="005606C7" w:rsidRDefault="00F03A06" w:rsidP="00F005B2">
            <w:pPr>
              <w:pStyle w:val="Reasons"/>
              <w:rPr>
                <w:rFonts w:eastAsia="MS Mincho"/>
                <w:lang w:eastAsia="ja-JP"/>
              </w:rPr>
            </w:pPr>
            <w:r w:rsidRPr="005606C7">
              <w:t>Due to the outstanding issues during that study cycle related to the applicable frequency bands and the inconsistency of the Table</w:t>
            </w:r>
            <w:r w:rsidR="00F005B2" w:rsidRPr="005606C7">
              <w:t> </w:t>
            </w:r>
            <w:r w:rsidRPr="005606C7">
              <w:rPr>
                <w:b/>
                <w:bCs/>
              </w:rPr>
              <w:t>21-2</w:t>
            </w:r>
            <w:r w:rsidRPr="005606C7">
              <w:t xml:space="preserve"> which is limited to frequency band below 30</w:t>
            </w:r>
            <w:r w:rsidR="00F005B2" w:rsidRPr="005606C7">
              <w:t> </w:t>
            </w:r>
            <w:r w:rsidRPr="005606C7">
              <w:t>GHz (except 51.4-52.4</w:t>
            </w:r>
            <w:r w:rsidR="00F005B2" w:rsidRPr="005606C7">
              <w:t> </w:t>
            </w:r>
            <w:r w:rsidRPr="005606C7">
              <w:t>GHz, due to the new allocation decided by WRC</w:t>
            </w:r>
            <w:r w:rsidR="00F005B2" w:rsidRPr="005606C7">
              <w:noBreakHyphen/>
            </w:r>
            <w:r w:rsidRPr="005606C7">
              <w:t>19), it is necessary to consider an update of Table</w:t>
            </w:r>
            <w:r w:rsidR="00F005B2" w:rsidRPr="005606C7">
              <w:t> </w:t>
            </w:r>
            <w:r w:rsidRPr="005606C7">
              <w:rPr>
                <w:b/>
                <w:bCs/>
              </w:rPr>
              <w:t>21-2</w:t>
            </w:r>
            <w:r w:rsidRPr="005606C7">
              <w:t>.</w:t>
            </w:r>
          </w:p>
        </w:tc>
      </w:tr>
      <w:tr w:rsidR="00D16294" w:rsidRPr="005606C7" w14:paraId="7266C8D9" w14:textId="77777777" w:rsidTr="003955B4">
        <w:tc>
          <w:tcPr>
            <w:tcW w:w="9317" w:type="dxa"/>
            <w:gridSpan w:val="2"/>
          </w:tcPr>
          <w:p w14:paraId="12595EAB" w14:textId="77777777" w:rsidR="00D16294" w:rsidRPr="005606C7" w:rsidRDefault="00D16294" w:rsidP="003955B4">
            <w:pPr>
              <w:spacing w:beforeLines="50" w:afterLines="50" w:after="120"/>
              <w:rPr>
                <w:rFonts w:eastAsia="SimSun"/>
                <w:kern w:val="2"/>
                <w:lang w:eastAsia="zh-CN"/>
              </w:rPr>
            </w:pPr>
            <w:r w:rsidRPr="005606C7">
              <w:rPr>
                <w:rFonts w:eastAsia="MS Gothic"/>
                <w:b/>
                <w:bCs/>
                <w:i/>
                <w:iCs/>
                <w:kern w:val="2"/>
              </w:rPr>
              <w:t>Radio</w:t>
            </w:r>
            <w:r w:rsidRPr="005606C7">
              <w:rPr>
                <w:rFonts w:eastAsia="MS Gothic"/>
                <w:b/>
                <w:bCs/>
                <w:i/>
                <w:iCs/>
                <w:kern w:val="2"/>
                <w:lang w:eastAsia="ja-JP"/>
              </w:rPr>
              <w:t>communication</w:t>
            </w:r>
            <w:r w:rsidRPr="005606C7">
              <w:rPr>
                <w:rFonts w:eastAsia="MS Gothic"/>
                <w:b/>
                <w:bCs/>
                <w:i/>
                <w:iCs/>
                <w:kern w:val="2"/>
              </w:rPr>
              <w:t xml:space="preserve"> Services concerned:</w:t>
            </w:r>
          </w:p>
          <w:p w14:paraId="58092895" w14:textId="4C8B3FFD" w:rsidR="00D16294" w:rsidRPr="005606C7" w:rsidRDefault="00432644" w:rsidP="00D8527D">
            <w:pPr>
              <w:spacing w:after="120"/>
            </w:pPr>
            <w:r w:rsidRPr="005606C7">
              <w:rPr>
                <w:lang w:eastAsia="ko-KR"/>
              </w:rPr>
              <w:t xml:space="preserve">Fixed-satellite, </w:t>
            </w:r>
            <w:r w:rsidR="0033631A" w:rsidRPr="005606C7">
              <w:rPr>
                <w:lang w:eastAsia="ko-KR"/>
              </w:rPr>
              <w:t>i</w:t>
            </w:r>
            <w:r w:rsidRPr="005606C7">
              <w:rPr>
                <w:lang w:eastAsia="ko-KR"/>
              </w:rPr>
              <w:t xml:space="preserve">nter-satellite, </w:t>
            </w:r>
            <w:r w:rsidR="0033631A" w:rsidRPr="005606C7">
              <w:rPr>
                <w:lang w:eastAsia="ko-KR"/>
              </w:rPr>
              <w:t>m</w:t>
            </w:r>
            <w:r w:rsidRPr="005606C7">
              <w:rPr>
                <w:lang w:eastAsia="ko-KR"/>
              </w:rPr>
              <w:t xml:space="preserve">obile, </w:t>
            </w:r>
            <w:r w:rsidR="0033631A" w:rsidRPr="005606C7">
              <w:rPr>
                <w:lang w:eastAsia="ko-KR"/>
              </w:rPr>
              <w:t>m</w:t>
            </w:r>
            <w:r w:rsidRPr="005606C7">
              <w:rPr>
                <w:lang w:eastAsia="ko-KR"/>
              </w:rPr>
              <w:t>obile-satellite</w:t>
            </w:r>
          </w:p>
        </w:tc>
      </w:tr>
      <w:tr w:rsidR="00D16294" w:rsidRPr="005606C7" w14:paraId="2AE53C5C" w14:textId="77777777" w:rsidTr="003955B4">
        <w:trPr>
          <w:trHeight w:val="941"/>
        </w:trPr>
        <w:tc>
          <w:tcPr>
            <w:tcW w:w="9317" w:type="dxa"/>
            <w:gridSpan w:val="2"/>
          </w:tcPr>
          <w:p w14:paraId="6C341C2C" w14:textId="77777777" w:rsidR="00D16294" w:rsidRPr="005606C7" w:rsidRDefault="00D16294" w:rsidP="003955B4">
            <w:pPr>
              <w:spacing w:beforeLines="50" w:afterLines="50" w:after="120"/>
              <w:rPr>
                <w:rFonts w:eastAsia="MS Gothic"/>
                <w:b/>
                <w:bCs/>
                <w:i/>
                <w:iCs/>
                <w:kern w:val="2"/>
              </w:rPr>
            </w:pPr>
            <w:r w:rsidRPr="005606C7">
              <w:rPr>
                <w:rFonts w:eastAsia="MS Gothic"/>
                <w:b/>
                <w:bCs/>
                <w:i/>
                <w:iCs/>
                <w:kern w:val="2"/>
              </w:rPr>
              <w:t xml:space="preserve">Indication of possible difficulties: </w:t>
            </w:r>
          </w:p>
          <w:p w14:paraId="2629C131" w14:textId="25102461" w:rsidR="00D16294" w:rsidRPr="005606C7" w:rsidRDefault="002B25FA" w:rsidP="002B25FA">
            <w:pPr>
              <w:rPr>
                <w:rFonts w:eastAsia="Yu Mincho"/>
                <w:i/>
                <w:kern w:val="2"/>
                <w:lang w:eastAsia="ja-JP"/>
              </w:rPr>
            </w:pPr>
            <w:r w:rsidRPr="005606C7">
              <w:t>None currently identified</w:t>
            </w:r>
          </w:p>
        </w:tc>
      </w:tr>
      <w:tr w:rsidR="00D16294" w:rsidRPr="005606C7" w14:paraId="0F666DAA" w14:textId="77777777" w:rsidTr="003955B4">
        <w:tc>
          <w:tcPr>
            <w:tcW w:w="9317" w:type="dxa"/>
            <w:gridSpan w:val="2"/>
          </w:tcPr>
          <w:p w14:paraId="37495ACE" w14:textId="77777777" w:rsidR="00D16294" w:rsidRPr="005606C7" w:rsidRDefault="00D16294" w:rsidP="003955B4">
            <w:pPr>
              <w:spacing w:beforeLines="50" w:afterLines="50" w:after="120"/>
              <w:rPr>
                <w:rFonts w:eastAsia="MS Gothic"/>
                <w:kern w:val="2"/>
                <w:lang w:eastAsia="ja-JP"/>
              </w:rPr>
            </w:pPr>
            <w:r w:rsidRPr="005606C7">
              <w:rPr>
                <w:rFonts w:eastAsia="MS Gothic"/>
                <w:b/>
                <w:bCs/>
                <w:i/>
                <w:iCs/>
                <w:kern w:val="2"/>
              </w:rPr>
              <w:t>Previous/ongoing studies on the issue:</w:t>
            </w:r>
          </w:p>
          <w:p w14:paraId="1D60388E" w14:textId="4C92A9D5" w:rsidR="00D16294" w:rsidRPr="005606C7" w:rsidRDefault="007C3116" w:rsidP="007C3116">
            <w:pPr>
              <w:spacing w:after="120"/>
              <w:rPr>
                <w:rFonts w:eastAsia="MS PMincho"/>
                <w:kern w:val="2"/>
                <w:lang w:eastAsia="ja-JP"/>
              </w:rPr>
            </w:pPr>
            <w:r w:rsidRPr="005606C7">
              <w:t>Studies related to Document</w:t>
            </w:r>
            <w:r w:rsidR="00F005B2" w:rsidRPr="005606C7">
              <w:t> </w:t>
            </w:r>
            <w:r w:rsidRPr="005606C7">
              <w:t>550 (WRC</w:t>
            </w:r>
            <w:r w:rsidR="00F005B2" w:rsidRPr="005606C7">
              <w:noBreakHyphen/>
            </w:r>
            <w:r w:rsidRPr="005606C7">
              <w:t>19) as well as studies in preparation of WRC</w:t>
            </w:r>
            <w:r w:rsidR="00F005B2" w:rsidRPr="005606C7">
              <w:noBreakHyphen/>
            </w:r>
            <w:r w:rsidRPr="005606C7">
              <w:t xml:space="preserve">19 </w:t>
            </w:r>
            <w:r w:rsidR="00F126D5" w:rsidRPr="005606C7">
              <w:t>a</w:t>
            </w:r>
            <w:r w:rsidRPr="005606C7">
              <w:t xml:space="preserve">genda </w:t>
            </w:r>
            <w:r w:rsidR="00F126D5" w:rsidRPr="005606C7">
              <w:t>i</w:t>
            </w:r>
            <w:r w:rsidRPr="005606C7">
              <w:t>tem</w:t>
            </w:r>
            <w:r w:rsidR="00F005B2" w:rsidRPr="005606C7">
              <w:t> </w:t>
            </w:r>
            <w:r w:rsidRPr="005606C7">
              <w:t>1.13</w:t>
            </w:r>
          </w:p>
        </w:tc>
      </w:tr>
      <w:tr w:rsidR="00D16294" w:rsidRPr="005606C7" w14:paraId="2EC5629B" w14:textId="77777777" w:rsidTr="003955B4">
        <w:tc>
          <w:tcPr>
            <w:tcW w:w="4205" w:type="dxa"/>
          </w:tcPr>
          <w:p w14:paraId="6789D092" w14:textId="77777777" w:rsidR="00D16294" w:rsidRPr="005606C7" w:rsidRDefault="00D16294" w:rsidP="003955B4">
            <w:pPr>
              <w:spacing w:beforeLines="50" w:afterLines="50" w:after="120"/>
              <w:rPr>
                <w:rFonts w:eastAsia="MS Gothic"/>
                <w:b/>
                <w:bCs/>
                <w:i/>
                <w:iCs/>
                <w:kern w:val="2"/>
                <w:lang w:eastAsia="ja-JP"/>
              </w:rPr>
            </w:pPr>
            <w:r w:rsidRPr="005606C7">
              <w:rPr>
                <w:rFonts w:eastAsia="MS Gothic"/>
                <w:b/>
                <w:bCs/>
                <w:i/>
                <w:iCs/>
                <w:kern w:val="2"/>
              </w:rPr>
              <w:t>Studies to be carried out by:</w:t>
            </w:r>
          </w:p>
          <w:p w14:paraId="2D136BA0" w14:textId="3746EA8F" w:rsidR="00D16294" w:rsidRPr="005606C7" w:rsidRDefault="00D16294" w:rsidP="007351D1">
            <w:pPr>
              <w:rPr>
                <w:rFonts w:eastAsia="SimSun"/>
                <w:bCs/>
                <w:kern w:val="2"/>
                <w:lang w:eastAsia="ko-KR"/>
              </w:rPr>
            </w:pPr>
            <w:r w:rsidRPr="005606C7">
              <w:rPr>
                <w:rFonts w:eastAsia="SimSun"/>
                <w:bCs/>
                <w:kern w:val="2"/>
                <w:lang w:eastAsia="ko-KR"/>
              </w:rPr>
              <w:t>ITU</w:t>
            </w:r>
            <w:r w:rsidR="00F005B2" w:rsidRPr="005606C7">
              <w:rPr>
                <w:rFonts w:eastAsia="SimSun"/>
                <w:bCs/>
                <w:kern w:val="2"/>
                <w:lang w:eastAsia="ko-KR"/>
              </w:rPr>
              <w:noBreakHyphen/>
            </w:r>
            <w:r w:rsidRPr="005606C7">
              <w:rPr>
                <w:rFonts w:eastAsia="SimSun"/>
                <w:bCs/>
                <w:kern w:val="2"/>
                <w:lang w:eastAsia="ko-KR"/>
              </w:rPr>
              <w:t>R WP</w:t>
            </w:r>
            <w:r w:rsidR="00F005B2" w:rsidRPr="005606C7">
              <w:rPr>
                <w:rFonts w:eastAsia="SimSun"/>
                <w:bCs/>
                <w:kern w:val="2"/>
                <w:lang w:eastAsia="ko-KR"/>
              </w:rPr>
              <w:t> </w:t>
            </w:r>
            <w:r w:rsidR="000F2FDD" w:rsidRPr="005606C7">
              <w:rPr>
                <w:rFonts w:eastAsia="SimSun"/>
                <w:bCs/>
                <w:kern w:val="2"/>
                <w:lang w:eastAsia="ko-KR"/>
              </w:rPr>
              <w:t>4</w:t>
            </w:r>
            <w:r w:rsidRPr="005606C7">
              <w:rPr>
                <w:rFonts w:eastAsia="SimSun"/>
                <w:bCs/>
                <w:kern w:val="2"/>
                <w:lang w:eastAsia="ko-KR"/>
              </w:rPr>
              <w:t>D</w:t>
            </w:r>
            <w:r w:rsidR="007351D1" w:rsidRPr="005606C7">
              <w:rPr>
                <w:rFonts w:eastAsia="SimSun"/>
                <w:bCs/>
                <w:kern w:val="2"/>
                <w:lang w:eastAsia="ko-KR"/>
              </w:rPr>
              <w:t xml:space="preserve"> </w:t>
            </w:r>
            <w:r w:rsidR="007351D1" w:rsidRPr="005606C7">
              <w:t>with support of WP5D</w:t>
            </w:r>
          </w:p>
        </w:tc>
        <w:tc>
          <w:tcPr>
            <w:tcW w:w="5112" w:type="dxa"/>
          </w:tcPr>
          <w:p w14:paraId="5D1492E5" w14:textId="77777777" w:rsidR="00D16294" w:rsidRPr="005606C7" w:rsidRDefault="00D16294" w:rsidP="003955B4">
            <w:pPr>
              <w:spacing w:beforeLines="50" w:afterLines="50" w:after="120"/>
              <w:rPr>
                <w:rFonts w:eastAsia="MS Gothic"/>
                <w:b/>
                <w:bCs/>
                <w:i/>
                <w:iCs/>
                <w:kern w:val="2"/>
                <w:lang w:eastAsia="ja-JP"/>
              </w:rPr>
            </w:pPr>
            <w:r w:rsidRPr="005606C7">
              <w:rPr>
                <w:rFonts w:eastAsia="MS Gothic"/>
                <w:b/>
                <w:bCs/>
                <w:i/>
                <w:iCs/>
                <w:kern w:val="2"/>
              </w:rPr>
              <w:t>with participation of:</w:t>
            </w:r>
          </w:p>
          <w:p w14:paraId="795436C0" w14:textId="2E4600C0" w:rsidR="00D16294" w:rsidRPr="005606C7" w:rsidRDefault="00D16294" w:rsidP="003955B4">
            <w:pPr>
              <w:spacing w:beforeLines="50" w:afterLines="50" w:after="120"/>
              <w:rPr>
                <w:rFonts w:eastAsia="MS Gothic"/>
                <w:kern w:val="2"/>
                <w:lang w:eastAsia="ja-JP"/>
              </w:rPr>
            </w:pPr>
            <w:r w:rsidRPr="005606C7">
              <w:rPr>
                <w:rFonts w:eastAsia="MS Gothic"/>
                <w:kern w:val="2"/>
                <w:lang w:eastAsia="ja-JP"/>
              </w:rPr>
              <w:t>Administrations</w:t>
            </w:r>
            <w:r w:rsidRPr="005606C7">
              <w:rPr>
                <w:rFonts w:eastAsia="SimSun"/>
                <w:kern w:val="2"/>
                <w:lang w:eastAsia="ko-KR"/>
              </w:rPr>
              <w:t xml:space="preserve"> and Sector members of ITU</w:t>
            </w:r>
            <w:r w:rsidR="00F005B2" w:rsidRPr="005606C7">
              <w:rPr>
                <w:rFonts w:eastAsia="SimSun"/>
                <w:kern w:val="2"/>
                <w:lang w:eastAsia="ko-KR"/>
              </w:rPr>
              <w:noBreakHyphen/>
            </w:r>
            <w:r w:rsidRPr="005606C7">
              <w:rPr>
                <w:rFonts w:eastAsia="SimSun"/>
                <w:kern w:val="2"/>
                <w:lang w:eastAsia="ko-KR"/>
              </w:rPr>
              <w:t>R</w:t>
            </w:r>
          </w:p>
        </w:tc>
      </w:tr>
      <w:tr w:rsidR="00D16294" w:rsidRPr="005606C7" w14:paraId="7B23959A" w14:textId="77777777" w:rsidTr="003955B4">
        <w:tc>
          <w:tcPr>
            <w:tcW w:w="9317" w:type="dxa"/>
            <w:gridSpan w:val="2"/>
          </w:tcPr>
          <w:p w14:paraId="65649BB7" w14:textId="77777777" w:rsidR="00D16294" w:rsidRPr="005606C7" w:rsidRDefault="00D16294" w:rsidP="003955B4">
            <w:pPr>
              <w:spacing w:beforeLines="50" w:afterLines="50" w:after="120"/>
              <w:rPr>
                <w:rFonts w:eastAsia="MS Gothic"/>
                <w:b/>
                <w:bCs/>
                <w:i/>
                <w:iCs/>
                <w:kern w:val="2"/>
                <w:lang w:eastAsia="ja-JP"/>
              </w:rPr>
            </w:pPr>
            <w:r w:rsidRPr="005606C7">
              <w:rPr>
                <w:rFonts w:eastAsia="MS Gothic"/>
                <w:b/>
                <w:bCs/>
                <w:i/>
                <w:iCs/>
                <w:kern w:val="2"/>
              </w:rPr>
              <w:t>ITU-R Study Groups concerned:</w:t>
            </w:r>
          </w:p>
          <w:p w14:paraId="5FB6994A" w14:textId="4A66A699" w:rsidR="00D16294" w:rsidRPr="005606C7" w:rsidRDefault="00282673" w:rsidP="003955B4">
            <w:pPr>
              <w:spacing w:beforeLines="50" w:afterLines="50" w:after="120"/>
              <w:rPr>
                <w:rFonts w:eastAsia="MS Gothic"/>
                <w:bCs/>
                <w:iCs/>
                <w:kern w:val="2"/>
                <w:lang w:eastAsia="ja-JP"/>
              </w:rPr>
            </w:pPr>
            <w:r w:rsidRPr="005606C7">
              <w:rPr>
                <w:bCs/>
                <w:color w:val="000000"/>
                <w:szCs w:val="24"/>
              </w:rPr>
              <w:t>SG</w:t>
            </w:r>
            <w:r w:rsidR="006A4846" w:rsidRPr="005606C7">
              <w:rPr>
                <w:bCs/>
                <w:color w:val="000000"/>
                <w:szCs w:val="24"/>
              </w:rPr>
              <w:t xml:space="preserve"> </w:t>
            </w:r>
            <w:r w:rsidRPr="005606C7">
              <w:rPr>
                <w:bCs/>
                <w:color w:val="000000"/>
                <w:szCs w:val="24"/>
              </w:rPr>
              <w:t>4, SG</w:t>
            </w:r>
            <w:r w:rsidR="006A4846" w:rsidRPr="005606C7">
              <w:rPr>
                <w:bCs/>
                <w:color w:val="000000"/>
                <w:szCs w:val="24"/>
              </w:rPr>
              <w:t xml:space="preserve"> </w:t>
            </w:r>
            <w:r w:rsidRPr="005606C7">
              <w:rPr>
                <w:bCs/>
                <w:color w:val="000000"/>
                <w:szCs w:val="24"/>
              </w:rPr>
              <w:t>5</w:t>
            </w:r>
          </w:p>
        </w:tc>
      </w:tr>
      <w:tr w:rsidR="00D16294" w:rsidRPr="005606C7" w14:paraId="1D0A8AF2" w14:textId="77777777" w:rsidTr="003955B4">
        <w:trPr>
          <w:trHeight w:val="1087"/>
        </w:trPr>
        <w:tc>
          <w:tcPr>
            <w:tcW w:w="9317" w:type="dxa"/>
            <w:gridSpan w:val="2"/>
          </w:tcPr>
          <w:p w14:paraId="1F2F4077" w14:textId="77777777" w:rsidR="00D16294" w:rsidRPr="005606C7" w:rsidRDefault="00D16294" w:rsidP="003955B4">
            <w:pPr>
              <w:spacing w:beforeLines="50" w:afterLines="50" w:after="120"/>
              <w:rPr>
                <w:rFonts w:eastAsia="MS Gothic"/>
                <w:kern w:val="2"/>
                <w:lang w:eastAsia="ja-JP"/>
              </w:rPr>
            </w:pPr>
            <w:r w:rsidRPr="005606C7">
              <w:rPr>
                <w:rFonts w:eastAsia="MS Gothic"/>
                <w:b/>
                <w:bCs/>
                <w:i/>
                <w:iCs/>
                <w:kern w:val="2"/>
              </w:rPr>
              <w:lastRenderedPageBreak/>
              <w:t xml:space="preserve">ITU </w:t>
            </w:r>
            <w:r w:rsidRPr="005606C7">
              <w:rPr>
                <w:rFonts w:eastAsia="MS Gothic"/>
                <w:b/>
                <w:bCs/>
                <w:i/>
                <w:iCs/>
                <w:kern w:val="2"/>
                <w:lang w:eastAsia="ja-JP"/>
              </w:rPr>
              <w:t>r</w:t>
            </w:r>
            <w:r w:rsidRPr="005606C7">
              <w:rPr>
                <w:rFonts w:eastAsia="MS Gothic"/>
                <w:b/>
                <w:bCs/>
                <w:i/>
                <w:iCs/>
                <w:kern w:val="2"/>
              </w:rPr>
              <w:t xml:space="preserve">esource </w:t>
            </w:r>
            <w:r w:rsidRPr="005606C7">
              <w:rPr>
                <w:rFonts w:eastAsia="MS Gothic"/>
                <w:b/>
                <w:bCs/>
                <w:i/>
                <w:iCs/>
                <w:kern w:val="2"/>
                <w:lang w:eastAsia="ja-JP"/>
              </w:rPr>
              <w:t>i</w:t>
            </w:r>
            <w:r w:rsidRPr="005606C7">
              <w:rPr>
                <w:rFonts w:eastAsia="MS Gothic"/>
                <w:b/>
                <w:bCs/>
                <w:i/>
                <w:iCs/>
                <w:kern w:val="2"/>
              </w:rPr>
              <w:t>mplications</w:t>
            </w:r>
            <w:r w:rsidRPr="005606C7">
              <w:rPr>
                <w:rFonts w:eastAsia="MS Gothic"/>
                <w:b/>
                <w:bCs/>
                <w:i/>
                <w:iCs/>
                <w:kern w:val="2"/>
                <w:lang w:eastAsia="ja-JP"/>
              </w:rPr>
              <w:t>,</w:t>
            </w:r>
            <w:r w:rsidRPr="005606C7">
              <w:rPr>
                <w:rFonts w:eastAsia="MS Gothic"/>
                <w:b/>
                <w:bCs/>
                <w:i/>
                <w:iCs/>
                <w:kern w:val="2"/>
              </w:rPr>
              <w:t xml:space="preserve"> including financial i</w:t>
            </w:r>
            <w:r w:rsidRPr="005606C7">
              <w:rPr>
                <w:rFonts w:eastAsia="MS Gothic"/>
                <w:b/>
                <w:bCs/>
                <w:i/>
                <w:iCs/>
                <w:kern w:val="2"/>
                <w:lang w:eastAsia="ja-JP"/>
              </w:rPr>
              <w:t>mpli</w:t>
            </w:r>
            <w:r w:rsidRPr="005606C7">
              <w:rPr>
                <w:rFonts w:eastAsia="MS Gothic"/>
                <w:b/>
                <w:bCs/>
                <w:i/>
                <w:iCs/>
                <w:kern w:val="2"/>
              </w:rPr>
              <w:t>cations (refer to CV 126)</w:t>
            </w:r>
            <w:r w:rsidRPr="005606C7">
              <w:rPr>
                <w:rFonts w:eastAsia="MS Gothic"/>
                <w:b/>
                <w:bCs/>
                <w:i/>
                <w:iCs/>
                <w:kern w:val="2"/>
                <w:lang w:eastAsia="ja-JP"/>
              </w:rPr>
              <w:t>:</w:t>
            </w:r>
          </w:p>
          <w:p w14:paraId="72C8D118" w14:textId="6209398A" w:rsidR="00D16294" w:rsidRPr="005606C7" w:rsidRDefault="009C7B94" w:rsidP="009C7B94">
            <w:pPr>
              <w:spacing w:after="120"/>
              <w:rPr>
                <w:rFonts w:eastAsia="SimSun"/>
                <w:kern w:val="2"/>
                <w:lang w:eastAsia="zh-CN"/>
              </w:rPr>
            </w:pPr>
            <w:r w:rsidRPr="005606C7">
              <w:rPr>
                <w:bCs/>
                <w:iCs/>
                <w:szCs w:val="24"/>
                <w:lang w:eastAsia="ko-KR"/>
              </w:rPr>
              <w:t>This proposed agenda item will be studied within the normal ITU</w:t>
            </w:r>
            <w:r w:rsidR="00F005B2" w:rsidRPr="005606C7">
              <w:rPr>
                <w:bCs/>
                <w:iCs/>
                <w:szCs w:val="24"/>
                <w:lang w:eastAsia="ko-KR"/>
              </w:rPr>
              <w:noBreakHyphen/>
            </w:r>
            <w:r w:rsidRPr="005606C7">
              <w:rPr>
                <w:bCs/>
                <w:iCs/>
                <w:szCs w:val="24"/>
                <w:lang w:eastAsia="ko-KR"/>
              </w:rPr>
              <w:t>R procedures and planned budget. No extra cost is foreseen.</w:t>
            </w:r>
          </w:p>
        </w:tc>
      </w:tr>
      <w:tr w:rsidR="00D16294" w:rsidRPr="005606C7" w14:paraId="6CE071F5" w14:textId="77777777" w:rsidTr="003955B4">
        <w:trPr>
          <w:trHeight w:val="612"/>
        </w:trPr>
        <w:tc>
          <w:tcPr>
            <w:tcW w:w="4205" w:type="dxa"/>
          </w:tcPr>
          <w:p w14:paraId="388117E4" w14:textId="706C0046" w:rsidR="00D16294" w:rsidRPr="005606C7" w:rsidRDefault="00D16294" w:rsidP="003955B4">
            <w:pPr>
              <w:spacing w:beforeLines="50" w:afterLines="50" w:after="120"/>
              <w:rPr>
                <w:rFonts w:eastAsia="MS Gothic"/>
              </w:rPr>
            </w:pPr>
            <w:r w:rsidRPr="005606C7">
              <w:rPr>
                <w:rFonts w:eastAsia="MS Gothic"/>
                <w:b/>
                <w:bCs/>
                <w:i/>
                <w:iCs/>
                <w:kern w:val="2"/>
              </w:rPr>
              <w:t xml:space="preserve">Common </w:t>
            </w:r>
            <w:r w:rsidRPr="005606C7">
              <w:rPr>
                <w:rFonts w:eastAsia="MS Gothic"/>
                <w:b/>
                <w:bCs/>
                <w:i/>
                <w:iCs/>
                <w:kern w:val="2"/>
                <w:lang w:eastAsia="ja-JP"/>
              </w:rPr>
              <w:t>regional p</w:t>
            </w:r>
            <w:r w:rsidRPr="005606C7">
              <w:rPr>
                <w:rFonts w:eastAsia="MS Gothic"/>
                <w:b/>
                <w:bCs/>
                <w:i/>
                <w:iCs/>
                <w:kern w:val="2"/>
              </w:rPr>
              <w:t>roposal:</w:t>
            </w:r>
            <w:r w:rsidR="00886FBB" w:rsidRPr="005606C7">
              <w:rPr>
                <w:rFonts w:eastAsia="MS Gothic"/>
                <w:b/>
                <w:bCs/>
                <w:i/>
                <w:iCs/>
                <w:kern w:val="2"/>
              </w:rPr>
              <w:t xml:space="preserve"> </w:t>
            </w:r>
            <w:r w:rsidR="00886FBB" w:rsidRPr="005606C7">
              <w:rPr>
                <w:rFonts w:eastAsia="MS Gothic"/>
              </w:rPr>
              <w:t>No</w:t>
            </w:r>
          </w:p>
          <w:p w14:paraId="4B7E6596" w14:textId="77777777" w:rsidR="00D16294" w:rsidRPr="005606C7" w:rsidRDefault="00D16294" w:rsidP="003955B4">
            <w:pPr>
              <w:spacing w:beforeLines="50" w:afterLines="50" w:after="120"/>
              <w:rPr>
                <w:rFonts w:eastAsia="SimSun"/>
                <w:kern w:val="2"/>
                <w:lang w:eastAsia="ko-KR"/>
              </w:rPr>
            </w:pPr>
          </w:p>
        </w:tc>
        <w:tc>
          <w:tcPr>
            <w:tcW w:w="5112" w:type="dxa"/>
          </w:tcPr>
          <w:p w14:paraId="4B0C0A93" w14:textId="77777777" w:rsidR="00D16294" w:rsidRPr="005606C7" w:rsidRDefault="00D16294" w:rsidP="003955B4">
            <w:pPr>
              <w:spacing w:beforeLines="50" w:afterLines="50" w:after="120"/>
              <w:rPr>
                <w:rFonts w:eastAsia="SimSun"/>
                <w:kern w:val="2"/>
                <w:lang w:eastAsia="ko-KR"/>
              </w:rPr>
            </w:pPr>
            <w:r w:rsidRPr="005606C7">
              <w:rPr>
                <w:rFonts w:eastAsia="MS Gothic"/>
                <w:b/>
                <w:bCs/>
                <w:i/>
                <w:iCs/>
                <w:kern w:val="2"/>
              </w:rPr>
              <w:t xml:space="preserve">Multicountry Proposal: </w:t>
            </w:r>
            <w:r w:rsidRPr="005606C7">
              <w:rPr>
                <w:rFonts w:eastAsia="SimSun"/>
                <w:bCs/>
                <w:iCs/>
                <w:kern w:val="2"/>
                <w:lang w:eastAsia="ko-KR"/>
              </w:rPr>
              <w:t>Yes</w:t>
            </w:r>
          </w:p>
          <w:p w14:paraId="27FE9680" w14:textId="67778ECB" w:rsidR="00D16294" w:rsidRPr="005606C7" w:rsidRDefault="00D16294" w:rsidP="003955B4">
            <w:pPr>
              <w:spacing w:beforeLines="50" w:afterLines="50" w:after="120"/>
              <w:rPr>
                <w:rFonts w:eastAsia="Malgun Gothic"/>
                <w:kern w:val="2"/>
                <w:lang w:eastAsia="ko-KR"/>
              </w:rPr>
            </w:pPr>
            <w:r w:rsidRPr="005606C7">
              <w:rPr>
                <w:rFonts w:eastAsia="MS Gothic"/>
                <w:b/>
                <w:bCs/>
                <w:i/>
                <w:iCs/>
                <w:kern w:val="2"/>
                <w:lang w:eastAsia="ja-JP"/>
              </w:rPr>
              <w:t>Number of countries</w:t>
            </w:r>
            <w:r w:rsidRPr="005606C7">
              <w:rPr>
                <w:rFonts w:eastAsia="MS Gothic"/>
                <w:b/>
                <w:bCs/>
                <w:i/>
                <w:iCs/>
                <w:kern w:val="2"/>
              </w:rPr>
              <w:t xml:space="preserve">: </w:t>
            </w:r>
            <w:r w:rsidR="00886FBB" w:rsidRPr="005606C7">
              <w:rPr>
                <w:rFonts w:eastAsia="MS Gothic"/>
                <w:bCs/>
                <w:iCs/>
                <w:kern w:val="2"/>
              </w:rPr>
              <w:t>17</w:t>
            </w:r>
          </w:p>
        </w:tc>
      </w:tr>
      <w:tr w:rsidR="00D16294" w:rsidRPr="005606C7" w14:paraId="5864C012" w14:textId="77777777" w:rsidTr="003955B4">
        <w:trPr>
          <w:trHeight w:val="70"/>
        </w:trPr>
        <w:tc>
          <w:tcPr>
            <w:tcW w:w="9317" w:type="dxa"/>
            <w:gridSpan w:val="2"/>
          </w:tcPr>
          <w:p w14:paraId="7980AC73" w14:textId="2806624D" w:rsidR="00D16294" w:rsidRPr="005606C7" w:rsidRDefault="00D16294" w:rsidP="003955B4">
            <w:pPr>
              <w:spacing w:beforeLines="50" w:afterLines="50" w:after="120"/>
              <w:rPr>
                <w:rFonts w:eastAsia="SimSun"/>
                <w:b/>
                <w:bCs/>
                <w:i/>
                <w:iCs/>
                <w:kern w:val="2"/>
                <w:lang w:eastAsia="ko-KR"/>
              </w:rPr>
            </w:pPr>
            <w:r w:rsidRPr="005606C7">
              <w:rPr>
                <w:rFonts w:eastAsia="MS Gothic"/>
                <w:b/>
                <w:bCs/>
                <w:i/>
                <w:iCs/>
                <w:kern w:val="2"/>
              </w:rPr>
              <w:t>Remarks</w:t>
            </w:r>
            <w:r w:rsidR="00611F62" w:rsidRPr="005606C7">
              <w:rPr>
                <w:rFonts w:eastAsia="MS Gothic"/>
                <w:b/>
                <w:bCs/>
                <w:i/>
                <w:iCs/>
                <w:kern w:val="2"/>
              </w:rPr>
              <w:t>:</w:t>
            </w:r>
            <w:r w:rsidR="00611F62" w:rsidRPr="005606C7">
              <w:rPr>
                <w:rFonts w:eastAsia="MS Gothic"/>
              </w:rPr>
              <w:t xml:space="preserve"> None</w:t>
            </w:r>
          </w:p>
        </w:tc>
      </w:tr>
    </w:tbl>
    <w:p w14:paraId="65527BEB" w14:textId="08359F19" w:rsidR="000A4F78" w:rsidRPr="005606C7" w:rsidRDefault="00D16294" w:rsidP="00D16294">
      <w:pPr>
        <w:spacing w:before="360"/>
        <w:jc w:val="center"/>
      </w:pPr>
      <w:r w:rsidRPr="005606C7">
        <w:t>_______________</w:t>
      </w:r>
    </w:p>
    <w:sectPr w:rsidR="000A4F78" w:rsidRPr="005606C7" w:rsidSect="0039169B">
      <w:headerReference w:type="default" r:id="rId14"/>
      <w:footerReference w:type="even" r:id="rId15"/>
      <w:footerReference w:type="default" r:id="rId16"/>
      <w:footerReference w:type="first" r:id="rId17"/>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53E4C" w14:textId="77777777" w:rsidR="00D34F06" w:rsidRDefault="00D34F06">
      <w:r>
        <w:separator/>
      </w:r>
    </w:p>
  </w:endnote>
  <w:endnote w:type="continuationSeparator" w:id="0">
    <w:p w14:paraId="5EA409DD" w14:textId="77777777" w:rsidR="00D34F06" w:rsidRDefault="00D34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MS PMincho">
    <w:charset w:val="80"/>
    <w:family w:val="roman"/>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99830" w14:textId="77777777" w:rsidR="00E45D05" w:rsidRDefault="00E45D05">
    <w:pPr>
      <w:framePr w:wrap="around" w:vAnchor="text" w:hAnchor="margin" w:xAlign="right" w:y="1"/>
    </w:pPr>
    <w:r>
      <w:fldChar w:fldCharType="begin"/>
    </w:r>
    <w:r>
      <w:instrText xml:space="preserve">PAGE  </w:instrText>
    </w:r>
    <w:r>
      <w:fldChar w:fldCharType="end"/>
    </w:r>
  </w:p>
  <w:p w14:paraId="1D603EC9" w14:textId="3EC591E0"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320AA">
      <w:rPr>
        <w:noProof/>
        <w:lang w:val="en-US"/>
      </w:rPr>
      <w:t>Q:\TEMPLATE\ITUOffice2007\POOL\DPM templates\WRC-23\E.docx</w:t>
    </w:r>
    <w:r>
      <w:fldChar w:fldCharType="end"/>
    </w:r>
    <w:r w:rsidRPr="0041348E">
      <w:rPr>
        <w:lang w:val="en-US"/>
      </w:rPr>
      <w:tab/>
    </w:r>
    <w:r>
      <w:fldChar w:fldCharType="begin"/>
    </w:r>
    <w:r>
      <w:instrText xml:space="preserve"> SAVEDATE \@ DD.MM.YY </w:instrText>
    </w:r>
    <w:r>
      <w:fldChar w:fldCharType="separate"/>
    </w:r>
    <w:r w:rsidR="004A4CFA">
      <w:rPr>
        <w:noProof/>
      </w:rPr>
      <w:t>08.11.23</w:t>
    </w:r>
    <w:r>
      <w:fldChar w:fldCharType="end"/>
    </w:r>
    <w:r w:rsidRPr="0041348E">
      <w:rPr>
        <w:lang w:val="en-US"/>
      </w:rPr>
      <w:tab/>
    </w:r>
    <w:r>
      <w:fldChar w:fldCharType="begin"/>
    </w:r>
    <w:r>
      <w:instrText xml:space="preserve"> PRINTDATE \@ DD.MM.YY </w:instrText>
    </w:r>
    <w:r>
      <w:fldChar w:fldCharType="separate"/>
    </w:r>
    <w:r w:rsidR="00F320AA">
      <w:rPr>
        <w:noProof/>
      </w:rPr>
      <w:t>10.02.17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CF92E" w14:textId="5DCE7429" w:rsidR="00E45D05" w:rsidRDefault="00E45D05" w:rsidP="009B1EA1">
    <w:pPr>
      <w:pStyle w:val="Footer"/>
    </w:pPr>
    <w:r>
      <w:fldChar w:fldCharType="begin"/>
    </w:r>
    <w:r w:rsidRPr="0041348E">
      <w:rPr>
        <w:lang w:val="en-US"/>
      </w:rPr>
      <w:instrText xml:space="preserve"> FILENAME \p  \* MERGEFORMAT </w:instrText>
    </w:r>
    <w:r>
      <w:fldChar w:fldCharType="separate"/>
    </w:r>
    <w:r w:rsidR="00F005B2">
      <w:rPr>
        <w:lang w:val="en-US"/>
      </w:rPr>
      <w:t>P:\ENG\ITU-R\CONF-R\CMR23\100\166E.docx</w:t>
    </w:r>
    <w:r>
      <w:fldChar w:fldCharType="end"/>
    </w:r>
    <w:r w:rsidR="00F005B2">
      <w:t xml:space="preserve"> (530449)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42DC4" w14:textId="77777777" w:rsidR="00F005B2" w:rsidRDefault="00F005B2" w:rsidP="00F005B2">
    <w:pPr>
      <w:pStyle w:val="Footer"/>
    </w:pPr>
    <w:r>
      <w:fldChar w:fldCharType="begin"/>
    </w:r>
    <w:r w:rsidRPr="0041348E">
      <w:rPr>
        <w:lang w:val="en-US"/>
      </w:rPr>
      <w:instrText xml:space="preserve"> FILENAME \p  \* MERGEFORMAT </w:instrText>
    </w:r>
    <w:r>
      <w:fldChar w:fldCharType="separate"/>
    </w:r>
    <w:r>
      <w:rPr>
        <w:lang w:val="en-US"/>
      </w:rPr>
      <w:t>P:\ENG\ITU-R\CONF-R\CMR23\100\166E.docx</w:t>
    </w:r>
    <w:r>
      <w:fldChar w:fldCharType="end"/>
    </w:r>
    <w:r>
      <w:t xml:space="preserve"> (530449)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B6774" w14:textId="77777777" w:rsidR="00D34F06" w:rsidRDefault="00D34F06">
      <w:r>
        <w:rPr>
          <w:b/>
        </w:rPr>
        <w:t>_______________</w:t>
      </w:r>
    </w:p>
  </w:footnote>
  <w:footnote w:type="continuationSeparator" w:id="0">
    <w:p w14:paraId="33AB64DC" w14:textId="77777777" w:rsidR="00D34F06" w:rsidRDefault="00D34F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F6D51"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59D197B0" w14:textId="77777777" w:rsidR="00A066F1" w:rsidRPr="00A066F1" w:rsidRDefault="00BC75DE" w:rsidP="00241FA2">
    <w:pPr>
      <w:pStyle w:val="Header"/>
    </w:pPr>
    <w:r>
      <w:t>WRC</w:t>
    </w:r>
    <w:r w:rsidR="006D70B0">
      <w:t>23</w:t>
    </w:r>
    <w:r w:rsidR="00A066F1">
      <w:t>/</w:t>
    </w:r>
    <w:bookmarkStart w:id="7" w:name="OLE_LINK1"/>
    <w:bookmarkStart w:id="8" w:name="OLE_LINK2"/>
    <w:bookmarkStart w:id="9" w:name="OLE_LINK3"/>
    <w:r w:rsidR="00EB55C6">
      <w:t>166</w:t>
    </w:r>
    <w:bookmarkEnd w:id="7"/>
    <w:bookmarkEnd w:id="8"/>
    <w:bookmarkEnd w:id="9"/>
    <w:r w:rsidR="00187BD9">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1964340392">
    <w:abstractNumId w:val="0"/>
  </w:num>
  <w:num w:numId="2" w16cid:durableId="2027249907">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2681"/>
    <w:rsid w:val="000041EA"/>
    <w:rsid w:val="00022A29"/>
    <w:rsid w:val="00025C65"/>
    <w:rsid w:val="000355FD"/>
    <w:rsid w:val="00050AFF"/>
    <w:rsid w:val="00051E39"/>
    <w:rsid w:val="000705F2"/>
    <w:rsid w:val="00077239"/>
    <w:rsid w:val="0007795D"/>
    <w:rsid w:val="000845A1"/>
    <w:rsid w:val="00086491"/>
    <w:rsid w:val="00091346"/>
    <w:rsid w:val="0009706C"/>
    <w:rsid w:val="000A4F78"/>
    <w:rsid w:val="000D154B"/>
    <w:rsid w:val="000D2DAF"/>
    <w:rsid w:val="000E463E"/>
    <w:rsid w:val="000E61CE"/>
    <w:rsid w:val="000F2FDD"/>
    <w:rsid w:val="000F73FF"/>
    <w:rsid w:val="00101C95"/>
    <w:rsid w:val="0010202B"/>
    <w:rsid w:val="00114CF7"/>
    <w:rsid w:val="00116C7A"/>
    <w:rsid w:val="00123B68"/>
    <w:rsid w:val="00125E84"/>
    <w:rsid w:val="00126F2E"/>
    <w:rsid w:val="00146F6F"/>
    <w:rsid w:val="00161F26"/>
    <w:rsid w:val="00187BD9"/>
    <w:rsid w:val="00190B55"/>
    <w:rsid w:val="001A0363"/>
    <w:rsid w:val="001C3B5F"/>
    <w:rsid w:val="001D058F"/>
    <w:rsid w:val="002009EA"/>
    <w:rsid w:val="00202756"/>
    <w:rsid w:val="00202CA0"/>
    <w:rsid w:val="00216B6D"/>
    <w:rsid w:val="0022757F"/>
    <w:rsid w:val="00241FA2"/>
    <w:rsid w:val="00271316"/>
    <w:rsid w:val="00282673"/>
    <w:rsid w:val="002B25FA"/>
    <w:rsid w:val="002B349C"/>
    <w:rsid w:val="002D58BE"/>
    <w:rsid w:val="002F4747"/>
    <w:rsid w:val="00302605"/>
    <w:rsid w:val="0033631A"/>
    <w:rsid w:val="00342D32"/>
    <w:rsid w:val="00361B37"/>
    <w:rsid w:val="003646F2"/>
    <w:rsid w:val="00377BD3"/>
    <w:rsid w:val="00384088"/>
    <w:rsid w:val="003852CE"/>
    <w:rsid w:val="0039169B"/>
    <w:rsid w:val="003A090F"/>
    <w:rsid w:val="003A7F8C"/>
    <w:rsid w:val="003B2284"/>
    <w:rsid w:val="003B532E"/>
    <w:rsid w:val="003D0F8B"/>
    <w:rsid w:val="003E0DB6"/>
    <w:rsid w:val="0041348E"/>
    <w:rsid w:val="00420873"/>
    <w:rsid w:val="00432644"/>
    <w:rsid w:val="00492075"/>
    <w:rsid w:val="004969AD"/>
    <w:rsid w:val="004A26C4"/>
    <w:rsid w:val="004A359C"/>
    <w:rsid w:val="004A4CFA"/>
    <w:rsid w:val="004B13CB"/>
    <w:rsid w:val="004D26EA"/>
    <w:rsid w:val="004D2BFB"/>
    <w:rsid w:val="004D5D5C"/>
    <w:rsid w:val="004F3DC0"/>
    <w:rsid w:val="0050139F"/>
    <w:rsid w:val="0055140B"/>
    <w:rsid w:val="005606C7"/>
    <w:rsid w:val="005861D7"/>
    <w:rsid w:val="005964AB"/>
    <w:rsid w:val="005C099A"/>
    <w:rsid w:val="005C31A5"/>
    <w:rsid w:val="005E10C9"/>
    <w:rsid w:val="005E290B"/>
    <w:rsid w:val="005E61DD"/>
    <w:rsid w:val="005F04D8"/>
    <w:rsid w:val="006023DF"/>
    <w:rsid w:val="00602423"/>
    <w:rsid w:val="00611F62"/>
    <w:rsid w:val="00615426"/>
    <w:rsid w:val="00616219"/>
    <w:rsid w:val="00645B7D"/>
    <w:rsid w:val="00657DE0"/>
    <w:rsid w:val="006741D9"/>
    <w:rsid w:val="00685313"/>
    <w:rsid w:val="00692833"/>
    <w:rsid w:val="006A4846"/>
    <w:rsid w:val="006A6E9B"/>
    <w:rsid w:val="006B7C2A"/>
    <w:rsid w:val="006C23DA"/>
    <w:rsid w:val="006C3CED"/>
    <w:rsid w:val="006D70B0"/>
    <w:rsid w:val="006E3D45"/>
    <w:rsid w:val="006F395B"/>
    <w:rsid w:val="0070607A"/>
    <w:rsid w:val="007149F9"/>
    <w:rsid w:val="00733A30"/>
    <w:rsid w:val="007351D1"/>
    <w:rsid w:val="00745AEE"/>
    <w:rsid w:val="00750F10"/>
    <w:rsid w:val="0075429D"/>
    <w:rsid w:val="007742CA"/>
    <w:rsid w:val="007777B3"/>
    <w:rsid w:val="00781E52"/>
    <w:rsid w:val="00790D70"/>
    <w:rsid w:val="007A6F1F"/>
    <w:rsid w:val="007B2B1C"/>
    <w:rsid w:val="007B40AF"/>
    <w:rsid w:val="007C3116"/>
    <w:rsid w:val="007D5320"/>
    <w:rsid w:val="00800972"/>
    <w:rsid w:val="00804475"/>
    <w:rsid w:val="00811633"/>
    <w:rsid w:val="00814037"/>
    <w:rsid w:val="00821E38"/>
    <w:rsid w:val="00841216"/>
    <w:rsid w:val="00842AF0"/>
    <w:rsid w:val="0086171E"/>
    <w:rsid w:val="00872FC8"/>
    <w:rsid w:val="008845D0"/>
    <w:rsid w:val="00884D60"/>
    <w:rsid w:val="00886FBB"/>
    <w:rsid w:val="00896E56"/>
    <w:rsid w:val="008B43F2"/>
    <w:rsid w:val="008B6CFF"/>
    <w:rsid w:val="008D1B94"/>
    <w:rsid w:val="008F690D"/>
    <w:rsid w:val="00900E89"/>
    <w:rsid w:val="00923206"/>
    <w:rsid w:val="009274B4"/>
    <w:rsid w:val="00934EA2"/>
    <w:rsid w:val="00944A5C"/>
    <w:rsid w:val="00952A66"/>
    <w:rsid w:val="009B1EA1"/>
    <w:rsid w:val="009B7C9A"/>
    <w:rsid w:val="009C56E5"/>
    <w:rsid w:val="009C7716"/>
    <w:rsid w:val="009C7B94"/>
    <w:rsid w:val="009E5FC8"/>
    <w:rsid w:val="009E687A"/>
    <w:rsid w:val="009F236F"/>
    <w:rsid w:val="00A066F1"/>
    <w:rsid w:val="00A141AF"/>
    <w:rsid w:val="00A16D29"/>
    <w:rsid w:val="00A30305"/>
    <w:rsid w:val="00A31D2D"/>
    <w:rsid w:val="00A4600A"/>
    <w:rsid w:val="00A538A6"/>
    <w:rsid w:val="00A54C25"/>
    <w:rsid w:val="00A710E7"/>
    <w:rsid w:val="00A7372E"/>
    <w:rsid w:val="00A8284C"/>
    <w:rsid w:val="00A93B85"/>
    <w:rsid w:val="00AA0B18"/>
    <w:rsid w:val="00AA3C65"/>
    <w:rsid w:val="00AA666F"/>
    <w:rsid w:val="00AD7914"/>
    <w:rsid w:val="00AE514B"/>
    <w:rsid w:val="00B34FF4"/>
    <w:rsid w:val="00B40888"/>
    <w:rsid w:val="00B639E9"/>
    <w:rsid w:val="00B817CD"/>
    <w:rsid w:val="00B81A7D"/>
    <w:rsid w:val="00B90863"/>
    <w:rsid w:val="00B91EF7"/>
    <w:rsid w:val="00B94AD0"/>
    <w:rsid w:val="00BB3A95"/>
    <w:rsid w:val="00BC75DE"/>
    <w:rsid w:val="00BD6CCE"/>
    <w:rsid w:val="00C0018F"/>
    <w:rsid w:val="00C16A5A"/>
    <w:rsid w:val="00C20466"/>
    <w:rsid w:val="00C214ED"/>
    <w:rsid w:val="00C234E6"/>
    <w:rsid w:val="00C324A8"/>
    <w:rsid w:val="00C54517"/>
    <w:rsid w:val="00C56F70"/>
    <w:rsid w:val="00C57B91"/>
    <w:rsid w:val="00C64CD8"/>
    <w:rsid w:val="00C82695"/>
    <w:rsid w:val="00C97C68"/>
    <w:rsid w:val="00CA1A47"/>
    <w:rsid w:val="00CA3DFC"/>
    <w:rsid w:val="00CA54DC"/>
    <w:rsid w:val="00CB44E5"/>
    <w:rsid w:val="00CC247A"/>
    <w:rsid w:val="00CE388F"/>
    <w:rsid w:val="00CE39AA"/>
    <w:rsid w:val="00CE5E47"/>
    <w:rsid w:val="00CF020F"/>
    <w:rsid w:val="00CF2B5B"/>
    <w:rsid w:val="00D14CE0"/>
    <w:rsid w:val="00D16294"/>
    <w:rsid w:val="00D255D4"/>
    <w:rsid w:val="00D268B3"/>
    <w:rsid w:val="00D34F06"/>
    <w:rsid w:val="00D52FD6"/>
    <w:rsid w:val="00D54009"/>
    <w:rsid w:val="00D5651D"/>
    <w:rsid w:val="00D57A34"/>
    <w:rsid w:val="00D57DE3"/>
    <w:rsid w:val="00D74898"/>
    <w:rsid w:val="00D800BC"/>
    <w:rsid w:val="00D801ED"/>
    <w:rsid w:val="00D8527D"/>
    <w:rsid w:val="00D936BC"/>
    <w:rsid w:val="00D96530"/>
    <w:rsid w:val="00DA1CB1"/>
    <w:rsid w:val="00DD44AF"/>
    <w:rsid w:val="00DD6CF8"/>
    <w:rsid w:val="00DE2AC3"/>
    <w:rsid w:val="00DE5692"/>
    <w:rsid w:val="00DE6300"/>
    <w:rsid w:val="00DF3870"/>
    <w:rsid w:val="00DF4BC6"/>
    <w:rsid w:val="00DF78E0"/>
    <w:rsid w:val="00E03C94"/>
    <w:rsid w:val="00E14C44"/>
    <w:rsid w:val="00E205BC"/>
    <w:rsid w:val="00E2363B"/>
    <w:rsid w:val="00E26226"/>
    <w:rsid w:val="00E3492D"/>
    <w:rsid w:val="00E45D05"/>
    <w:rsid w:val="00E55816"/>
    <w:rsid w:val="00E55AEF"/>
    <w:rsid w:val="00E976C1"/>
    <w:rsid w:val="00EA12E5"/>
    <w:rsid w:val="00EB0812"/>
    <w:rsid w:val="00EB54B2"/>
    <w:rsid w:val="00EB55C6"/>
    <w:rsid w:val="00EF1932"/>
    <w:rsid w:val="00EF71B6"/>
    <w:rsid w:val="00F005B2"/>
    <w:rsid w:val="00F02766"/>
    <w:rsid w:val="00F03A06"/>
    <w:rsid w:val="00F05BD4"/>
    <w:rsid w:val="00F06473"/>
    <w:rsid w:val="00F126D5"/>
    <w:rsid w:val="00F320AA"/>
    <w:rsid w:val="00F6155B"/>
    <w:rsid w:val="00F65C19"/>
    <w:rsid w:val="00F70E01"/>
    <w:rsid w:val="00F7759B"/>
    <w:rsid w:val="00F822B0"/>
    <w:rsid w:val="00F827C7"/>
    <w:rsid w:val="00FD08E2"/>
    <w:rsid w:val="00FD18DA"/>
    <w:rsid w:val="00FD1B9F"/>
    <w:rsid w:val="00FD2546"/>
    <w:rsid w:val="00FD772E"/>
    <w:rsid w:val="00FE03DB"/>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E9410F"/>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link w:val="CallChar"/>
    <w:qFormat/>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EB54B2"/>
    <w:pPr>
      <w:spacing w:after="240"/>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EB54B2"/>
    <w:pPr>
      <w:keepNext/>
      <w:keepLines/>
      <w:spacing w:before="0" w:after="12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ECC Footnote number,Appel note de bas de p,Footnote Reference/,Footnote symbol,Style 12,(NECG) Footnote Reference,Style 124,o,fr,Style 13,FR,Style 17,Style 3,Appel note de bas de p + 11 pt,Italic,Appel note de bas de p1,Footnote,Ref,R"/>
    <w:basedOn w:val="DefaultParagraphFont"/>
    <w:uiPriority w:val="99"/>
    <w:qFormat/>
    <w:rsid w:val="00745AEE"/>
    <w:rPr>
      <w:position w:val="6"/>
      <w:sz w:val="18"/>
    </w:rPr>
  </w:style>
  <w:style w:type="paragraph" w:styleId="FootnoteText">
    <w:name w:val="footnote text"/>
    <w:aliases w:val="ECC Footnote,ALTS FOOTNOTE,Footnote Text Char1,Footnote Text Char Char1,Footnote Text Char4 Char Char,Footnote Text Char1 Char1 Char1 Char,Footnote Text Char Char1 Char1 Char Char,Footnote Text Char1 Char1 Char1 Char Char Char1,DN,DNV-FT"/>
    <w:basedOn w:val="Normal"/>
    <w:link w:val="FootnoteTextChar"/>
    <w:uiPriority w:val="99"/>
    <w:qFormat/>
    <w:rsid w:val="00745AEE"/>
    <w:pPr>
      <w:keepLines/>
      <w:tabs>
        <w:tab w:val="left" w:pos="255"/>
      </w:tabs>
    </w:pPr>
  </w:style>
  <w:style w:type="character" w:customStyle="1" w:styleId="FootnoteTextChar">
    <w:name w:val="Footnote Text Char"/>
    <w:aliases w:val="ECC Footnote Char,ALTS FOOTNOTE Char,Footnote Text Char1 Char,Footnote Text Char Char1 Char,Footnote Text Char4 Char Char Char,Footnote Text Char1 Char1 Char1 Char Char,Footnote Text Char Char1 Char1 Char Char Char,DN Char,DNV-FT Char"/>
    <w:basedOn w:val="DefaultParagraphFont"/>
    <w:link w:val="FootnoteText"/>
    <w:uiPriority w:val="99"/>
    <w:qForma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Tabletext"/>
    <w:rsid w:val="00EB54B2"/>
    <w:rPr>
      <w:sz w:val="18"/>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B54B2"/>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link w:val="RestitleZchn"/>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EB54B2"/>
    <w:pPr>
      <w:tabs>
        <w:tab w:val="clear" w:pos="1134"/>
        <w:tab w:val="clear" w:pos="1871"/>
        <w:tab w:val="clear" w:pos="2268"/>
      </w:tabs>
      <w:overflowPunct/>
      <w:autoSpaceDE/>
      <w:autoSpaceDN/>
      <w:adjustRightInd/>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fin">
    <w:name w:val="Table_fin"/>
    <w:basedOn w:val="Tabletext"/>
    <w:qFormat/>
    <w:rsid w:val="00F822B0"/>
    <w:pPr>
      <w:spacing w:before="0" w:after="0"/>
    </w:pPr>
  </w:style>
  <w:style w:type="paragraph" w:customStyle="1" w:styleId="EditorsNote">
    <w:name w:val="EditorsNote"/>
    <w:basedOn w:val="Normal"/>
    <w:qFormat/>
    <w:rsid w:val="00EB54B2"/>
    <w:pPr>
      <w:spacing w:before="240" w:after="240"/>
    </w:pPr>
    <w:rPr>
      <w:i/>
    </w:rPr>
  </w:style>
  <w:style w:type="character" w:styleId="Hyperlink">
    <w:name w:val="Hyperlink"/>
    <w:basedOn w:val="DefaultParagraphFont"/>
    <w:uiPriority w:val="99"/>
    <w:unhideWhenUsed/>
    <w:rPr>
      <w:color w:val="0000FF" w:themeColor="hyperlink"/>
      <w:u w:val="single"/>
    </w:rPr>
  </w:style>
  <w:style w:type="paragraph" w:customStyle="1" w:styleId="Normalaftertitle0">
    <w:name w:val="Normal after title0"/>
    <w:basedOn w:val="Normal"/>
    <w:next w:val="Normal"/>
    <w:qFormat/>
    <w:rsid w:val="00342D32"/>
    <w:pPr>
      <w:spacing w:before="280"/>
    </w:pPr>
  </w:style>
  <w:style w:type="character" w:customStyle="1" w:styleId="RestitleZchn">
    <w:name w:val="Res_title Zchn"/>
    <w:basedOn w:val="DefaultParagraphFont"/>
    <w:link w:val="Restitle"/>
    <w:rsid w:val="00002681"/>
    <w:rPr>
      <w:rFonts w:ascii="Times New Roman Bold" w:hAnsi="Times New Roman Bold"/>
      <w:b/>
      <w:sz w:val="28"/>
      <w:lang w:val="en-GB" w:eastAsia="en-US"/>
    </w:rPr>
  </w:style>
  <w:style w:type="character" w:customStyle="1" w:styleId="CallChar">
    <w:name w:val="Call Char"/>
    <w:basedOn w:val="DefaultParagraphFont"/>
    <w:link w:val="Call"/>
    <w:qFormat/>
    <w:locked/>
    <w:rsid w:val="000A4F78"/>
    <w:rPr>
      <w:rFonts w:ascii="Times New Roman" w:hAnsi="Times New Roman"/>
      <w:i/>
      <w:sz w:val="24"/>
      <w:lang w:val="en-GB" w:eastAsia="en-US"/>
    </w:rPr>
  </w:style>
  <w:style w:type="character" w:customStyle="1" w:styleId="enumlev1Char">
    <w:name w:val="enumlev1 Char"/>
    <w:basedOn w:val="DefaultParagraphFont"/>
    <w:link w:val="enumlev1"/>
    <w:qFormat/>
    <w:locked/>
    <w:rsid w:val="000A4F78"/>
    <w:rPr>
      <w:rFonts w:ascii="Times New Roman" w:hAnsi="Times New Roman"/>
      <w:sz w:val="24"/>
      <w:lang w:val="en-GB" w:eastAsia="en-US"/>
    </w:rPr>
  </w:style>
  <w:style w:type="paragraph" w:styleId="Revision">
    <w:name w:val="Revision"/>
    <w:hidden/>
    <w:uiPriority w:val="99"/>
    <w:semiHidden/>
    <w:rsid w:val="006A4846"/>
    <w:rPr>
      <w:rFonts w:ascii="Times New Roman" w:hAnsi="Times New Roman"/>
      <w:sz w:val="24"/>
      <w:lang w:val="en-GB" w:eastAsia="en-US"/>
    </w:rPr>
  </w:style>
  <w:style w:type="character" w:styleId="CommentReference">
    <w:name w:val="annotation reference"/>
    <w:basedOn w:val="DefaultParagraphFont"/>
    <w:semiHidden/>
    <w:unhideWhenUsed/>
    <w:rsid w:val="00F005B2"/>
    <w:rPr>
      <w:sz w:val="16"/>
      <w:szCs w:val="16"/>
    </w:rPr>
  </w:style>
  <w:style w:type="paragraph" w:styleId="CommentText">
    <w:name w:val="annotation text"/>
    <w:basedOn w:val="Normal"/>
    <w:link w:val="CommentTextChar"/>
    <w:semiHidden/>
    <w:unhideWhenUsed/>
    <w:rsid w:val="00F005B2"/>
    <w:rPr>
      <w:sz w:val="20"/>
    </w:rPr>
  </w:style>
  <w:style w:type="character" w:customStyle="1" w:styleId="CommentTextChar">
    <w:name w:val="Comment Text Char"/>
    <w:basedOn w:val="DefaultParagraphFont"/>
    <w:link w:val="CommentText"/>
    <w:semiHidden/>
    <w:rsid w:val="00F005B2"/>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F005B2"/>
    <w:rPr>
      <w:b/>
      <w:bCs/>
    </w:rPr>
  </w:style>
  <w:style w:type="character" w:customStyle="1" w:styleId="CommentSubjectChar">
    <w:name w:val="Comment Subject Char"/>
    <w:basedOn w:val="CommentTextChar"/>
    <w:link w:val="CommentSubject"/>
    <w:semiHidden/>
    <w:rsid w:val="00F005B2"/>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76b7d054-b29f-418b-b414-6b742f999448">R23-WRC23-C-0166!!MSW-E</DPM_x0020_File_x0020_name>
    <DPM_x0020_Author xmlns="76b7d054-b29f-418b-b414-6b742f999448">DPM</DPM_x0020_Author>
    <DPM_x0020_Version xmlns="76b7d054-b29f-418b-b414-6b742f999448">DPM_2022.05.12.01</DPM_x0020_Vers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BFA528CE1D8294396E46BAD2517FBF6" ma:contentTypeVersion="12" ma:contentTypeDescription="Create a new document." ma:contentTypeScope="" ma:versionID="94285b97e88f2c839d498d2d7659fc4d">
  <xsd:schema xmlns:xsd="http://www.w3.org/2001/XMLSchema" xmlns:xs="http://www.w3.org/2001/XMLSchema" xmlns:p="http://schemas.microsoft.com/office/2006/metadata/properties" xmlns:ns2="76b7d054-b29f-418b-b414-6b742f999448" xmlns:ns3="b9f87034-1e33-420b-8ff9-da24a529006f" targetNamespace="http://schemas.microsoft.com/office/2006/metadata/properties" ma:root="true" ma:fieldsID="5a9f648c1b52a11f05962b9faea6528c" ns2:_="" ns3:_="">
    <xsd:import namespace="76b7d054-b29f-418b-b414-6b742f999448"/>
    <xsd:import namespace="b9f87034-1e33-420b-8ff9-da24a52900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PM_x0020_File_x0020_name" minOccurs="0"/>
                <xsd:element ref="ns2:DPM_x0020_Author" minOccurs="0"/>
                <xsd:element ref="ns2:DPM_x0020_Version"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7d054-b29f-418b-b414-6b742f999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Author" ma:index="13" nillable="true" ma:displayName="DPM Author" ma:internalName="DPM_x0020_Author">
      <xsd:simpleType>
        <xsd:restriction base="dms:Text">
          <xsd:maxLength value="255"/>
        </xsd:restriction>
      </xsd:simpleType>
    </xsd:element>
    <xsd:element name="DPM_x0020_Version" ma:index="14" nillable="true" ma:displayName="DPM Version" ma:internalName="DPM_x0020_Version">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f87034-1e33-420b-8ff9-da24a529006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F1CEF8-672F-406B-88C3-D27C09D38008}">
  <ds:schemaRefs>
    <ds:schemaRef ds:uri="http://schemas.microsoft.com/office/2006/metadata/properties"/>
    <ds:schemaRef ds:uri="http://schemas.microsoft.com/office/infopath/2007/PartnerControls"/>
    <ds:schemaRef ds:uri="76b7d054-b29f-418b-b414-6b742f999448"/>
  </ds:schemaRefs>
</ds:datastoreItem>
</file>

<file path=customXml/itemProps2.xml><?xml version="1.0" encoding="utf-8"?>
<ds:datastoreItem xmlns:ds="http://schemas.openxmlformats.org/officeDocument/2006/customXml" ds:itemID="{BAE4D739-901B-4E43-A076-775ACB6842BD}">
  <ds:schemaRefs>
    <ds:schemaRef ds:uri="http://schemas.microsoft.com/sharepoint/v3/contenttype/forms"/>
  </ds:schemaRefs>
</ds:datastoreItem>
</file>

<file path=customXml/itemProps3.xml><?xml version="1.0" encoding="utf-8"?>
<ds:datastoreItem xmlns:ds="http://schemas.openxmlformats.org/officeDocument/2006/customXml" ds:itemID="{301F357E-F119-442A-AAAA-C2CAED9657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7d054-b29f-418b-b414-6b742f999448"/>
    <ds:schemaRef ds:uri="b9f87034-1e33-420b-8ff9-da24a52900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556537-409B-48DE-8A7E-3A6E362BAE9A}">
  <ds:schemaRefs>
    <ds:schemaRef ds:uri="http://schemas.microsoft.com/sharepoint/events"/>
  </ds:schemaRefs>
</ds:datastoreItem>
</file>

<file path=customXml/itemProps5.xml><?xml version="1.0" encoding="utf-8"?>
<ds:datastoreItem xmlns:ds="http://schemas.openxmlformats.org/officeDocument/2006/customXml" ds:itemID="{AAF40AC4-89F7-4D9E-BD3E-9C3E6F3CA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1090</Words>
  <Characters>6325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R23-WRC23-C-0166!!MSW-E</vt:lpstr>
    </vt:vector>
  </TitlesOfParts>
  <Manager>General Secretariat - Pool</Manager>
  <Company>International Telecommunication Union (ITU)</Company>
  <LinksUpToDate>false</LinksUpToDate>
  <CharactersWithSpaces>7401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R23-WRC23-C-0166!!MSW-E</dc:title>
  <dc:subject>World Radiocommunication Conference - 2023</dc:subject>
  <dc:creator>Documents Proposals Manager (DPM)</dc:creator>
  <cp:keywords>DPM_v2023.8.1.1_prod</cp:keywords>
  <dc:description>Uploaded on 2015.07.06</dc:description>
  <cp:lastModifiedBy>TPU E RR</cp:lastModifiedBy>
  <cp:revision>3</cp:revision>
  <cp:lastPrinted>2017-02-10T08:23:00Z</cp:lastPrinted>
  <dcterms:created xsi:type="dcterms:W3CDTF">2023-11-13T11:01:00Z</dcterms:created>
  <dcterms:modified xsi:type="dcterms:W3CDTF">2023-11-13T11:03:00Z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0x0101008BFA528CE1D8294396E46BAD2517FBF6</vt:lpwstr>
  </property>
  <property fmtid="{D5CDD505-2E9C-101B-9397-08002B2CF9AE}" pid="10" name="_dlc_DocIdItemGuid">
    <vt:lpwstr>e3f51d54-8436-4404-bce8-bbffce89a1d7</vt:lpwstr>
  </property>
</Properties>
</file>