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67EA2" w14:paraId="7788AF5E" w14:textId="77777777" w:rsidTr="00C1305F">
        <w:trPr>
          <w:cantSplit/>
        </w:trPr>
        <w:tc>
          <w:tcPr>
            <w:tcW w:w="1418" w:type="dxa"/>
            <w:vAlign w:val="center"/>
          </w:tcPr>
          <w:p w14:paraId="3323C3E2" w14:textId="77777777" w:rsidR="00C1305F" w:rsidRPr="00567EA2" w:rsidRDefault="00C1305F" w:rsidP="00F709DA">
            <w:pPr>
              <w:spacing w:before="0"/>
              <w:rPr>
                <w:rFonts w:ascii="Verdana" w:hAnsi="Verdana"/>
                <w:b/>
                <w:bCs/>
                <w:sz w:val="20"/>
              </w:rPr>
            </w:pPr>
            <w:r w:rsidRPr="00567EA2">
              <w:rPr>
                <w:noProof/>
                <w:lang w:eastAsia="fr-CH"/>
              </w:rPr>
              <w:drawing>
                <wp:inline distT="0" distB="0" distL="0" distR="0" wp14:anchorId="0F221341" wp14:editId="2949598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E1E8951" w14:textId="0AF6EF83" w:rsidR="00C1305F" w:rsidRPr="00567EA2" w:rsidRDefault="00C1305F" w:rsidP="00F709DA">
            <w:pPr>
              <w:spacing w:before="400" w:after="48"/>
              <w:rPr>
                <w:rFonts w:ascii="Verdana" w:hAnsi="Verdana"/>
                <w:b/>
                <w:bCs/>
                <w:sz w:val="20"/>
              </w:rPr>
            </w:pPr>
            <w:r w:rsidRPr="00567EA2">
              <w:rPr>
                <w:rFonts w:ascii="Verdana" w:hAnsi="Verdana"/>
                <w:b/>
                <w:bCs/>
                <w:sz w:val="20"/>
              </w:rPr>
              <w:t>Conférence mondiale des radiocommunications (CMR-23)</w:t>
            </w:r>
            <w:r w:rsidRPr="00567EA2">
              <w:rPr>
                <w:rFonts w:ascii="Verdana" w:hAnsi="Verdana"/>
                <w:b/>
                <w:bCs/>
                <w:sz w:val="20"/>
              </w:rPr>
              <w:br/>
            </w:r>
            <w:r w:rsidRPr="00567EA2">
              <w:rPr>
                <w:rFonts w:ascii="Verdana" w:hAnsi="Verdana"/>
                <w:b/>
                <w:bCs/>
                <w:sz w:val="18"/>
                <w:szCs w:val="18"/>
              </w:rPr>
              <w:t xml:space="preserve">Dubaï, 20 novembre </w:t>
            </w:r>
            <w:r w:rsidR="001672B3" w:rsidRPr="00567EA2">
              <w:rPr>
                <w:rFonts w:ascii="Verdana" w:hAnsi="Verdana"/>
                <w:b/>
                <w:bCs/>
                <w:sz w:val="18"/>
                <w:szCs w:val="18"/>
              </w:rPr>
              <w:t>–</w:t>
            </w:r>
            <w:r w:rsidRPr="00567EA2">
              <w:rPr>
                <w:rFonts w:ascii="Verdana" w:hAnsi="Verdana"/>
                <w:b/>
                <w:bCs/>
                <w:sz w:val="18"/>
                <w:szCs w:val="18"/>
              </w:rPr>
              <w:t xml:space="preserve"> 15 décembre 2023</w:t>
            </w:r>
          </w:p>
        </w:tc>
        <w:tc>
          <w:tcPr>
            <w:tcW w:w="1809" w:type="dxa"/>
            <w:vAlign w:val="center"/>
          </w:tcPr>
          <w:p w14:paraId="7486EEEB" w14:textId="77777777" w:rsidR="00C1305F" w:rsidRPr="00567EA2" w:rsidRDefault="00C1305F" w:rsidP="00F709DA">
            <w:pPr>
              <w:spacing w:before="0"/>
            </w:pPr>
            <w:bookmarkStart w:id="0" w:name="ditulogo"/>
            <w:bookmarkEnd w:id="0"/>
            <w:r w:rsidRPr="00567EA2">
              <w:rPr>
                <w:noProof/>
                <w:lang w:eastAsia="fr-CH"/>
              </w:rPr>
              <w:drawing>
                <wp:inline distT="0" distB="0" distL="0" distR="0" wp14:anchorId="7DFBE7EF" wp14:editId="43FDBD1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67EA2" w14:paraId="250D461A" w14:textId="77777777" w:rsidTr="0050008E">
        <w:trPr>
          <w:cantSplit/>
        </w:trPr>
        <w:tc>
          <w:tcPr>
            <w:tcW w:w="6911" w:type="dxa"/>
            <w:gridSpan w:val="2"/>
            <w:tcBorders>
              <w:bottom w:val="single" w:sz="12" w:space="0" w:color="auto"/>
            </w:tcBorders>
          </w:tcPr>
          <w:p w14:paraId="51BCAF0B" w14:textId="77777777" w:rsidR="00BB1D82" w:rsidRPr="00567EA2" w:rsidRDefault="00BB1D82" w:rsidP="00F709DA">
            <w:pPr>
              <w:spacing w:before="0" w:after="48"/>
              <w:rPr>
                <w:b/>
                <w:smallCaps/>
                <w:szCs w:val="24"/>
              </w:rPr>
            </w:pPr>
            <w:bookmarkStart w:id="1" w:name="dhead"/>
          </w:p>
        </w:tc>
        <w:tc>
          <w:tcPr>
            <w:tcW w:w="3120" w:type="dxa"/>
            <w:gridSpan w:val="2"/>
            <w:tcBorders>
              <w:bottom w:val="single" w:sz="12" w:space="0" w:color="auto"/>
            </w:tcBorders>
          </w:tcPr>
          <w:p w14:paraId="4E94299D" w14:textId="77777777" w:rsidR="00BB1D82" w:rsidRPr="00567EA2" w:rsidRDefault="00BB1D82" w:rsidP="00F709DA">
            <w:pPr>
              <w:spacing w:before="0"/>
              <w:rPr>
                <w:rFonts w:ascii="Verdana" w:hAnsi="Verdana"/>
                <w:szCs w:val="24"/>
              </w:rPr>
            </w:pPr>
          </w:p>
        </w:tc>
      </w:tr>
      <w:tr w:rsidR="00BB1D82" w:rsidRPr="00567EA2" w14:paraId="0F8B8996" w14:textId="77777777" w:rsidTr="00BB1D82">
        <w:trPr>
          <w:cantSplit/>
        </w:trPr>
        <w:tc>
          <w:tcPr>
            <w:tcW w:w="6911" w:type="dxa"/>
            <w:gridSpan w:val="2"/>
            <w:tcBorders>
              <w:top w:val="single" w:sz="12" w:space="0" w:color="auto"/>
            </w:tcBorders>
          </w:tcPr>
          <w:p w14:paraId="094713AA" w14:textId="77777777" w:rsidR="00BB1D82" w:rsidRPr="00567EA2" w:rsidRDefault="00BB1D82" w:rsidP="00F709DA">
            <w:pPr>
              <w:spacing w:before="0" w:after="48"/>
              <w:rPr>
                <w:rFonts w:ascii="Verdana" w:hAnsi="Verdana"/>
                <w:b/>
                <w:smallCaps/>
                <w:sz w:val="20"/>
              </w:rPr>
            </w:pPr>
          </w:p>
        </w:tc>
        <w:tc>
          <w:tcPr>
            <w:tcW w:w="3120" w:type="dxa"/>
            <w:gridSpan w:val="2"/>
            <w:tcBorders>
              <w:top w:val="single" w:sz="12" w:space="0" w:color="auto"/>
            </w:tcBorders>
          </w:tcPr>
          <w:p w14:paraId="06CA076D" w14:textId="77777777" w:rsidR="00BB1D82" w:rsidRPr="00567EA2" w:rsidRDefault="00BB1D82" w:rsidP="00F709DA">
            <w:pPr>
              <w:spacing w:before="0"/>
              <w:rPr>
                <w:rFonts w:ascii="Verdana" w:hAnsi="Verdana"/>
                <w:sz w:val="20"/>
              </w:rPr>
            </w:pPr>
          </w:p>
        </w:tc>
      </w:tr>
      <w:tr w:rsidR="00BB1D82" w:rsidRPr="00567EA2" w14:paraId="51831BA8" w14:textId="77777777" w:rsidTr="00BB1D82">
        <w:trPr>
          <w:cantSplit/>
        </w:trPr>
        <w:tc>
          <w:tcPr>
            <w:tcW w:w="6911" w:type="dxa"/>
            <w:gridSpan w:val="2"/>
          </w:tcPr>
          <w:p w14:paraId="772A00AD" w14:textId="77777777" w:rsidR="00BB1D82" w:rsidRPr="00567EA2" w:rsidRDefault="006D4724" w:rsidP="00F709DA">
            <w:pPr>
              <w:spacing w:before="0"/>
              <w:rPr>
                <w:rFonts w:ascii="Verdana" w:hAnsi="Verdana"/>
                <w:b/>
                <w:sz w:val="20"/>
              </w:rPr>
            </w:pPr>
            <w:r w:rsidRPr="00567EA2">
              <w:rPr>
                <w:rFonts w:ascii="Verdana" w:hAnsi="Verdana"/>
                <w:b/>
                <w:sz w:val="20"/>
              </w:rPr>
              <w:t>SÉANCE PLÉNIÈRE</w:t>
            </w:r>
          </w:p>
        </w:tc>
        <w:tc>
          <w:tcPr>
            <w:tcW w:w="3120" w:type="dxa"/>
            <w:gridSpan w:val="2"/>
          </w:tcPr>
          <w:p w14:paraId="2168EE1A" w14:textId="7C052B83" w:rsidR="00BB1D82" w:rsidRPr="00567EA2" w:rsidRDefault="00A81A63" w:rsidP="00F709DA">
            <w:pPr>
              <w:spacing w:before="0"/>
              <w:rPr>
                <w:rFonts w:ascii="Verdana" w:hAnsi="Verdana"/>
                <w:sz w:val="20"/>
              </w:rPr>
            </w:pPr>
            <w:r>
              <w:rPr>
                <w:rFonts w:ascii="Verdana" w:hAnsi="Verdana"/>
                <w:b/>
                <w:sz w:val="20"/>
              </w:rPr>
              <w:t>Révision 1 du</w:t>
            </w:r>
            <w:r>
              <w:rPr>
                <w:rFonts w:ascii="Verdana" w:hAnsi="Verdana"/>
                <w:b/>
                <w:sz w:val="20"/>
              </w:rPr>
              <w:br/>
            </w:r>
            <w:r w:rsidR="006D4724" w:rsidRPr="00567EA2">
              <w:rPr>
                <w:rFonts w:ascii="Verdana" w:hAnsi="Verdana"/>
                <w:b/>
                <w:sz w:val="20"/>
              </w:rPr>
              <w:t>Document 164</w:t>
            </w:r>
            <w:r w:rsidR="00BB1D82" w:rsidRPr="00567EA2">
              <w:rPr>
                <w:rFonts w:ascii="Verdana" w:hAnsi="Verdana"/>
                <w:b/>
                <w:sz w:val="20"/>
              </w:rPr>
              <w:t>-</w:t>
            </w:r>
            <w:r w:rsidR="006D4724" w:rsidRPr="00567EA2">
              <w:rPr>
                <w:rFonts w:ascii="Verdana" w:hAnsi="Verdana"/>
                <w:b/>
                <w:sz w:val="20"/>
              </w:rPr>
              <w:t>F</w:t>
            </w:r>
          </w:p>
        </w:tc>
      </w:tr>
      <w:bookmarkEnd w:id="1"/>
      <w:tr w:rsidR="00690C7B" w:rsidRPr="00567EA2" w14:paraId="5E9628AE" w14:textId="77777777" w:rsidTr="00BB1D82">
        <w:trPr>
          <w:cantSplit/>
        </w:trPr>
        <w:tc>
          <w:tcPr>
            <w:tcW w:w="6911" w:type="dxa"/>
            <w:gridSpan w:val="2"/>
          </w:tcPr>
          <w:p w14:paraId="2DC8EF6C" w14:textId="77777777" w:rsidR="00690C7B" w:rsidRPr="00567EA2" w:rsidRDefault="00690C7B" w:rsidP="00F709DA">
            <w:pPr>
              <w:spacing w:before="0"/>
              <w:rPr>
                <w:rFonts w:ascii="Verdana" w:hAnsi="Verdana"/>
                <w:b/>
                <w:sz w:val="20"/>
              </w:rPr>
            </w:pPr>
          </w:p>
        </w:tc>
        <w:tc>
          <w:tcPr>
            <w:tcW w:w="3120" w:type="dxa"/>
            <w:gridSpan w:val="2"/>
          </w:tcPr>
          <w:p w14:paraId="1095D196" w14:textId="77777777" w:rsidR="00690C7B" w:rsidRPr="00567EA2" w:rsidRDefault="00690C7B" w:rsidP="00F709DA">
            <w:pPr>
              <w:spacing w:before="0"/>
              <w:rPr>
                <w:rFonts w:ascii="Verdana" w:hAnsi="Verdana"/>
                <w:b/>
                <w:sz w:val="20"/>
              </w:rPr>
            </w:pPr>
            <w:r w:rsidRPr="00567EA2">
              <w:rPr>
                <w:rFonts w:ascii="Verdana" w:hAnsi="Verdana"/>
                <w:b/>
                <w:sz w:val="20"/>
              </w:rPr>
              <w:t>30 octobre 2023</w:t>
            </w:r>
          </w:p>
        </w:tc>
      </w:tr>
      <w:tr w:rsidR="00690C7B" w:rsidRPr="00567EA2" w14:paraId="2A22D78D" w14:textId="77777777" w:rsidTr="00BB1D82">
        <w:trPr>
          <w:cantSplit/>
        </w:trPr>
        <w:tc>
          <w:tcPr>
            <w:tcW w:w="6911" w:type="dxa"/>
            <w:gridSpan w:val="2"/>
          </w:tcPr>
          <w:p w14:paraId="41A37619" w14:textId="77777777" w:rsidR="00690C7B" w:rsidRPr="00567EA2" w:rsidRDefault="00690C7B" w:rsidP="00F709DA">
            <w:pPr>
              <w:spacing w:before="0" w:after="48"/>
              <w:rPr>
                <w:rFonts w:ascii="Verdana" w:hAnsi="Verdana"/>
                <w:b/>
                <w:smallCaps/>
                <w:sz w:val="20"/>
              </w:rPr>
            </w:pPr>
          </w:p>
        </w:tc>
        <w:tc>
          <w:tcPr>
            <w:tcW w:w="3120" w:type="dxa"/>
            <w:gridSpan w:val="2"/>
          </w:tcPr>
          <w:p w14:paraId="36F68396" w14:textId="77777777" w:rsidR="00690C7B" w:rsidRPr="00567EA2" w:rsidRDefault="00690C7B" w:rsidP="00F709DA">
            <w:pPr>
              <w:spacing w:before="0"/>
              <w:rPr>
                <w:rFonts w:ascii="Verdana" w:hAnsi="Verdana"/>
                <w:b/>
                <w:sz w:val="20"/>
              </w:rPr>
            </w:pPr>
            <w:r w:rsidRPr="00567EA2">
              <w:rPr>
                <w:rFonts w:ascii="Verdana" w:hAnsi="Verdana"/>
                <w:b/>
                <w:sz w:val="20"/>
              </w:rPr>
              <w:t>Original: anglais</w:t>
            </w:r>
          </w:p>
        </w:tc>
      </w:tr>
      <w:tr w:rsidR="00690C7B" w:rsidRPr="00567EA2" w14:paraId="37CAE07A" w14:textId="77777777" w:rsidTr="00C11970">
        <w:trPr>
          <w:cantSplit/>
        </w:trPr>
        <w:tc>
          <w:tcPr>
            <w:tcW w:w="10031" w:type="dxa"/>
            <w:gridSpan w:val="4"/>
          </w:tcPr>
          <w:p w14:paraId="15B40FB2" w14:textId="77777777" w:rsidR="00690C7B" w:rsidRPr="00567EA2" w:rsidRDefault="00690C7B" w:rsidP="00F709DA">
            <w:pPr>
              <w:spacing w:before="0"/>
              <w:rPr>
                <w:rFonts w:ascii="Verdana" w:hAnsi="Verdana"/>
                <w:b/>
                <w:sz w:val="20"/>
              </w:rPr>
            </w:pPr>
          </w:p>
        </w:tc>
      </w:tr>
      <w:tr w:rsidR="00690C7B" w:rsidRPr="00567EA2" w14:paraId="4AC788AD" w14:textId="77777777" w:rsidTr="0050008E">
        <w:trPr>
          <w:cantSplit/>
        </w:trPr>
        <w:tc>
          <w:tcPr>
            <w:tcW w:w="10031" w:type="dxa"/>
            <w:gridSpan w:val="4"/>
          </w:tcPr>
          <w:p w14:paraId="7D1286BA" w14:textId="6A2243B6" w:rsidR="00690C7B" w:rsidRPr="00567EA2" w:rsidRDefault="00A81A63" w:rsidP="00F709DA">
            <w:pPr>
              <w:pStyle w:val="Source"/>
            </w:pPr>
            <w:bookmarkStart w:id="2" w:name="dsource" w:colFirst="0" w:colLast="0"/>
            <w:r w:rsidRPr="00A81A63">
              <w:t>Nigéria (République fédérale du)</w:t>
            </w:r>
            <w:r>
              <w:t>/</w:t>
            </w:r>
            <w:r w:rsidR="00690C7B" w:rsidRPr="00567EA2">
              <w:t>Papouasie-Nouvelle-Guinée/</w:t>
            </w:r>
            <w:r>
              <w:br/>
            </w:r>
            <w:r w:rsidR="00690C7B" w:rsidRPr="00567EA2">
              <w:t>Tonga (Royaume des)</w:t>
            </w:r>
          </w:p>
        </w:tc>
      </w:tr>
      <w:tr w:rsidR="00690C7B" w:rsidRPr="00567EA2" w14:paraId="3A36CAA4" w14:textId="77777777" w:rsidTr="0050008E">
        <w:trPr>
          <w:cantSplit/>
        </w:trPr>
        <w:tc>
          <w:tcPr>
            <w:tcW w:w="10031" w:type="dxa"/>
            <w:gridSpan w:val="4"/>
          </w:tcPr>
          <w:p w14:paraId="63D33F78" w14:textId="577B5572" w:rsidR="00690C7B" w:rsidRPr="00567EA2" w:rsidRDefault="00AF16F4" w:rsidP="00F709DA">
            <w:pPr>
              <w:pStyle w:val="Title1"/>
            </w:pPr>
            <w:bookmarkStart w:id="3" w:name="dtitle1" w:colFirst="0" w:colLast="0"/>
            <w:bookmarkEnd w:id="2"/>
            <w:r w:rsidRPr="00567EA2">
              <w:t>Propositions pour les travaux de la conférence</w:t>
            </w:r>
          </w:p>
        </w:tc>
      </w:tr>
      <w:tr w:rsidR="00690C7B" w:rsidRPr="00567EA2" w14:paraId="639CD275" w14:textId="77777777" w:rsidTr="0050008E">
        <w:trPr>
          <w:cantSplit/>
        </w:trPr>
        <w:tc>
          <w:tcPr>
            <w:tcW w:w="10031" w:type="dxa"/>
            <w:gridSpan w:val="4"/>
          </w:tcPr>
          <w:p w14:paraId="6308CC91" w14:textId="77777777" w:rsidR="00690C7B" w:rsidRPr="00567EA2" w:rsidRDefault="00690C7B" w:rsidP="00F709DA">
            <w:pPr>
              <w:pStyle w:val="Title2"/>
            </w:pPr>
            <w:bookmarkStart w:id="4" w:name="dtitle2" w:colFirst="0" w:colLast="0"/>
            <w:bookmarkEnd w:id="3"/>
          </w:p>
        </w:tc>
      </w:tr>
      <w:tr w:rsidR="00690C7B" w:rsidRPr="00567EA2" w14:paraId="2341F8FD" w14:textId="77777777" w:rsidTr="0050008E">
        <w:trPr>
          <w:cantSplit/>
        </w:trPr>
        <w:tc>
          <w:tcPr>
            <w:tcW w:w="10031" w:type="dxa"/>
            <w:gridSpan w:val="4"/>
          </w:tcPr>
          <w:p w14:paraId="1242AF0B" w14:textId="77777777" w:rsidR="00690C7B" w:rsidRPr="00567EA2" w:rsidRDefault="00690C7B" w:rsidP="00F709DA">
            <w:pPr>
              <w:pStyle w:val="Agendaitem"/>
              <w:rPr>
                <w:lang w:val="fr-FR"/>
              </w:rPr>
            </w:pPr>
            <w:bookmarkStart w:id="5" w:name="dtitle3" w:colFirst="0" w:colLast="0"/>
            <w:bookmarkEnd w:id="4"/>
            <w:r w:rsidRPr="00567EA2">
              <w:rPr>
                <w:lang w:val="fr-FR"/>
              </w:rPr>
              <w:t>Point 10 de l'ordre du jour</w:t>
            </w:r>
          </w:p>
        </w:tc>
      </w:tr>
    </w:tbl>
    <w:bookmarkEnd w:id="5"/>
    <w:p w14:paraId="34F9BA08" w14:textId="77777777" w:rsidR="00FB3DF6" w:rsidRPr="00567EA2" w:rsidRDefault="005F74E0" w:rsidP="00F709DA">
      <w:r w:rsidRPr="00567EA2">
        <w:t>10</w:t>
      </w:r>
      <w:r w:rsidRPr="00567EA2">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567EA2">
        <w:rPr>
          <w:b/>
        </w:rPr>
        <w:t>804 (Rév.CMR-19)</w:t>
      </w:r>
      <w:r w:rsidRPr="00567EA2">
        <w:t>,</w:t>
      </w:r>
    </w:p>
    <w:p w14:paraId="6B62A09E" w14:textId="05DE4F16" w:rsidR="003A583E" w:rsidRPr="00567EA2" w:rsidRDefault="00AF16F4" w:rsidP="00F709DA">
      <w:pPr>
        <w:pStyle w:val="Headingb"/>
      </w:pPr>
      <w:r w:rsidRPr="00567EA2">
        <w:t>Introduction</w:t>
      </w:r>
    </w:p>
    <w:p w14:paraId="3C8CB983" w14:textId="051C6409" w:rsidR="00AF16F4" w:rsidRPr="00567EA2" w:rsidRDefault="00AF16F4" w:rsidP="00F709DA">
      <w:r w:rsidRPr="00567EA2">
        <w:t>Compte tenu de la demande croissante des secteurs aéronautique et maritime en matière d'applications Internet, les capacités satellitaires doivent être renforcées pour ces services.</w:t>
      </w:r>
      <w:r w:rsidR="009007D6" w:rsidRPr="00567EA2">
        <w:t xml:space="preserve"> Cette demande peut être en partie satisfaite au moyen de capacités supplémentaires obtenues en autorisant l'exploitation de stations</w:t>
      </w:r>
      <w:r w:rsidR="00F709DA" w:rsidRPr="00567EA2">
        <w:t xml:space="preserve"> </w:t>
      </w:r>
      <w:r w:rsidR="009007D6" w:rsidRPr="00567EA2">
        <w:t>ESIM communiquant avec des stations spatiales non</w:t>
      </w:r>
      <w:r w:rsidR="00F709DA" w:rsidRPr="00567EA2">
        <w:t xml:space="preserve"> </w:t>
      </w:r>
      <w:r w:rsidR="009007D6" w:rsidRPr="00567EA2">
        <w:t>OSG du SFS dans la bande de fréquences 12,75-13,25</w:t>
      </w:r>
      <w:r w:rsidR="00F709DA" w:rsidRPr="00567EA2">
        <w:t xml:space="preserve"> </w:t>
      </w:r>
      <w:r w:rsidR="009007D6" w:rsidRPr="00567EA2">
        <w:t>GHz.</w:t>
      </w:r>
    </w:p>
    <w:p w14:paraId="0266338D" w14:textId="69006D3E" w:rsidR="00AF16F4" w:rsidRPr="00567EA2" w:rsidRDefault="009007D6" w:rsidP="00F709DA">
      <w:r w:rsidRPr="00567EA2">
        <w:t>Les nouvelles antennes réseau à commande de phase et à pointage électronique multi-orbites peuvent permettre aux stations</w:t>
      </w:r>
      <w:r w:rsidR="00F709DA" w:rsidRPr="00567EA2">
        <w:t xml:space="preserve"> </w:t>
      </w:r>
      <w:r w:rsidRPr="00567EA2">
        <w:t>ESIM d'assurer une connexion entre des satellites OSG et non</w:t>
      </w:r>
      <w:r w:rsidR="00F709DA" w:rsidRPr="00567EA2">
        <w:t xml:space="preserve"> </w:t>
      </w:r>
      <w:r w:rsidRPr="00567EA2">
        <w:t xml:space="preserve">OSG, en vue d'offrir une expérience Internet </w:t>
      </w:r>
      <w:r w:rsidR="007E1487" w:rsidRPr="00567EA2">
        <w:t xml:space="preserve">à bord d'aéronefs et de navires </w:t>
      </w:r>
      <w:r w:rsidRPr="00567EA2">
        <w:t>de la plus haute qualité</w:t>
      </w:r>
      <w:r w:rsidR="00D336D1" w:rsidRPr="00567EA2">
        <w:t>,</w:t>
      </w:r>
      <w:r w:rsidR="007E1487" w:rsidRPr="00567EA2">
        <w:t xml:space="preserve"> en associant les avantages </w:t>
      </w:r>
      <w:r w:rsidR="00D336D1" w:rsidRPr="00567EA2">
        <w:t>du</w:t>
      </w:r>
      <w:r w:rsidR="007E1487" w:rsidRPr="00567EA2">
        <w:t xml:space="preserve"> faible temps de latence des systèmes non</w:t>
      </w:r>
      <w:r w:rsidR="00F709DA" w:rsidRPr="00567EA2">
        <w:t xml:space="preserve"> </w:t>
      </w:r>
      <w:r w:rsidR="007E1487" w:rsidRPr="00567EA2">
        <w:t>OSG à la fiabilité des systèmes</w:t>
      </w:r>
      <w:r w:rsidR="00F709DA" w:rsidRPr="00567EA2">
        <w:t xml:space="preserve"> </w:t>
      </w:r>
      <w:r w:rsidR="007E1487" w:rsidRPr="00567EA2">
        <w:t>OSG</w:t>
      </w:r>
      <w:r w:rsidR="00AF16F4" w:rsidRPr="00567EA2">
        <w:t>.</w:t>
      </w:r>
    </w:p>
    <w:p w14:paraId="7A1B9299" w14:textId="41F4F14C" w:rsidR="00AF16F4" w:rsidRPr="00567EA2" w:rsidRDefault="007E1487" w:rsidP="00F709DA">
      <w:r w:rsidRPr="00567EA2">
        <w:t>La bande de fréquences 12,75-13,25</w:t>
      </w:r>
      <w:r w:rsidR="00F709DA" w:rsidRPr="00567EA2">
        <w:t xml:space="preserve"> </w:t>
      </w:r>
      <w:r w:rsidRPr="00567EA2">
        <w:t>GHz a été étudiée en vue d'être utilisée par les stations</w:t>
      </w:r>
      <w:r w:rsidR="00F709DA" w:rsidRPr="00567EA2">
        <w:t xml:space="preserve"> </w:t>
      </w:r>
      <w:r w:rsidRPr="00567EA2">
        <w:t>A</w:t>
      </w:r>
      <w:r w:rsidR="00F709DA" w:rsidRPr="00567EA2">
        <w:noBreakHyphen/>
      </w:r>
      <w:r w:rsidRPr="00567EA2">
        <w:t>ESIM et M-ESIM communiquant avec des stations spatiales du SFS non</w:t>
      </w:r>
      <w:r w:rsidR="00F709DA" w:rsidRPr="00567EA2">
        <w:t xml:space="preserve"> </w:t>
      </w:r>
      <w:r w:rsidRPr="00567EA2">
        <w:t>OSG au titre du point</w:t>
      </w:r>
      <w:r w:rsidR="00F709DA" w:rsidRPr="00567EA2">
        <w:t> </w:t>
      </w:r>
      <w:r w:rsidRPr="00567EA2">
        <w:t>1.15 de l'ordre du jour de la CMR-23, conformément à la Résolution</w:t>
      </w:r>
      <w:r w:rsidR="00F709DA" w:rsidRPr="00567EA2">
        <w:t xml:space="preserve"> </w:t>
      </w:r>
      <w:r w:rsidRPr="00567EA2">
        <w:rPr>
          <w:b/>
          <w:bCs/>
        </w:rPr>
        <w:t>172</w:t>
      </w:r>
      <w:r w:rsidR="00F709DA" w:rsidRPr="00567EA2">
        <w:rPr>
          <w:b/>
          <w:bCs/>
        </w:rPr>
        <w:t xml:space="preserve"> </w:t>
      </w:r>
      <w:r w:rsidRPr="00567EA2">
        <w:rPr>
          <w:b/>
          <w:bCs/>
        </w:rPr>
        <w:t>(CMR-19)</w:t>
      </w:r>
      <w:r w:rsidRPr="00567EA2">
        <w:t>. Ces études ont montré qu'il est possible de définir un ensemble de conditions techniques, opérationnelles et réglementaires applicables en vue de l'exploitation de stations</w:t>
      </w:r>
      <w:r w:rsidR="00F709DA" w:rsidRPr="00567EA2">
        <w:t xml:space="preserve"> </w:t>
      </w:r>
      <w:r w:rsidRPr="00567EA2">
        <w:t>A-ESIM et M</w:t>
      </w:r>
      <w:r w:rsidR="00F709DA" w:rsidRPr="00567EA2">
        <w:noBreakHyphen/>
      </w:r>
      <w:r w:rsidRPr="00567EA2">
        <w:t>ESIM communiquant avec des stations spatiales du SFS non</w:t>
      </w:r>
      <w:r w:rsidR="00F709DA" w:rsidRPr="00567EA2">
        <w:t xml:space="preserve"> </w:t>
      </w:r>
      <w:r w:rsidRPr="00567EA2">
        <w:t>OSG dans la bande de fréquences, tout en protégeant les autres services bénéficiant d'une attribution</w:t>
      </w:r>
      <w:r w:rsidR="00AF16F4" w:rsidRPr="00567EA2">
        <w:t>.</w:t>
      </w:r>
    </w:p>
    <w:p w14:paraId="365EADB0" w14:textId="0160CDC8" w:rsidR="00AF16F4" w:rsidRPr="00567EA2" w:rsidRDefault="007E1487" w:rsidP="00F709DA">
      <w:r w:rsidRPr="00567EA2">
        <w:t>Les études menées au titre du point</w:t>
      </w:r>
      <w:r w:rsidR="00F709DA" w:rsidRPr="00567EA2">
        <w:t xml:space="preserve"> </w:t>
      </w:r>
      <w:r w:rsidRPr="00567EA2">
        <w:t>1.16 de l'ordre du jour de la CMR-23, conformément à la Résolution</w:t>
      </w:r>
      <w:r w:rsidR="00F709DA" w:rsidRPr="00567EA2">
        <w:t xml:space="preserve"> </w:t>
      </w:r>
      <w:r w:rsidRPr="00567EA2">
        <w:rPr>
          <w:b/>
          <w:bCs/>
        </w:rPr>
        <w:t>173</w:t>
      </w:r>
      <w:r w:rsidR="00F709DA" w:rsidRPr="00567EA2">
        <w:rPr>
          <w:b/>
          <w:bCs/>
        </w:rPr>
        <w:t xml:space="preserve"> </w:t>
      </w:r>
      <w:r w:rsidRPr="00567EA2">
        <w:rPr>
          <w:b/>
          <w:bCs/>
        </w:rPr>
        <w:t>(CMR-19)</w:t>
      </w:r>
      <w:r w:rsidRPr="00567EA2">
        <w:t>, montrent que les stations</w:t>
      </w:r>
      <w:r w:rsidR="00F709DA" w:rsidRPr="00567EA2">
        <w:t xml:space="preserve"> </w:t>
      </w:r>
      <w:r w:rsidRPr="00567EA2">
        <w:t>ESIM OSG et non</w:t>
      </w:r>
      <w:r w:rsidR="00F709DA" w:rsidRPr="00567EA2">
        <w:t xml:space="preserve"> </w:t>
      </w:r>
      <w:r w:rsidRPr="00567EA2">
        <w:t>OSG peuvent fonctionner dans des conditions analogues pour assurer la protection des services existants</w:t>
      </w:r>
      <w:r w:rsidR="00AF16F4" w:rsidRPr="00567EA2">
        <w:t>.</w:t>
      </w:r>
    </w:p>
    <w:p w14:paraId="5B8DB87D" w14:textId="35DC2271" w:rsidR="00AF16F4" w:rsidRPr="00567EA2" w:rsidRDefault="00D44AA2" w:rsidP="002C52BA">
      <w:pPr>
        <w:keepLines/>
      </w:pPr>
      <w:r w:rsidRPr="00567EA2">
        <w:lastRenderedPageBreak/>
        <w:t xml:space="preserve">Le </w:t>
      </w:r>
      <w:r w:rsidR="007E1487" w:rsidRPr="00567EA2">
        <w:t>développement des constellations de satellites non</w:t>
      </w:r>
      <w:r w:rsidR="00F709DA" w:rsidRPr="00567EA2">
        <w:t xml:space="preserve"> </w:t>
      </w:r>
      <w:r w:rsidR="007E1487" w:rsidRPr="00567EA2">
        <w:t>OSG</w:t>
      </w:r>
      <w:r w:rsidRPr="00567EA2">
        <w:t xml:space="preserve"> s</w:t>
      </w:r>
      <w:r w:rsidR="00C821B7" w:rsidRPr="00567EA2">
        <w:t>'</w:t>
      </w:r>
      <w:r w:rsidRPr="00567EA2">
        <w:t>intensifiant</w:t>
      </w:r>
      <w:r w:rsidR="007E1487" w:rsidRPr="00567EA2">
        <w:t>, étud</w:t>
      </w:r>
      <w:r w:rsidRPr="00567EA2">
        <w:t>ier</w:t>
      </w:r>
      <w:r w:rsidR="007E1487" w:rsidRPr="00567EA2">
        <w:t xml:space="preserve"> l'extension de l'utilisation du SFS </w:t>
      </w:r>
      <w:r w:rsidRPr="00567EA2">
        <w:t xml:space="preserve">afin de couvrir </w:t>
      </w:r>
      <w:r w:rsidR="007E1487" w:rsidRPr="00567EA2">
        <w:t>la fourniture d'applications</w:t>
      </w:r>
      <w:r w:rsidR="00F709DA" w:rsidRPr="00567EA2">
        <w:t xml:space="preserve"> </w:t>
      </w:r>
      <w:r w:rsidR="007E1487" w:rsidRPr="00567EA2">
        <w:t>ESIM non</w:t>
      </w:r>
      <w:r w:rsidR="00F709DA" w:rsidRPr="00567EA2">
        <w:t xml:space="preserve"> </w:t>
      </w:r>
      <w:r w:rsidR="007E1487" w:rsidRPr="00567EA2">
        <w:t>OSG dans la bande de fréquences 12,75-13,25</w:t>
      </w:r>
      <w:r w:rsidR="00F709DA" w:rsidRPr="00567EA2">
        <w:t xml:space="preserve"> </w:t>
      </w:r>
      <w:r w:rsidR="007E1487" w:rsidRPr="00567EA2">
        <w:t xml:space="preserve">GHz tout en protégeant les services existants </w:t>
      </w:r>
      <w:r w:rsidRPr="00567EA2">
        <w:t>serait un moyen de rendre l</w:t>
      </w:r>
      <w:r w:rsidR="00C821B7" w:rsidRPr="00567EA2">
        <w:t>'</w:t>
      </w:r>
      <w:r w:rsidR="007E1487" w:rsidRPr="00567EA2">
        <w:t>utilisation du spectre disponible</w:t>
      </w:r>
      <w:r w:rsidR="00112D9D" w:rsidRPr="00567EA2">
        <w:t xml:space="preserve"> </w:t>
      </w:r>
      <w:r w:rsidRPr="00567EA2">
        <w:t xml:space="preserve">plus efficace </w:t>
      </w:r>
      <w:r w:rsidR="00112D9D" w:rsidRPr="00567EA2">
        <w:t>en ce qui concerne les satellites</w:t>
      </w:r>
      <w:r w:rsidR="00AF16F4" w:rsidRPr="00567EA2">
        <w:t>.</w:t>
      </w:r>
    </w:p>
    <w:p w14:paraId="2355FCD9" w14:textId="78802B1D" w:rsidR="00AF16F4" w:rsidRPr="00567EA2" w:rsidRDefault="00112D9D" w:rsidP="00F709DA">
      <w:r w:rsidRPr="00567EA2">
        <w:t xml:space="preserve">Les services par satellite destinés aux secteurs aéronautique et maritime présentent un caractère universel et </w:t>
      </w:r>
      <w:r w:rsidR="00D44AA2" w:rsidRPr="00567EA2">
        <w:t xml:space="preserve">gagnent donc beaucoup à ce que </w:t>
      </w:r>
      <w:r w:rsidRPr="00567EA2">
        <w:t xml:space="preserve">la réglementation </w:t>
      </w:r>
      <w:r w:rsidR="00D44AA2" w:rsidRPr="00567EA2">
        <w:t xml:space="preserve">soit harmonisée sur le plan </w:t>
      </w:r>
      <w:r w:rsidRPr="00567EA2">
        <w:t xml:space="preserve">mondial </w:t>
      </w:r>
      <w:r w:rsidR="00D44AA2" w:rsidRPr="00567EA2">
        <w:t xml:space="preserve">au moyen </w:t>
      </w:r>
      <w:r w:rsidRPr="00567EA2">
        <w:t>du Règlement des radiocommunications de l'UIT</w:t>
      </w:r>
      <w:r w:rsidR="00AF16F4" w:rsidRPr="00567EA2">
        <w:t>.</w:t>
      </w:r>
    </w:p>
    <w:p w14:paraId="754D5A56" w14:textId="709F386E" w:rsidR="00AF16F4" w:rsidRPr="00567EA2" w:rsidRDefault="00AF16F4" w:rsidP="00F709DA">
      <w:pPr>
        <w:pStyle w:val="Headingb"/>
      </w:pPr>
      <w:r w:rsidRPr="00567EA2">
        <w:t>Propositions</w:t>
      </w:r>
    </w:p>
    <w:p w14:paraId="2744D0F1" w14:textId="3F89BE83" w:rsidR="00AF16F4" w:rsidRPr="00567EA2" w:rsidRDefault="00112D9D" w:rsidP="00F709DA">
      <w:r w:rsidRPr="00567EA2">
        <w:t>Appuyer le point de l'ordre du jour de la CMR-27 visant à étudier l'utilisation de la bande de fréquences 12,75-13,75</w:t>
      </w:r>
      <w:r w:rsidR="00F709DA" w:rsidRPr="00567EA2">
        <w:t xml:space="preserve"> </w:t>
      </w:r>
      <w:r w:rsidRPr="00567EA2">
        <w:t>GHz (Terre vers espace) du SFS pour l'exploitation des stations</w:t>
      </w:r>
      <w:r w:rsidR="00F709DA" w:rsidRPr="00567EA2">
        <w:t xml:space="preserve"> </w:t>
      </w:r>
      <w:r w:rsidRPr="00567EA2">
        <w:t>A-ESIM et M-ESIM communiquant avec des systèmes non</w:t>
      </w:r>
      <w:r w:rsidR="00F709DA" w:rsidRPr="00567EA2">
        <w:t xml:space="preserve"> </w:t>
      </w:r>
      <w:r w:rsidRPr="00567EA2">
        <w:t>OSG, tout en assurant la protection des services existants</w:t>
      </w:r>
      <w:r w:rsidR="00AF16F4" w:rsidRPr="00567EA2">
        <w:t>.</w:t>
      </w:r>
    </w:p>
    <w:p w14:paraId="41B8B3D3" w14:textId="77777777" w:rsidR="0015203F" w:rsidRPr="00567EA2" w:rsidRDefault="0015203F" w:rsidP="00F709DA">
      <w:pPr>
        <w:tabs>
          <w:tab w:val="clear" w:pos="1134"/>
          <w:tab w:val="clear" w:pos="1871"/>
          <w:tab w:val="clear" w:pos="2268"/>
        </w:tabs>
        <w:overflowPunct/>
        <w:autoSpaceDE/>
        <w:autoSpaceDN/>
        <w:adjustRightInd/>
        <w:spacing w:before="0"/>
        <w:textAlignment w:val="auto"/>
      </w:pPr>
      <w:r w:rsidRPr="00567EA2">
        <w:br w:type="page"/>
      </w:r>
    </w:p>
    <w:p w14:paraId="65D78B2E" w14:textId="0EA430C9" w:rsidR="005F5AFC" w:rsidRPr="00567EA2" w:rsidRDefault="005F74E0" w:rsidP="00F709DA">
      <w:pPr>
        <w:pStyle w:val="Proposal"/>
      </w:pPr>
      <w:r w:rsidRPr="00567EA2">
        <w:lastRenderedPageBreak/>
        <w:t>ADD</w:t>
      </w:r>
      <w:r w:rsidRPr="00567EA2">
        <w:tab/>
      </w:r>
      <w:r w:rsidR="00A81A63">
        <w:t>NIG/</w:t>
      </w:r>
      <w:r w:rsidRPr="00567EA2">
        <w:t>PNG/TON/164/1</w:t>
      </w:r>
    </w:p>
    <w:p w14:paraId="19034246" w14:textId="11EBF6D3" w:rsidR="005F5AFC" w:rsidRPr="00567EA2" w:rsidRDefault="005F74E0" w:rsidP="00F709DA">
      <w:pPr>
        <w:pStyle w:val="ResNo"/>
      </w:pPr>
      <w:r w:rsidRPr="00567EA2">
        <w:t>Projet de nouvelle Résolution [</w:t>
      </w:r>
      <w:r w:rsidR="00112D9D" w:rsidRPr="00567EA2">
        <w:t>AI WRC</w:t>
      </w:r>
      <w:r w:rsidR="00AF16F4" w:rsidRPr="00567EA2">
        <w:t>-27</w:t>
      </w:r>
      <w:r w:rsidRPr="00567EA2">
        <w:t>]</w:t>
      </w:r>
      <w:r w:rsidR="00AF16F4" w:rsidRPr="00567EA2">
        <w:t xml:space="preserve"> (cmr-23)</w:t>
      </w:r>
    </w:p>
    <w:p w14:paraId="2D1233C0" w14:textId="57595F01" w:rsidR="005F5AFC" w:rsidRPr="00567EA2" w:rsidRDefault="00112D9D" w:rsidP="00F709DA">
      <w:pPr>
        <w:pStyle w:val="Restitle"/>
      </w:pPr>
      <w:r w:rsidRPr="00567EA2">
        <w:t>Ordre du jour de la Conférence mondiale des radiocommunications de 2027</w:t>
      </w:r>
    </w:p>
    <w:p w14:paraId="2E5808B2" w14:textId="75C9E561" w:rsidR="005F5AFC" w:rsidRPr="00567EA2" w:rsidRDefault="00AF16F4" w:rsidP="00F709DA">
      <w:pPr>
        <w:pStyle w:val="Normalaftertitle"/>
      </w:pPr>
      <w:r w:rsidRPr="00567EA2">
        <w:t>La Conférence mondiale des radiocommunications (Dubaï, 2023),</w:t>
      </w:r>
    </w:p>
    <w:p w14:paraId="5D71C0E2" w14:textId="0145DABD" w:rsidR="00AF16F4" w:rsidRPr="00567EA2" w:rsidRDefault="00AF16F4" w:rsidP="00F709DA">
      <w:pPr>
        <w:pStyle w:val="Call"/>
      </w:pPr>
      <w:r w:rsidRPr="00567EA2">
        <w:t>considérant</w:t>
      </w:r>
    </w:p>
    <w:p w14:paraId="6FE547B8" w14:textId="4AF7E82F" w:rsidR="00AF16F4" w:rsidRPr="00567EA2" w:rsidRDefault="00AF16F4" w:rsidP="00F709DA">
      <w:r w:rsidRPr="00567EA2">
        <w:t>...</w:t>
      </w:r>
    </w:p>
    <w:p w14:paraId="23933D2D" w14:textId="7F087181" w:rsidR="00AF16F4" w:rsidRPr="00567EA2" w:rsidRDefault="00AF16F4" w:rsidP="00F709DA">
      <w:pPr>
        <w:pStyle w:val="Call"/>
      </w:pPr>
      <w:r w:rsidRPr="00567EA2">
        <w:t>reconnaissant</w:t>
      </w:r>
    </w:p>
    <w:p w14:paraId="01F7685D" w14:textId="59E54D19" w:rsidR="00AF16F4" w:rsidRPr="00567EA2" w:rsidRDefault="00AF16F4" w:rsidP="00F709DA">
      <w:r w:rsidRPr="00567EA2">
        <w:t>...</w:t>
      </w:r>
    </w:p>
    <w:p w14:paraId="4CCB9165" w14:textId="4326C7C4" w:rsidR="00AF16F4" w:rsidRPr="00567EA2" w:rsidRDefault="00AF16F4" w:rsidP="00F709DA">
      <w:pPr>
        <w:pStyle w:val="Call"/>
      </w:pPr>
      <w:r w:rsidRPr="00567EA2">
        <w:t>décide</w:t>
      </w:r>
    </w:p>
    <w:p w14:paraId="07ED26EE" w14:textId="77777777" w:rsidR="00AF16F4" w:rsidRPr="00567EA2" w:rsidRDefault="00AF16F4" w:rsidP="00F709DA">
      <w:pPr>
        <w:rPr>
          <w:lang w:eastAsia="en-GB"/>
        </w:rPr>
      </w:pPr>
      <w:r w:rsidRPr="00567EA2">
        <w:t>de recommander au Conseil de convoquer en 2027 une CMR d'une durée de quatre semaines, dont l'ordre du jour sera le suivant:</w:t>
      </w:r>
    </w:p>
    <w:p w14:paraId="2FFB1B61" w14:textId="71775253" w:rsidR="00AF16F4" w:rsidRPr="00567EA2" w:rsidRDefault="00AF16F4" w:rsidP="00F709DA">
      <w:r w:rsidRPr="00567EA2">
        <w:t>1</w:t>
      </w:r>
      <w:r w:rsidRPr="00567EA2">
        <w:tab/>
        <w:t>sur la base des propositions formulées par les administrations, compte tenu des résultats de la CMR-23 ainsi que du rapport de la Réunion de préparation à la Conférence et compte dûment tenu des besoins des services existants ou futurs dans les bandes de fréquences, examiner les sujets suivants et prendre les mesures appropriées:</w:t>
      </w:r>
    </w:p>
    <w:p w14:paraId="4F562471" w14:textId="77777777" w:rsidR="00AF16F4" w:rsidRPr="00567EA2" w:rsidRDefault="00AF16F4" w:rsidP="00F709DA">
      <w:r w:rsidRPr="00567EA2">
        <w:t>...</w:t>
      </w:r>
    </w:p>
    <w:p w14:paraId="36C0D27A" w14:textId="613C3C82" w:rsidR="00AF16F4" w:rsidRPr="00567EA2" w:rsidRDefault="00AF16F4" w:rsidP="00F709DA">
      <w:r w:rsidRPr="00567EA2">
        <w:t>1.X</w:t>
      </w:r>
      <w:r w:rsidRPr="00567EA2">
        <w:tab/>
        <w:t xml:space="preserve">étudier l'utilisation de stations terriennes aéronautiques et maritimes communiquant avec des stations spatiales non géostationnaires du service fixe par satellite (Terre vers espace) dans la bande de fréquences 12,75-13,25 GHz, conformément à la Résolution </w:t>
      </w:r>
      <w:r w:rsidRPr="00567EA2">
        <w:rPr>
          <w:b/>
          <w:bCs/>
        </w:rPr>
        <w:t>[</w:t>
      </w:r>
      <w:r w:rsidR="00112D9D" w:rsidRPr="00567EA2">
        <w:rPr>
          <w:b/>
          <w:bCs/>
        </w:rPr>
        <w:t>NGSO ESIM 13 GHz</w:t>
      </w:r>
      <w:r w:rsidRPr="00567EA2">
        <w:rPr>
          <w:b/>
          <w:bCs/>
        </w:rPr>
        <w:t>] (CMR-23</w:t>
      </w:r>
      <w:r w:rsidR="00112D9D" w:rsidRPr="00567EA2">
        <w:rPr>
          <w:b/>
          <w:bCs/>
        </w:rPr>
        <w:t>)</w:t>
      </w:r>
      <w:r w:rsidR="00112D9D" w:rsidRPr="00567EA2">
        <w:t>,</w:t>
      </w:r>
    </w:p>
    <w:p w14:paraId="144EC737" w14:textId="61A0D7D1" w:rsidR="00AF16F4" w:rsidRPr="00567EA2" w:rsidRDefault="00AF16F4" w:rsidP="00F709DA">
      <w:r w:rsidRPr="00567EA2">
        <w:t>...</w:t>
      </w:r>
    </w:p>
    <w:p w14:paraId="72845500" w14:textId="6FDE2904" w:rsidR="00AF16F4" w:rsidRPr="00567EA2" w:rsidRDefault="00AF16F4" w:rsidP="00F709DA">
      <w:pPr>
        <w:pStyle w:val="Call"/>
      </w:pPr>
      <w:r w:rsidRPr="00567EA2">
        <w:t>invite le conseil de l'UIT</w:t>
      </w:r>
    </w:p>
    <w:p w14:paraId="38D88254" w14:textId="51D286EF" w:rsidR="00AF16F4" w:rsidRPr="00567EA2" w:rsidRDefault="00AF16F4" w:rsidP="00F709DA">
      <w:r w:rsidRPr="00567EA2">
        <w:t>...</w:t>
      </w:r>
    </w:p>
    <w:p w14:paraId="148F64F4" w14:textId="21F630E1" w:rsidR="00AF16F4" w:rsidRPr="00567EA2" w:rsidRDefault="00AF16F4" w:rsidP="00F709DA">
      <w:pPr>
        <w:pStyle w:val="Call"/>
      </w:pPr>
      <w:r w:rsidRPr="00567EA2">
        <w:t>charge le Directeur du Bureau des radiocommunications</w:t>
      </w:r>
    </w:p>
    <w:p w14:paraId="7CBDEF97" w14:textId="6C590FBF" w:rsidR="00AF16F4" w:rsidRPr="00567EA2" w:rsidRDefault="00AF16F4" w:rsidP="00F709DA">
      <w:r w:rsidRPr="00567EA2">
        <w:t>...</w:t>
      </w:r>
    </w:p>
    <w:p w14:paraId="2FBE01E2" w14:textId="7965AEBB" w:rsidR="00AF16F4" w:rsidRPr="00567EA2" w:rsidRDefault="00AF16F4" w:rsidP="00F709DA">
      <w:pPr>
        <w:pStyle w:val="Call"/>
      </w:pPr>
      <w:r w:rsidRPr="00567EA2">
        <w:t>charge le Secrétaire général</w:t>
      </w:r>
    </w:p>
    <w:p w14:paraId="4CED468D" w14:textId="09A02041" w:rsidR="00AF16F4" w:rsidRPr="00567EA2" w:rsidRDefault="00AF16F4" w:rsidP="00F709DA">
      <w:r w:rsidRPr="00567EA2">
        <w:t>...</w:t>
      </w:r>
    </w:p>
    <w:p w14:paraId="02525422" w14:textId="77777777" w:rsidR="005F5AFC" w:rsidRPr="00567EA2" w:rsidRDefault="005F5AFC" w:rsidP="00F709DA">
      <w:pPr>
        <w:pStyle w:val="Reasons"/>
      </w:pPr>
    </w:p>
    <w:p w14:paraId="2B724A0F" w14:textId="5D3A34E8" w:rsidR="005F5AFC" w:rsidRPr="00567EA2" w:rsidRDefault="005F74E0" w:rsidP="00F709DA">
      <w:pPr>
        <w:pStyle w:val="Proposal"/>
        <w:keepNext w:val="0"/>
      </w:pPr>
      <w:r w:rsidRPr="00567EA2">
        <w:t>ADD</w:t>
      </w:r>
      <w:r w:rsidRPr="00567EA2">
        <w:tab/>
      </w:r>
      <w:r w:rsidR="00A81A63">
        <w:t>NIG/</w:t>
      </w:r>
      <w:r w:rsidRPr="00567EA2">
        <w:t>PNG/TON/164/2</w:t>
      </w:r>
    </w:p>
    <w:p w14:paraId="5A8FF3A6" w14:textId="70483557" w:rsidR="005F5AFC" w:rsidRPr="00567EA2" w:rsidRDefault="005F74E0" w:rsidP="00F709DA">
      <w:pPr>
        <w:pStyle w:val="ResNo"/>
        <w:keepNext w:val="0"/>
        <w:keepLines w:val="0"/>
      </w:pPr>
      <w:r w:rsidRPr="00567EA2">
        <w:t>Projet de nouvelle Résolution [</w:t>
      </w:r>
      <w:r w:rsidR="00AF16F4" w:rsidRPr="00567EA2">
        <w:t>ngso esim 13 ghz</w:t>
      </w:r>
      <w:r w:rsidRPr="00567EA2">
        <w:t>]</w:t>
      </w:r>
      <w:r w:rsidR="00AF16F4" w:rsidRPr="00567EA2">
        <w:t xml:space="preserve"> (cmr-23)</w:t>
      </w:r>
    </w:p>
    <w:p w14:paraId="212FD113" w14:textId="5EA25361" w:rsidR="00204EA1" w:rsidRPr="00567EA2" w:rsidRDefault="00204EA1" w:rsidP="00F709DA">
      <w:pPr>
        <w:pStyle w:val="Restitle"/>
        <w:keepNext w:val="0"/>
        <w:keepLines w:val="0"/>
      </w:pPr>
      <w:r w:rsidRPr="00567EA2">
        <w:t>Études visant à examiner la possible utilisation de la bande de fréquences</w:t>
      </w:r>
      <w:r w:rsidR="00F709DA" w:rsidRPr="00567EA2">
        <w:t xml:space="preserve"> </w:t>
      </w:r>
      <w:r w:rsidRPr="00567EA2">
        <w:t>12,75</w:t>
      </w:r>
      <w:r w:rsidRPr="00567EA2">
        <w:noBreakHyphen/>
        <w:t>13,25</w:t>
      </w:r>
      <w:r w:rsidR="00F709DA" w:rsidRPr="00567EA2">
        <w:t xml:space="preserve"> </w:t>
      </w:r>
      <w:r w:rsidRPr="00567EA2">
        <w:t>GHz par les stations terriennes aéronautiques</w:t>
      </w:r>
      <w:r w:rsidR="00F709DA" w:rsidRPr="00567EA2">
        <w:t xml:space="preserve"> </w:t>
      </w:r>
      <w:r w:rsidRPr="00567EA2">
        <w:t>et</w:t>
      </w:r>
      <w:r w:rsidR="00F709DA" w:rsidRPr="00567EA2">
        <w:t xml:space="preserve"> </w:t>
      </w:r>
      <w:r w:rsidRPr="00567EA2">
        <w:t>maritimes</w:t>
      </w:r>
      <w:r w:rsidR="00F709DA" w:rsidRPr="00567EA2">
        <w:br/>
      </w:r>
      <w:r w:rsidRPr="00567EA2">
        <w:t>en mouvement communiquant avec des</w:t>
      </w:r>
      <w:r w:rsidR="00F709DA" w:rsidRPr="00567EA2">
        <w:t xml:space="preserve"> </w:t>
      </w:r>
      <w:r w:rsidRPr="00567EA2">
        <w:t>stations spatiales</w:t>
      </w:r>
      <w:r w:rsidR="00F709DA" w:rsidRPr="00567EA2">
        <w:br/>
      </w:r>
      <w:r w:rsidRPr="00567EA2">
        <w:t>non géostationnaires du service fixe</w:t>
      </w:r>
      <w:r w:rsidR="00F709DA" w:rsidRPr="00567EA2">
        <w:t xml:space="preserve"> </w:t>
      </w:r>
      <w:r w:rsidRPr="00567EA2">
        <w:t>par</w:t>
      </w:r>
      <w:r w:rsidR="00F709DA" w:rsidRPr="00567EA2">
        <w:br/>
      </w:r>
      <w:r w:rsidRPr="00567EA2">
        <w:t>satellite (Terre vers espace)</w:t>
      </w:r>
    </w:p>
    <w:p w14:paraId="42749B9F" w14:textId="77777777" w:rsidR="00204EA1" w:rsidRPr="00567EA2" w:rsidRDefault="00204EA1" w:rsidP="00F709DA">
      <w:pPr>
        <w:pStyle w:val="Normalaftertitle"/>
      </w:pPr>
      <w:r w:rsidRPr="00567EA2">
        <w:lastRenderedPageBreak/>
        <w:t>La Conférence mondiale des radiocommunications (Dubaï, 2023),</w:t>
      </w:r>
    </w:p>
    <w:p w14:paraId="0E82F4D0" w14:textId="77777777" w:rsidR="00204EA1" w:rsidRPr="00567EA2" w:rsidRDefault="00204EA1" w:rsidP="00F709DA">
      <w:pPr>
        <w:pStyle w:val="Call"/>
      </w:pPr>
      <w:r w:rsidRPr="00567EA2">
        <w:t>considérant</w:t>
      </w:r>
    </w:p>
    <w:p w14:paraId="50F67F11" w14:textId="15F9183E" w:rsidR="00204EA1" w:rsidRPr="00567EA2" w:rsidRDefault="00204EA1" w:rsidP="00F709DA">
      <w:r w:rsidRPr="00567EA2">
        <w:rPr>
          <w:i/>
          <w:iCs/>
        </w:rPr>
        <w:t>a)</w:t>
      </w:r>
      <w:r w:rsidRPr="00567EA2">
        <w:tab/>
        <w:t>que la bande de fréquences 12,75-13,25</w:t>
      </w:r>
      <w:r w:rsidR="00F709DA" w:rsidRPr="00567EA2">
        <w:t xml:space="preserve"> </w:t>
      </w:r>
      <w:r w:rsidRPr="00567EA2">
        <w:t>GHz est actuellement attribuée à titre primaire au service fixe, au service mobile et au service fixe par satellite (SFS) (Terre vers espace) et qu'elle est attribuée à titre secondaire au service de recherche spatiale (espace lointain) (espace vers Terre) dans le monde entier;</w:t>
      </w:r>
    </w:p>
    <w:p w14:paraId="1B758F29" w14:textId="3BDEF6E6" w:rsidR="00204EA1" w:rsidRPr="00567EA2" w:rsidRDefault="00204EA1" w:rsidP="00F709DA">
      <w:r w:rsidRPr="00567EA2">
        <w:rPr>
          <w:i/>
          <w:iCs/>
        </w:rPr>
        <w:t>b)</w:t>
      </w:r>
      <w:r w:rsidRPr="00567EA2">
        <w:rPr>
          <w:i/>
          <w:iCs/>
        </w:rPr>
        <w:tab/>
      </w:r>
      <w:r w:rsidRPr="00567EA2">
        <w:t>que la bande de fréquences 12,75-13,25</w:t>
      </w:r>
      <w:r w:rsidR="00F709DA" w:rsidRPr="00567EA2">
        <w:t xml:space="preserve"> </w:t>
      </w:r>
      <w:r w:rsidRPr="00567EA2">
        <w:t>GHz est utilisée par les stations spatiales géostationnaires (OSG) du SFS conformément aux dispositions de l'Appendice</w:t>
      </w:r>
      <w:r w:rsidR="00F709DA" w:rsidRPr="00567EA2">
        <w:t xml:space="preserve"> </w:t>
      </w:r>
      <w:r w:rsidRPr="00567EA2">
        <w:rPr>
          <w:b/>
          <w:bCs/>
        </w:rPr>
        <w:t>30B</w:t>
      </w:r>
      <w:r w:rsidRPr="00567EA2">
        <w:t xml:space="preserve"> (numéro</w:t>
      </w:r>
      <w:r w:rsidR="00F709DA" w:rsidRPr="00567EA2">
        <w:t xml:space="preserve"> </w:t>
      </w:r>
      <w:r w:rsidRPr="00567EA2">
        <w:rPr>
          <w:b/>
          <w:bCs/>
        </w:rPr>
        <w:t>5.441</w:t>
      </w:r>
      <w:r w:rsidRPr="00567EA2">
        <w:t>) et que de nombreux réseaux à stations spatiales OSG du SFS sont exploités dans cette bande de fréquences;</w:t>
      </w:r>
    </w:p>
    <w:p w14:paraId="0801E586" w14:textId="234761D9" w:rsidR="00204EA1" w:rsidRPr="00567EA2" w:rsidRDefault="00204EA1" w:rsidP="00F709DA">
      <w:pPr>
        <w:rPr>
          <w:i/>
          <w:iCs/>
        </w:rPr>
      </w:pPr>
      <w:r w:rsidRPr="00567EA2">
        <w:rPr>
          <w:i/>
          <w:iCs/>
        </w:rPr>
        <w:t>c)</w:t>
      </w:r>
      <w:r w:rsidRPr="00567EA2">
        <w:rPr>
          <w:i/>
          <w:iCs/>
        </w:rPr>
        <w:tab/>
      </w:r>
      <w:r w:rsidRPr="00567EA2">
        <w:t>que la bande de fréquences 12,75-13,25</w:t>
      </w:r>
      <w:r w:rsidR="00F709DA" w:rsidRPr="00567EA2">
        <w:t xml:space="preserve"> </w:t>
      </w:r>
      <w:r w:rsidRPr="00567EA2">
        <w:t>GHz est utilisée par des systèmes à satellites non</w:t>
      </w:r>
      <w:r w:rsidR="00F709DA" w:rsidRPr="00567EA2">
        <w:t xml:space="preserve"> </w:t>
      </w:r>
      <w:r w:rsidRPr="00567EA2">
        <w:t>OSG du SFS conformément au numéro</w:t>
      </w:r>
      <w:r w:rsidR="00F709DA" w:rsidRPr="00567EA2">
        <w:t xml:space="preserve"> </w:t>
      </w:r>
      <w:r w:rsidRPr="00567EA2">
        <w:rPr>
          <w:b/>
          <w:bCs/>
        </w:rPr>
        <w:t>5.441</w:t>
      </w:r>
      <w:r w:rsidRPr="00567EA2">
        <w:t>;</w:t>
      </w:r>
    </w:p>
    <w:p w14:paraId="4BCF000C" w14:textId="09198750" w:rsidR="00204EA1" w:rsidRPr="00567EA2" w:rsidRDefault="00204EA1" w:rsidP="00F709DA">
      <w:pPr>
        <w:rPr>
          <w:i/>
          <w:iCs/>
        </w:rPr>
      </w:pPr>
      <w:r w:rsidRPr="00567EA2">
        <w:rPr>
          <w:i/>
          <w:iCs/>
        </w:rPr>
        <w:t>d)</w:t>
      </w:r>
      <w:r w:rsidRPr="00567EA2">
        <w:rPr>
          <w:i/>
          <w:iCs/>
        </w:rPr>
        <w:tab/>
      </w:r>
      <w:r w:rsidRPr="00567EA2">
        <w:t>qu'il serait possible de répondre en partie aux besoins croissants en matière de connectivité aéronautique et maritime en autorisant les stations terriennes aéronautiques en</w:t>
      </w:r>
      <w:r w:rsidR="00F709DA" w:rsidRPr="00567EA2">
        <w:t xml:space="preserve"> </w:t>
      </w:r>
      <w:r w:rsidRPr="00567EA2">
        <w:t>mouvement (A-ESIM) et les stations terriennes maritimes en mouvement (M-ESIM) à</w:t>
      </w:r>
      <w:r w:rsidR="00F709DA" w:rsidRPr="00567EA2">
        <w:t xml:space="preserve"> </w:t>
      </w:r>
      <w:r w:rsidRPr="00567EA2">
        <w:t>communiquer avec des stations spatiales non OSG du SFS dans la bande de fréquences</w:t>
      </w:r>
      <w:r w:rsidR="00F709DA" w:rsidRPr="00567EA2">
        <w:t xml:space="preserve"> </w:t>
      </w:r>
      <w:r w:rsidRPr="00567EA2">
        <w:t>12,75</w:t>
      </w:r>
      <w:r w:rsidRPr="00567EA2">
        <w:noBreakHyphen/>
        <w:t>13,25</w:t>
      </w:r>
      <w:r w:rsidR="00F709DA" w:rsidRPr="00567EA2">
        <w:t> </w:t>
      </w:r>
      <w:r w:rsidRPr="00567EA2">
        <w:t>GHz (Terre vers espace);</w:t>
      </w:r>
    </w:p>
    <w:p w14:paraId="5F41B94E" w14:textId="6BA3F8FD" w:rsidR="00204EA1" w:rsidRPr="00567EA2" w:rsidRDefault="00204EA1" w:rsidP="00F709DA">
      <w:pPr>
        <w:rPr>
          <w:color w:val="000000"/>
        </w:rPr>
      </w:pPr>
      <w:r w:rsidRPr="00567EA2">
        <w:rPr>
          <w:i/>
          <w:iCs/>
        </w:rPr>
        <w:t>e)</w:t>
      </w:r>
      <w:r w:rsidRPr="00567EA2">
        <w:rPr>
          <w:i/>
          <w:iCs/>
        </w:rPr>
        <w:tab/>
      </w:r>
      <w:r w:rsidRPr="00567EA2">
        <w:rPr>
          <w:color w:val="000000"/>
        </w:rPr>
        <w:t>que grâce aux progrès techniques, notamment à l'utilisation de techniques de poursuite, les stations A-ESIM et M-ESIM peuvent fonctionner conformément aux caractéristiques des stations terriennes fixes du SFS;</w:t>
      </w:r>
    </w:p>
    <w:p w14:paraId="776EC338" w14:textId="72F2982C" w:rsidR="00204EA1" w:rsidRPr="00567EA2" w:rsidRDefault="00204EA1" w:rsidP="00F709DA">
      <w:r w:rsidRPr="00567EA2">
        <w:rPr>
          <w:i/>
          <w:iCs/>
        </w:rPr>
        <w:t>f)</w:t>
      </w:r>
      <w:r w:rsidRPr="00567EA2">
        <w:rPr>
          <w:i/>
          <w:iCs/>
        </w:rPr>
        <w:tab/>
      </w:r>
      <w:r w:rsidRPr="00567EA2">
        <w:t>que l'utilisation de la bande de fréquences 12,75-13,25</w:t>
      </w:r>
      <w:r w:rsidR="00F709DA" w:rsidRPr="00567EA2">
        <w:t xml:space="preserve"> </w:t>
      </w:r>
      <w:r w:rsidRPr="00567EA2">
        <w:t>GHz, dans le cadre de la liaison des stations</w:t>
      </w:r>
      <w:r w:rsidR="00F709DA" w:rsidRPr="00567EA2">
        <w:t xml:space="preserve"> </w:t>
      </w:r>
      <w:r w:rsidRPr="00567EA2">
        <w:t>A-ESIM aux stations</w:t>
      </w:r>
      <w:r w:rsidR="00F709DA" w:rsidRPr="00567EA2">
        <w:t xml:space="preserve"> </w:t>
      </w:r>
      <w:r w:rsidRPr="00567EA2">
        <w:t>M-ESIM fonctionnant avec les stations spatiales non</w:t>
      </w:r>
      <w:r w:rsidR="00F709DA" w:rsidRPr="00567EA2">
        <w:t xml:space="preserve"> </w:t>
      </w:r>
      <w:r w:rsidRPr="00567EA2">
        <w:t>OSG du</w:t>
      </w:r>
      <w:r w:rsidR="00F709DA" w:rsidRPr="00567EA2">
        <w:t xml:space="preserve"> </w:t>
      </w:r>
      <w:r w:rsidRPr="00567EA2">
        <w:t>SFS, pourrait contribuer, en tant qu'utilisation additionnelle du spectre, à améliorer les communications large bande pour les passagers;</w:t>
      </w:r>
    </w:p>
    <w:p w14:paraId="6F442C09" w14:textId="18F2BB89" w:rsidR="00204EA1" w:rsidRPr="00567EA2" w:rsidRDefault="00204EA1" w:rsidP="00F709DA">
      <w:r w:rsidRPr="00567EA2">
        <w:rPr>
          <w:i/>
          <w:iCs/>
        </w:rPr>
        <w:t>g)</w:t>
      </w:r>
      <w:r w:rsidRPr="00567EA2">
        <w:rPr>
          <w:i/>
          <w:iCs/>
        </w:rPr>
        <w:tab/>
      </w:r>
      <w:r w:rsidRPr="00567EA2">
        <w:t>que les stations</w:t>
      </w:r>
      <w:r w:rsidR="00F709DA" w:rsidRPr="00567EA2">
        <w:t xml:space="preserve"> </w:t>
      </w:r>
      <w:r w:rsidRPr="00567EA2">
        <w:t>A-ESIM et M-ESIM visées dans la présente Résolution ne doivent pas être utilisées pour des applications liées à la sécurité de la vie humaine,</w:t>
      </w:r>
    </w:p>
    <w:p w14:paraId="255A364E" w14:textId="77777777" w:rsidR="00204EA1" w:rsidRPr="00567EA2" w:rsidRDefault="00204EA1" w:rsidP="00F709DA">
      <w:pPr>
        <w:pStyle w:val="Call"/>
      </w:pPr>
      <w:r w:rsidRPr="00567EA2">
        <w:t>constatant</w:t>
      </w:r>
    </w:p>
    <w:p w14:paraId="10E20A82" w14:textId="7FE7CF62" w:rsidR="00204EA1" w:rsidRPr="00567EA2" w:rsidRDefault="00204EA1" w:rsidP="00F709DA">
      <w:r w:rsidRPr="00567EA2">
        <w:rPr>
          <w:i/>
          <w:iCs/>
        </w:rPr>
        <w:t>a)</w:t>
      </w:r>
      <w:r w:rsidRPr="00567EA2">
        <w:rPr>
          <w:i/>
          <w:iCs/>
        </w:rPr>
        <w:tab/>
      </w:r>
      <w:r w:rsidRPr="00567EA2">
        <w:t>que la Résolution</w:t>
      </w:r>
      <w:r w:rsidR="00F709DA" w:rsidRPr="00567EA2">
        <w:t xml:space="preserve"> </w:t>
      </w:r>
      <w:r w:rsidRPr="00567EA2">
        <w:rPr>
          <w:b/>
          <w:bCs/>
        </w:rPr>
        <w:t>169 (CMR-19)</w:t>
      </w:r>
      <w:r w:rsidRPr="00567EA2">
        <w:t xml:space="preserve"> traite de l'utilisation, dans les conditions qui y sont énoncées, des stations</w:t>
      </w:r>
      <w:r w:rsidR="00F709DA" w:rsidRPr="00567EA2">
        <w:t xml:space="preserve"> </w:t>
      </w:r>
      <w:r w:rsidRPr="00567EA2">
        <w:t>ESIM communiquant avec des stations spatiales</w:t>
      </w:r>
      <w:r w:rsidR="00F709DA" w:rsidRPr="00567EA2">
        <w:t xml:space="preserve"> </w:t>
      </w:r>
      <w:r w:rsidRPr="00567EA2">
        <w:t>OSG du SFS dans les bandes de fréquences 17,7-19,7</w:t>
      </w:r>
      <w:r w:rsidR="00F709DA" w:rsidRPr="00567EA2">
        <w:t xml:space="preserve"> </w:t>
      </w:r>
      <w:r w:rsidRPr="00567EA2">
        <w:t>GHz et 27,5-29,5</w:t>
      </w:r>
      <w:r w:rsidR="00F709DA" w:rsidRPr="00567EA2">
        <w:t xml:space="preserve"> </w:t>
      </w:r>
      <w:r w:rsidRPr="00567EA2">
        <w:t>GHz;</w:t>
      </w:r>
    </w:p>
    <w:p w14:paraId="4AB9CB3B" w14:textId="6AA8E934" w:rsidR="00204EA1" w:rsidRPr="00567EA2" w:rsidRDefault="00204EA1" w:rsidP="00F709DA">
      <w:r w:rsidRPr="00567EA2">
        <w:rPr>
          <w:i/>
          <w:iCs/>
        </w:rPr>
        <w:t>b)</w:t>
      </w:r>
      <w:r w:rsidRPr="00567EA2">
        <w:rPr>
          <w:i/>
          <w:iCs/>
        </w:rPr>
        <w:tab/>
      </w:r>
      <w:r w:rsidRPr="00567EA2">
        <w:t>que la Résolution</w:t>
      </w:r>
      <w:r w:rsidR="00F709DA" w:rsidRPr="00567EA2">
        <w:t xml:space="preserve"> </w:t>
      </w:r>
      <w:r w:rsidRPr="00567EA2">
        <w:rPr>
          <w:b/>
          <w:bCs/>
        </w:rPr>
        <w:t>173 (CMR-19)</w:t>
      </w:r>
      <w:r w:rsidRPr="00567EA2">
        <w:t xml:space="preserve"> vise à élargir le cadre de la Résolution</w:t>
      </w:r>
      <w:r w:rsidR="00F709DA" w:rsidRPr="00567EA2">
        <w:t xml:space="preserve"> </w:t>
      </w:r>
      <w:r w:rsidRPr="00567EA2">
        <w:rPr>
          <w:b/>
          <w:bCs/>
        </w:rPr>
        <w:t>169 (CMR-19)</w:t>
      </w:r>
      <w:r w:rsidRPr="00567EA2">
        <w:t xml:space="preserve"> à travers des études portant sur l'utilisation des stations</w:t>
      </w:r>
      <w:r w:rsidR="00F709DA" w:rsidRPr="00567EA2">
        <w:t xml:space="preserve"> </w:t>
      </w:r>
      <w:r w:rsidRPr="00567EA2">
        <w:t>ESIM communiquant avec des stations spatiales non géostationnaires du SFS dans les bandes de fréquences 17,7-18,6</w:t>
      </w:r>
      <w:r w:rsidR="00F709DA" w:rsidRPr="00567EA2">
        <w:t xml:space="preserve"> </w:t>
      </w:r>
      <w:r w:rsidRPr="00567EA2">
        <w:t>GHz, 18,8-19,3</w:t>
      </w:r>
      <w:r w:rsidR="00F709DA" w:rsidRPr="00567EA2">
        <w:t xml:space="preserve"> </w:t>
      </w:r>
      <w:r w:rsidRPr="00567EA2">
        <w:t>GHz et 19,7-20,2</w:t>
      </w:r>
      <w:r w:rsidR="00F709DA" w:rsidRPr="00567EA2">
        <w:t xml:space="preserve"> </w:t>
      </w:r>
      <w:r w:rsidRPr="00567EA2">
        <w:t>GHz (espace vers Terre) et dans les bandes de fréquences 27,5-29,1</w:t>
      </w:r>
      <w:r w:rsidR="00F709DA" w:rsidRPr="00567EA2">
        <w:t xml:space="preserve"> </w:t>
      </w:r>
      <w:r w:rsidRPr="00567EA2">
        <w:t>GHz et 29,5</w:t>
      </w:r>
      <w:r w:rsidRPr="00567EA2">
        <w:noBreakHyphen/>
        <w:t>30,0</w:t>
      </w:r>
      <w:r w:rsidR="00F709DA" w:rsidRPr="00567EA2">
        <w:t> </w:t>
      </w:r>
      <w:r w:rsidRPr="00567EA2">
        <w:t>GHz (Terre vers espace);</w:t>
      </w:r>
    </w:p>
    <w:p w14:paraId="54B68481" w14:textId="5F15A2E6" w:rsidR="00204EA1" w:rsidRPr="00567EA2" w:rsidRDefault="00204EA1" w:rsidP="00F709DA">
      <w:r w:rsidRPr="00567EA2">
        <w:rPr>
          <w:i/>
          <w:iCs/>
        </w:rPr>
        <w:t>c)</w:t>
      </w:r>
      <w:r w:rsidRPr="00567EA2">
        <w:rPr>
          <w:i/>
          <w:iCs/>
        </w:rPr>
        <w:tab/>
      </w:r>
      <w:r w:rsidRPr="00567EA2">
        <w:t>que la Résolution</w:t>
      </w:r>
      <w:r w:rsidR="00901254" w:rsidRPr="00567EA2">
        <w:t xml:space="preserve"> </w:t>
      </w:r>
      <w:r w:rsidRPr="00567EA2">
        <w:rPr>
          <w:b/>
          <w:bCs/>
        </w:rPr>
        <w:t>172 (CMR-19)</w:t>
      </w:r>
      <w:r w:rsidRPr="00567EA2">
        <w:t xml:space="preserve"> préconise des études concernant l'utilisation des stations</w:t>
      </w:r>
      <w:r w:rsidR="00901254" w:rsidRPr="00567EA2">
        <w:t xml:space="preserve"> </w:t>
      </w:r>
      <w:r w:rsidRPr="00567EA2">
        <w:t>A-ESIM et M-ESIM communiquant avec des stations spatiales</w:t>
      </w:r>
      <w:r w:rsidR="00901254" w:rsidRPr="00567EA2">
        <w:t xml:space="preserve"> </w:t>
      </w:r>
      <w:r w:rsidRPr="00567EA2">
        <w:t>OSG du SFS dans la bande de fréquences 12,75-13,25</w:t>
      </w:r>
      <w:r w:rsidR="00901254" w:rsidRPr="00567EA2">
        <w:t xml:space="preserve"> </w:t>
      </w:r>
      <w:r w:rsidRPr="00567EA2">
        <w:t>GHz,</w:t>
      </w:r>
    </w:p>
    <w:p w14:paraId="79061C2E" w14:textId="77777777" w:rsidR="00204EA1" w:rsidRPr="00567EA2" w:rsidRDefault="00204EA1" w:rsidP="00F709DA">
      <w:pPr>
        <w:pStyle w:val="Call"/>
      </w:pPr>
      <w:r w:rsidRPr="00567EA2">
        <w:t>reconnaissant</w:t>
      </w:r>
    </w:p>
    <w:p w14:paraId="7A741050" w14:textId="61836E0C" w:rsidR="00204EA1" w:rsidRPr="00567EA2" w:rsidRDefault="00204EA1" w:rsidP="00F709DA">
      <w:pPr>
        <w:rPr>
          <w:i/>
          <w:iCs/>
        </w:rPr>
      </w:pPr>
      <w:r w:rsidRPr="00567EA2">
        <w:rPr>
          <w:i/>
          <w:iCs/>
        </w:rPr>
        <w:t>a)</w:t>
      </w:r>
      <w:r w:rsidRPr="00567EA2">
        <w:rPr>
          <w:i/>
          <w:iCs/>
        </w:rPr>
        <w:tab/>
      </w:r>
      <w:r w:rsidRPr="00567EA2">
        <w:t>que, conformément au numéro</w:t>
      </w:r>
      <w:r w:rsidR="00901254" w:rsidRPr="00567EA2">
        <w:t xml:space="preserve"> </w:t>
      </w:r>
      <w:r w:rsidRPr="00567EA2">
        <w:rPr>
          <w:b/>
          <w:bCs/>
        </w:rPr>
        <w:t>5.441</w:t>
      </w:r>
      <w:r w:rsidRPr="00567EA2">
        <w:t>, les systèmes non OSG ne peuvent pas demander de protection vis-à-vis des réseaux</w:t>
      </w:r>
      <w:r w:rsidR="00901254" w:rsidRPr="00567EA2">
        <w:t xml:space="preserve"> </w:t>
      </w:r>
      <w:r w:rsidRPr="00567EA2">
        <w:t>OSG exploités conformément au Règlement des radiocommunications et doivent fonctionner de manière à éliminer rapidement tout brouillage inacceptable qui pourrait se produire lors de leur exploitation;</w:t>
      </w:r>
    </w:p>
    <w:p w14:paraId="51A2B3CA" w14:textId="29969F51" w:rsidR="00204EA1" w:rsidRPr="00567EA2" w:rsidRDefault="00204EA1" w:rsidP="00F709DA">
      <w:pPr>
        <w:rPr>
          <w:i/>
          <w:iCs/>
        </w:rPr>
      </w:pPr>
      <w:r w:rsidRPr="00567EA2">
        <w:rPr>
          <w:i/>
          <w:iCs/>
        </w:rPr>
        <w:lastRenderedPageBreak/>
        <w:t>b)</w:t>
      </w:r>
      <w:r w:rsidRPr="00567EA2">
        <w:rPr>
          <w:i/>
          <w:iCs/>
        </w:rPr>
        <w:tab/>
      </w:r>
      <w:r w:rsidRPr="00567EA2">
        <w:t>que, conformément au numéro</w:t>
      </w:r>
      <w:r w:rsidR="00901254" w:rsidRPr="00567EA2">
        <w:t xml:space="preserve"> </w:t>
      </w:r>
      <w:r w:rsidRPr="00567EA2">
        <w:rPr>
          <w:b/>
          <w:bCs/>
        </w:rPr>
        <w:t>5.441</w:t>
      </w:r>
      <w:r w:rsidRPr="00567EA2">
        <w:t>, l'utilisation de la bande de fréquences</w:t>
      </w:r>
      <w:r w:rsidR="00901254" w:rsidRPr="00567EA2">
        <w:t xml:space="preserve"> </w:t>
      </w:r>
      <w:r w:rsidRPr="00567EA2">
        <w:t>12,75</w:t>
      </w:r>
      <w:r w:rsidRPr="00567EA2">
        <w:noBreakHyphen/>
        <w:t>13,25</w:t>
      </w:r>
      <w:r w:rsidR="00901254" w:rsidRPr="00567EA2">
        <w:t> </w:t>
      </w:r>
      <w:r w:rsidRPr="00567EA2">
        <w:t>GHz (Terre vers espace) par un système non OSG du SFS est assujettie à l'application des dispositions du numéro</w:t>
      </w:r>
      <w:r w:rsidR="00901254" w:rsidRPr="00567EA2">
        <w:t xml:space="preserve"> </w:t>
      </w:r>
      <w:r w:rsidRPr="00567EA2">
        <w:rPr>
          <w:b/>
          <w:bCs/>
        </w:rPr>
        <w:t>9.12</w:t>
      </w:r>
      <w:r w:rsidRPr="00567EA2">
        <w:t xml:space="preserve"> pour la coordination avec d'autres systèmes non OSG du SFS;</w:t>
      </w:r>
    </w:p>
    <w:p w14:paraId="69D8276B" w14:textId="793680EB" w:rsidR="00204EA1" w:rsidRPr="00567EA2" w:rsidRDefault="00204EA1" w:rsidP="00F709DA">
      <w:pPr>
        <w:rPr>
          <w:i/>
          <w:iCs/>
        </w:rPr>
      </w:pPr>
      <w:r w:rsidRPr="00567EA2">
        <w:rPr>
          <w:i/>
          <w:iCs/>
        </w:rPr>
        <w:t>c)</w:t>
      </w:r>
      <w:r w:rsidRPr="00567EA2">
        <w:rPr>
          <w:i/>
          <w:iCs/>
        </w:rPr>
        <w:tab/>
      </w:r>
      <w:r w:rsidRPr="00567EA2">
        <w:t>que, conformément aux dispositions pertinentes des Articles</w:t>
      </w:r>
      <w:r w:rsidR="00901254" w:rsidRPr="00567EA2">
        <w:t xml:space="preserve"> </w:t>
      </w:r>
      <w:r w:rsidRPr="00567EA2">
        <w:rPr>
          <w:b/>
          <w:bCs/>
        </w:rPr>
        <w:t>9</w:t>
      </w:r>
      <w:r w:rsidRPr="00567EA2">
        <w:t xml:space="preserve"> et </w:t>
      </w:r>
      <w:r w:rsidRPr="00567EA2">
        <w:rPr>
          <w:b/>
          <w:bCs/>
        </w:rPr>
        <w:t>11</w:t>
      </w:r>
      <w:r w:rsidRPr="00567EA2">
        <w:t>, les réseaux non</w:t>
      </w:r>
      <w:r w:rsidR="00901254" w:rsidRPr="00567EA2">
        <w:t xml:space="preserve"> </w:t>
      </w:r>
      <w:r w:rsidRPr="00567EA2">
        <w:t>OSG du SFS destinés à être exploités dans la bande de fréquences 12,75-13,25</w:t>
      </w:r>
      <w:r w:rsidR="00901254" w:rsidRPr="00567EA2">
        <w:t xml:space="preserve"> </w:t>
      </w:r>
      <w:r w:rsidRPr="00567EA2">
        <w:t>GHz (Terre vers espace) doivent se coordonner et se notifier mutuellement;</w:t>
      </w:r>
    </w:p>
    <w:p w14:paraId="246D2850" w14:textId="0C439258" w:rsidR="00204EA1" w:rsidRPr="00567EA2" w:rsidRDefault="00204EA1" w:rsidP="00F709DA">
      <w:pPr>
        <w:rPr>
          <w:i/>
          <w:iCs/>
        </w:rPr>
      </w:pPr>
      <w:r w:rsidRPr="00567EA2">
        <w:rPr>
          <w:i/>
          <w:iCs/>
        </w:rPr>
        <w:t>d)</w:t>
      </w:r>
      <w:r w:rsidRPr="00567EA2">
        <w:rPr>
          <w:i/>
          <w:iCs/>
        </w:rPr>
        <w:tab/>
      </w:r>
      <w:r w:rsidRPr="00567EA2">
        <w:t>que l'Article</w:t>
      </w:r>
      <w:r w:rsidR="00901254" w:rsidRPr="00567EA2">
        <w:t xml:space="preserve"> </w:t>
      </w:r>
      <w:r w:rsidRPr="00567EA2">
        <w:rPr>
          <w:b/>
          <w:bCs/>
        </w:rPr>
        <w:t>21</w:t>
      </w:r>
      <w:r w:rsidRPr="00567EA2">
        <w:t xml:space="preserve"> établit les limites de la puissance isotrope rayonnée équivalente (p.i.r.e.) applicables aux systèmes non OSG du SFS pour protéger les stations terriennes fixes et mobiles;</w:t>
      </w:r>
    </w:p>
    <w:p w14:paraId="0AB042E2" w14:textId="54D56AAB" w:rsidR="00204EA1" w:rsidRPr="00567EA2" w:rsidRDefault="00204EA1" w:rsidP="00F709DA">
      <w:pPr>
        <w:rPr>
          <w:i/>
          <w:iCs/>
        </w:rPr>
      </w:pPr>
      <w:r w:rsidRPr="00567EA2">
        <w:rPr>
          <w:i/>
          <w:iCs/>
        </w:rPr>
        <w:t>e)</w:t>
      </w:r>
      <w:r w:rsidRPr="00567EA2">
        <w:rPr>
          <w:i/>
          <w:iCs/>
        </w:rPr>
        <w:tab/>
      </w:r>
      <w:r w:rsidRPr="00567EA2">
        <w:t>que l'Article</w:t>
      </w:r>
      <w:r w:rsidR="00901254" w:rsidRPr="00567EA2">
        <w:t xml:space="preserve"> </w:t>
      </w:r>
      <w:r w:rsidRPr="00567EA2">
        <w:rPr>
          <w:b/>
          <w:bCs/>
        </w:rPr>
        <w:t>22</w:t>
      </w:r>
      <w:r w:rsidRPr="00567EA2">
        <w:t xml:space="preserve"> contient les limites d</w:t>
      </w:r>
      <w:r w:rsidR="00744C3D" w:rsidRPr="00567EA2">
        <w:t>e puissance surfacique équivalente (</w:t>
      </w:r>
      <w:r w:rsidRPr="00567EA2">
        <w:t>epfd</w:t>
      </w:r>
      <w:r w:rsidR="00744C3D" w:rsidRPr="00567EA2">
        <w:t>)</w:t>
      </w:r>
      <w:r w:rsidRPr="00567EA2">
        <w:t xml:space="preserve"> applicables aux systèmes non OSG du SFS dans la bande de fréquences 12,75-13,25</w:t>
      </w:r>
      <w:r w:rsidR="00901254" w:rsidRPr="00567EA2">
        <w:t xml:space="preserve"> </w:t>
      </w:r>
      <w:r w:rsidRPr="00567EA2">
        <w:t>GHz (Terre</w:t>
      </w:r>
      <w:r w:rsidR="00D302B8" w:rsidRPr="00567EA2">
        <w:t> </w:t>
      </w:r>
      <w:r w:rsidRPr="00567EA2">
        <w:t>vers espace) qui garantissent la protection des réseaux OSG;</w:t>
      </w:r>
    </w:p>
    <w:p w14:paraId="270285F6" w14:textId="50B41565" w:rsidR="00204EA1" w:rsidRPr="00567EA2" w:rsidRDefault="00204EA1" w:rsidP="00F709DA">
      <w:pPr>
        <w:rPr>
          <w:i/>
          <w:iCs/>
        </w:rPr>
      </w:pPr>
      <w:r w:rsidRPr="00567EA2">
        <w:rPr>
          <w:i/>
          <w:iCs/>
        </w:rPr>
        <w:t>f)</w:t>
      </w:r>
      <w:r w:rsidRPr="00567EA2">
        <w:rPr>
          <w:i/>
          <w:iCs/>
        </w:rPr>
        <w:tab/>
      </w:r>
      <w:r w:rsidRPr="00567EA2">
        <w:t>que l'utilisation actuelle et le développement futur des services existants dans la bande de fréquences doivent être protégés sans qu'aucune restriction supplémentaire ne soit imposée en raison de l'exploitation des stations A-ESIM et M-ESIM dans la bande,</w:t>
      </w:r>
    </w:p>
    <w:p w14:paraId="26D9E824" w14:textId="77777777" w:rsidR="00204EA1" w:rsidRPr="00567EA2" w:rsidRDefault="00204EA1" w:rsidP="00F709DA">
      <w:pPr>
        <w:pStyle w:val="Call"/>
      </w:pPr>
      <w:r w:rsidRPr="00567EA2">
        <w:t>décide d'inviter le Secteur des radiocommunications de l'UIT</w:t>
      </w:r>
    </w:p>
    <w:p w14:paraId="10AB6248" w14:textId="680A984A" w:rsidR="00204EA1" w:rsidRPr="00567EA2" w:rsidRDefault="00204EA1" w:rsidP="00F709DA">
      <w:r w:rsidRPr="00567EA2">
        <w:t>1</w:t>
      </w:r>
      <w:r w:rsidRPr="00567EA2">
        <w:tab/>
        <w:t>à étudier les caractéristiques techniques et opérationnelles ainsi que les besoins des utilisateurs des stations A-ESIM et M-ESIM communiquant ou destinées à communiquer avec les stations spatiales non OSG du SFS dans la bande de fréquences 12,75-13,25 GHz (Terre</w:t>
      </w:r>
      <w:r w:rsidR="00D302B8" w:rsidRPr="00567EA2">
        <w:t> </w:t>
      </w:r>
      <w:r w:rsidRPr="00567EA2">
        <w:t>vers</w:t>
      </w:r>
      <w:r w:rsidR="00D302B8" w:rsidRPr="00567EA2">
        <w:t> </w:t>
      </w:r>
      <w:r w:rsidRPr="00567EA2">
        <w:t>espace);</w:t>
      </w:r>
    </w:p>
    <w:p w14:paraId="19E61649" w14:textId="17C1CE8C" w:rsidR="00204EA1" w:rsidRPr="00567EA2" w:rsidRDefault="00204EA1" w:rsidP="00F709DA">
      <w:r w:rsidRPr="00567EA2">
        <w:t>2</w:t>
      </w:r>
      <w:r w:rsidRPr="00567EA2">
        <w:tab/>
        <w:t>à étudier le partage et la compatibilité entre les stations A-ESIM et M-ESIM communiquant avec des stations spatiales non OSG du SFS et les stations existantes ou en projet des services existants bénéficiant d'attributions dans la bande de fréquences 12,75-13,25</w:t>
      </w:r>
      <w:r w:rsidR="00901254" w:rsidRPr="00567EA2">
        <w:t xml:space="preserve"> </w:t>
      </w:r>
      <w:r w:rsidRPr="00567EA2">
        <w:t>GHz;</w:t>
      </w:r>
    </w:p>
    <w:p w14:paraId="2AF1B5DA" w14:textId="77777777" w:rsidR="00204EA1" w:rsidRPr="00567EA2" w:rsidRDefault="00204EA1" w:rsidP="00F709DA">
      <w:r w:rsidRPr="00567EA2">
        <w:t>3</w:t>
      </w:r>
      <w:r w:rsidRPr="00567EA2">
        <w:tab/>
        <w:t>à définir les critères permettant de garantir que les stations ESIM ne demanderont pas une protection supplémentaire ou ne causeront pas plus de brouillages que les stations terriennes types existantes;</w:t>
      </w:r>
    </w:p>
    <w:p w14:paraId="15DA430A" w14:textId="3973B2EC" w:rsidR="00204EA1" w:rsidRPr="00567EA2" w:rsidRDefault="00204EA1" w:rsidP="00F709DA">
      <w:r w:rsidRPr="00567EA2">
        <w:t>4</w:t>
      </w:r>
      <w:r w:rsidRPr="00567EA2">
        <w:tab/>
        <w:t>à définir les conditions techniques et les dispositions réglementaires pour l'exploitation des stations</w:t>
      </w:r>
      <w:r w:rsidR="00901254" w:rsidRPr="00567EA2">
        <w:t xml:space="preserve"> </w:t>
      </w:r>
      <w:r w:rsidRPr="00567EA2">
        <w:t>A-ESIM et M-ESIM communiquant avec des stations spatiales non OSG du SFS qui fonctionnent dans la bande de fréquences 12,75-13,25</w:t>
      </w:r>
      <w:r w:rsidR="00901254" w:rsidRPr="00567EA2">
        <w:t xml:space="preserve"> </w:t>
      </w:r>
      <w:r w:rsidRPr="00567EA2">
        <w:t>GHz (Terre vers espace), compte tenu des résultats des études visées aux points</w:t>
      </w:r>
      <w:r w:rsidR="00901254" w:rsidRPr="00567EA2">
        <w:t xml:space="preserve"> </w:t>
      </w:r>
      <w:r w:rsidRPr="00567EA2">
        <w:t xml:space="preserve">1 et 2 du </w:t>
      </w:r>
      <w:r w:rsidRPr="00567EA2">
        <w:rPr>
          <w:i/>
          <w:iCs/>
        </w:rPr>
        <w:t>décide d'inviter le Secteur des radiocommunications de l'UIT</w:t>
      </w:r>
      <w:r w:rsidRPr="00567EA2">
        <w:t>, tout en assurant la protection des services existants,</w:t>
      </w:r>
    </w:p>
    <w:p w14:paraId="714A9E1D" w14:textId="77777777" w:rsidR="00204EA1" w:rsidRPr="00567EA2" w:rsidRDefault="00204EA1" w:rsidP="00F709DA">
      <w:pPr>
        <w:pStyle w:val="Call"/>
      </w:pPr>
      <w:r w:rsidRPr="00567EA2">
        <w:t>invite la Conférence mondiale des radiocommunications de 2027</w:t>
      </w:r>
    </w:p>
    <w:p w14:paraId="56A0A350" w14:textId="77777777" w:rsidR="00204EA1" w:rsidRPr="00567EA2" w:rsidRDefault="00204EA1" w:rsidP="00F709DA">
      <w:r w:rsidRPr="00567EA2">
        <w:t>à examiner les résultats des études susmentionnées et à adopter les mesures nécessaires en conséquence,</w:t>
      </w:r>
    </w:p>
    <w:p w14:paraId="6BA619BD" w14:textId="77777777" w:rsidR="00204EA1" w:rsidRPr="00567EA2" w:rsidRDefault="00204EA1" w:rsidP="00F709DA">
      <w:pPr>
        <w:pStyle w:val="Call"/>
      </w:pPr>
      <w:r w:rsidRPr="00567EA2">
        <w:t>invite les administrations</w:t>
      </w:r>
    </w:p>
    <w:p w14:paraId="5E365428" w14:textId="77777777" w:rsidR="00204EA1" w:rsidRPr="00567EA2" w:rsidRDefault="00204EA1" w:rsidP="00F709DA">
      <w:r w:rsidRPr="00567EA2">
        <w:t>à participer activement aux études en soumettant leurs contributions à l'UIT-R.</w:t>
      </w:r>
    </w:p>
    <w:p w14:paraId="65475CF8" w14:textId="77777777" w:rsidR="00204EA1" w:rsidRPr="00567EA2" w:rsidRDefault="00204EA1" w:rsidP="00F709DA">
      <w:pPr>
        <w:pStyle w:val="Reasons"/>
      </w:pPr>
    </w:p>
    <w:p w14:paraId="4CA99AB9" w14:textId="3A2272ED" w:rsidR="005F5AFC" w:rsidRPr="00567EA2" w:rsidRDefault="005F74E0" w:rsidP="00F709DA">
      <w:pPr>
        <w:pStyle w:val="Proposal"/>
      </w:pPr>
      <w:r w:rsidRPr="00567EA2">
        <w:lastRenderedPageBreak/>
        <w:t>SUP</w:t>
      </w:r>
      <w:r w:rsidRPr="00567EA2">
        <w:tab/>
      </w:r>
      <w:r w:rsidR="00A81A63">
        <w:t>NIG/</w:t>
      </w:r>
      <w:r w:rsidRPr="00567EA2">
        <w:t>PNG/TON/164/3</w:t>
      </w:r>
    </w:p>
    <w:p w14:paraId="21A18E57" w14:textId="77777777" w:rsidR="00FB3DF6" w:rsidRPr="00567EA2" w:rsidRDefault="005F74E0" w:rsidP="00F709DA">
      <w:pPr>
        <w:pStyle w:val="ResNo"/>
      </w:pPr>
      <w:bookmarkStart w:id="6" w:name="_Toc35933927"/>
      <w:bookmarkStart w:id="7" w:name="_Toc39829409"/>
      <w:r w:rsidRPr="00567EA2">
        <w:t xml:space="preserve">RÉSOLUTION </w:t>
      </w:r>
      <w:r w:rsidRPr="00567EA2">
        <w:rPr>
          <w:rStyle w:val="href"/>
        </w:rPr>
        <w:t xml:space="preserve">812 </w:t>
      </w:r>
      <w:r w:rsidRPr="00567EA2">
        <w:t>(CMR-19)</w:t>
      </w:r>
      <w:bookmarkEnd w:id="6"/>
      <w:bookmarkEnd w:id="7"/>
    </w:p>
    <w:p w14:paraId="4DDE5EFF" w14:textId="77777777" w:rsidR="00FB3DF6" w:rsidRPr="00567EA2" w:rsidRDefault="005F74E0" w:rsidP="00F709DA">
      <w:pPr>
        <w:pStyle w:val="Restitle"/>
      </w:pPr>
      <w:bookmarkStart w:id="8" w:name="_Toc450208829"/>
      <w:bookmarkStart w:id="9" w:name="_Toc35933928"/>
      <w:bookmarkStart w:id="10" w:name="_Toc39829410"/>
      <w:r w:rsidRPr="00567EA2">
        <w:t>Ordre du jour préliminaire de la Conférence mondiale</w:t>
      </w:r>
      <w:r w:rsidRPr="00567EA2">
        <w:br/>
        <w:t>des radiocommunications de 202</w:t>
      </w:r>
      <w:bookmarkEnd w:id="8"/>
      <w:r w:rsidRPr="00567EA2">
        <w:t>7</w:t>
      </w:r>
      <w:r w:rsidRPr="00567EA2">
        <w:rPr>
          <w:rStyle w:val="FootnoteReference"/>
        </w:rPr>
        <w:footnoteReference w:customMarkFollows="1" w:id="1"/>
        <w:t>*</w:t>
      </w:r>
      <w:bookmarkEnd w:id="9"/>
      <w:bookmarkEnd w:id="10"/>
    </w:p>
    <w:p w14:paraId="00210DFB" w14:textId="350B04C9" w:rsidR="005F5AFC" w:rsidRPr="00567EA2" w:rsidRDefault="005F74E0" w:rsidP="00F709DA">
      <w:pPr>
        <w:pStyle w:val="Reasons"/>
      </w:pPr>
      <w:r w:rsidRPr="00567EA2">
        <w:rPr>
          <w:b/>
        </w:rPr>
        <w:t>Motifs:</w:t>
      </w:r>
      <w:r w:rsidRPr="00567EA2">
        <w:tab/>
      </w:r>
      <w:r w:rsidR="00204EA1" w:rsidRPr="00567EA2">
        <w:t>La présente Résolution doit être supprimée car la CMR-23 élaborera une nouvelle Résolution comprenant l'ordre du jour de la CMR-27.</w:t>
      </w:r>
    </w:p>
    <w:p w14:paraId="02C363CC" w14:textId="4FDCA96E" w:rsidR="00204EA1" w:rsidRPr="00567EA2" w:rsidRDefault="00204EA1" w:rsidP="00F709DA">
      <w:pPr>
        <w:tabs>
          <w:tab w:val="clear" w:pos="1134"/>
          <w:tab w:val="clear" w:pos="1871"/>
          <w:tab w:val="clear" w:pos="2268"/>
        </w:tabs>
        <w:overflowPunct/>
        <w:autoSpaceDE/>
        <w:autoSpaceDN/>
        <w:adjustRightInd/>
        <w:spacing w:before="0"/>
        <w:textAlignment w:val="auto"/>
      </w:pPr>
      <w:r w:rsidRPr="00567EA2">
        <w:br w:type="page"/>
      </w:r>
    </w:p>
    <w:p w14:paraId="5F5CC54A" w14:textId="37C7B266" w:rsidR="00204EA1" w:rsidRPr="00567EA2" w:rsidRDefault="00204EA1" w:rsidP="00F709DA">
      <w:pPr>
        <w:pStyle w:val="AnnexNo"/>
      </w:pPr>
      <w:r w:rsidRPr="00567EA2">
        <w:lastRenderedPageBreak/>
        <w:t>annexe</w:t>
      </w:r>
    </w:p>
    <w:p w14:paraId="0313C04F" w14:textId="789F7499" w:rsidR="00204EA1" w:rsidRPr="00567EA2" w:rsidRDefault="00744C3D" w:rsidP="00F709DA">
      <w:pPr>
        <w:pStyle w:val="Annextitle"/>
      </w:pPr>
      <w:r w:rsidRPr="00567EA2">
        <w:t>Proposition d'inscription d'un point à l'ordre du jour de la CMR-27</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3"/>
        <w:gridCol w:w="5386"/>
      </w:tblGrid>
      <w:tr w:rsidR="0024361A" w:rsidRPr="00567EA2" w14:paraId="47A401A8" w14:textId="77777777" w:rsidTr="00C22903">
        <w:trPr>
          <w:trHeight w:val="300"/>
        </w:trPr>
        <w:tc>
          <w:tcPr>
            <w:tcW w:w="9639" w:type="dxa"/>
            <w:gridSpan w:val="2"/>
            <w:tcBorders>
              <w:top w:val="nil"/>
              <w:left w:val="nil"/>
              <w:bottom w:val="nil"/>
              <w:right w:val="nil"/>
            </w:tcBorders>
            <w:shd w:val="clear" w:color="auto" w:fill="auto"/>
            <w:hideMark/>
          </w:tcPr>
          <w:p w14:paraId="674B1CFD" w14:textId="239FC53E" w:rsidR="0024361A" w:rsidRPr="00567EA2" w:rsidRDefault="0024361A" w:rsidP="00C22903">
            <w:pPr>
              <w:pStyle w:val="Normalaftertitle"/>
              <w:ind w:left="142"/>
              <w:rPr>
                <w:b/>
                <w:bCs/>
              </w:rPr>
            </w:pPr>
            <w:r w:rsidRPr="00567EA2">
              <w:rPr>
                <w:b/>
                <w:bCs/>
              </w:rPr>
              <w:t>Objet:</w:t>
            </w:r>
            <w:r w:rsidR="00744C3D" w:rsidRPr="00567EA2">
              <w:t xml:space="preserve"> Utilisation de la bande de fréquences 12,75-13,25</w:t>
            </w:r>
            <w:r w:rsidR="00901254" w:rsidRPr="00567EA2">
              <w:t xml:space="preserve"> </w:t>
            </w:r>
            <w:r w:rsidR="00744C3D" w:rsidRPr="00567EA2">
              <w:t>GHz par les stations terriennes en mouvement à bord d'aéronefs et de navires communiquant avec des stations spatiales</w:t>
            </w:r>
            <w:r w:rsidR="00901254" w:rsidRPr="00567EA2">
              <w:t xml:space="preserve"> </w:t>
            </w:r>
            <w:r w:rsidR="00744C3D" w:rsidRPr="00567EA2">
              <w:t>non</w:t>
            </w:r>
            <w:r w:rsidR="00901254" w:rsidRPr="00567EA2">
              <w:t> </w:t>
            </w:r>
            <w:r w:rsidR="00744C3D" w:rsidRPr="00567EA2">
              <w:t>géostationnaires (non</w:t>
            </w:r>
            <w:r w:rsidR="00901254" w:rsidRPr="00567EA2">
              <w:t xml:space="preserve"> </w:t>
            </w:r>
            <w:r w:rsidR="00744C3D" w:rsidRPr="00567EA2">
              <w:t>OSG) du service fixe par satellite (SFS) (Terre vers espace)</w:t>
            </w:r>
            <w:r w:rsidR="00901254" w:rsidRPr="00567EA2">
              <w:t>.</w:t>
            </w:r>
          </w:p>
        </w:tc>
      </w:tr>
      <w:tr w:rsidR="0024361A" w:rsidRPr="00567EA2" w14:paraId="3189667E" w14:textId="77777777" w:rsidTr="00C22903">
        <w:trPr>
          <w:trHeight w:val="300"/>
        </w:trPr>
        <w:tc>
          <w:tcPr>
            <w:tcW w:w="9639" w:type="dxa"/>
            <w:gridSpan w:val="2"/>
            <w:tcBorders>
              <w:top w:val="nil"/>
              <w:left w:val="nil"/>
              <w:bottom w:val="single" w:sz="6" w:space="0" w:color="auto"/>
              <w:right w:val="nil"/>
            </w:tcBorders>
            <w:shd w:val="clear" w:color="auto" w:fill="auto"/>
            <w:hideMark/>
          </w:tcPr>
          <w:p w14:paraId="79E06B82" w14:textId="4E9220CE" w:rsidR="0024361A" w:rsidRPr="00567EA2" w:rsidRDefault="0024361A" w:rsidP="00C22903">
            <w:pPr>
              <w:pStyle w:val="Normalaftertitle"/>
              <w:ind w:left="142"/>
              <w:rPr>
                <w:b/>
                <w:bCs/>
              </w:rPr>
            </w:pPr>
            <w:r w:rsidRPr="00567EA2">
              <w:rPr>
                <w:b/>
                <w:bCs/>
              </w:rPr>
              <w:t>Origine:</w:t>
            </w:r>
            <w:r w:rsidRPr="00567EA2">
              <w:t xml:space="preserve"> </w:t>
            </w:r>
            <w:r w:rsidR="00A81A63" w:rsidRPr="00A81A63">
              <w:t>Nigéria (République fédérale du)</w:t>
            </w:r>
            <w:r w:rsidR="00A81A63">
              <w:t>/</w:t>
            </w:r>
            <w:r w:rsidR="00744C3D" w:rsidRPr="00567EA2">
              <w:t>Papouasie-Nouvelle-Guinée/Tonga (Royaume des)</w:t>
            </w:r>
          </w:p>
        </w:tc>
      </w:tr>
      <w:tr w:rsidR="0024361A" w:rsidRPr="00567EA2" w14:paraId="602A608B" w14:textId="77777777" w:rsidTr="00C22903">
        <w:trPr>
          <w:trHeight w:val="300"/>
        </w:trPr>
        <w:tc>
          <w:tcPr>
            <w:tcW w:w="9639" w:type="dxa"/>
            <w:gridSpan w:val="2"/>
            <w:tcBorders>
              <w:top w:val="single" w:sz="6" w:space="0" w:color="auto"/>
              <w:left w:val="nil"/>
              <w:bottom w:val="single" w:sz="4" w:space="0" w:color="auto"/>
              <w:right w:val="nil"/>
            </w:tcBorders>
            <w:shd w:val="clear" w:color="auto" w:fill="auto"/>
            <w:hideMark/>
          </w:tcPr>
          <w:p w14:paraId="7F2DCACF" w14:textId="77777777" w:rsidR="0024361A" w:rsidRPr="00567EA2" w:rsidRDefault="0024361A" w:rsidP="00C22903">
            <w:pPr>
              <w:ind w:left="142"/>
              <w:rPr>
                <w:b/>
                <w:bCs/>
                <w:i/>
                <w:iCs/>
              </w:rPr>
            </w:pPr>
            <w:r w:rsidRPr="00567EA2">
              <w:rPr>
                <w:b/>
                <w:bCs/>
                <w:i/>
                <w:iCs/>
              </w:rPr>
              <w:t>Proposition:</w:t>
            </w:r>
          </w:p>
          <w:p w14:paraId="1ACA5BA4" w14:textId="63449B7A" w:rsidR="0024361A" w:rsidRPr="00567EA2" w:rsidRDefault="00744C3D" w:rsidP="00C22903">
            <w:pPr>
              <w:ind w:left="142"/>
            </w:pPr>
            <w:r w:rsidRPr="00567EA2">
              <w:t>Utilisation de la bande de fréquences 12,75-13,25</w:t>
            </w:r>
            <w:r w:rsidR="00901254" w:rsidRPr="00567EA2">
              <w:t xml:space="preserve"> </w:t>
            </w:r>
            <w:r w:rsidRPr="00567EA2">
              <w:t>GHz par les stations terriennes en mouvement à bord d'aéronefs et de navires communiquant avec des stations spatiales non</w:t>
            </w:r>
            <w:r w:rsidR="00901254" w:rsidRPr="00567EA2">
              <w:t> </w:t>
            </w:r>
            <w:r w:rsidRPr="00567EA2">
              <w:t>géostationnaires du service fixe par satellite (Terre vers espace), conformément à la Résolution</w:t>
            </w:r>
            <w:r w:rsidR="00FE25E0" w:rsidRPr="00567EA2">
              <w:t> </w:t>
            </w:r>
            <w:r w:rsidRPr="00567EA2">
              <w:rPr>
                <w:b/>
                <w:bCs/>
                <w:color w:val="000000"/>
              </w:rPr>
              <w:t>[</w:t>
            </w:r>
            <w:r w:rsidRPr="00567EA2">
              <w:rPr>
                <w:b/>
                <w:bCs/>
              </w:rPr>
              <w:t>NGSO</w:t>
            </w:r>
            <w:r w:rsidR="00FE25E0" w:rsidRPr="00567EA2">
              <w:rPr>
                <w:b/>
                <w:bCs/>
              </w:rPr>
              <w:t> </w:t>
            </w:r>
            <w:r w:rsidRPr="00567EA2">
              <w:rPr>
                <w:b/>
                <w:bCs/>
              </w:rPr>
              <w:t>ESIM</w:t>
            </w:r>
            <w:r w:rsidR="00FE25E0" w:rsidRPr="00567EA2">
              <w:rPr>
                <w:b/>
                <w:bCs/>
              </w:rPr>
              <w:t> </w:t>
            </w:r>
            <w:r w:rsidRPr="00567EA2">
              <w:rPr>
                <w:b/>
                <w:bCs/>
              </w:rPr>
              <w:t>13</w:t>
            </w:r>
            <w:r w:rsidR="00FE25E0" w:rsidRPr="00567EA2">
              <w:rPr>
                <w:b/>
                <w:bCs/>
              </w:rPr>
              <w:t> </w:t>
            </w:r>
            <w:r w:rsidRPr="00567EA2">
              <w:rPr>
                <w:b/>
                <w:bCs/>
              </w:rPr>
              <w:t>GHz] (CMR-23)</w:t>
            </w:r>
            <w:r w:rsidRPr="00567EA2">
              <w:rPr>
                <w:color w:val="000000"/>
              </w:rPr>
              <w:t>.</w:t>
            </w:r>
          </w:p>
        </w:tc>
      </w:tr>
      <w:tr w:rsidR="0024361A" w:rsidRPr="00567EA2" w14:paraId="1F307EDF" w14:textId="77777777" w:rsidTr="00C22903">
        <w:trPr>
          <w:trHeight w:val="300"/>
        </w:trPr>
        <w:tc>
          <w:tcPr>
            <w:tcW w:w="9639" w:type="dxa"/>
            <w:gridSpan w:val="2"/>
            <w:tcBorders>
              <w:top w:val="single" w:sz="4" w:space="0" w:color="auto"/>
              <w:left w:val="nil"/>
              <w:bottom w:val="nil"/>
              <w:right w:val="nil"/>
            </w:tcBorders>
            <w:shd w:val="clear" w:color="auto" w:fill="auto"/>
            <w:hideMark/>
          </w:tcPr>
          <w:p w14:paraId="54C696A7" w14:textId="77777777" w:rsidR="0024361A" w:rsidRPr="00567EA2" w:rsidRDefault="0024361A" w:rsidP="00C22903">
            <w:pPr>
              <w:ind w:left="142"/>
              <w:rPr>
                <w:b/>
                <w:bCs/>
                <w:i/>
                <w:iCs/>
              </w:rPr>
            </w:pPr>
            <w:r w:rsidRPr="00567EA2">
              <w:rPr>
                <w:b/>
                <w:bCs/>
                <w:i/>
                <w:iCs/>
              </w:rPr>
              <w:t>Contexte/motif:</w:t>
            </w:r>
          </w:p>
          <w:p w14:paraId="45CD8118" w14:textId="0E24176A" w:rsidR="008638FE" w:rsidRPr="00567EA2" w:rsidRDefault="008638FE" w:rsidP="00C22903">
            <w:pPr>
              <w:ind w:left="142"/>
            </w:pPr>
            <w:r w:rsidRPr="00567EA2">
              <w:t>Compte tenu de la demande croissante des secteurs aéronautique et maritime en matière d'applications Internet, les capacités satellitaires doivent être renforcées pour ces services. Cette demande peut être en partie satisfaite au moyen de capacités supplémentaires obtenues en autorisant l'exploitation de stations terriennes en mouvement (ESIM) communiquant avec des stations spatiales non</w:t>
            </w:r>
            <w:r w:rsidR="00901254" w:rsidRPr="00567EA2">
              <w:t xml:space="preserve"> </w:t>
            </w:r>
            <w:r w:rsidRPr="00567EA2">
              <w:t>OSG du SFS dans la bande de fréquences 12,75-13,25</w:t>
            </w:r>
            <w:r w:rsidR="00901254" w:rsidRPr="00567EA2">
              <w:t xml:space="preserve"> </w:t>
            </w:r>
            <w:r w:rsidRPr="00567EA2">
              <w:t>GHz.</w:t>
            </w:r>
          </w:p>
          <w:p w14:paraId="2728EC6A" w14:textId="071F6570" w:rsidR="008638FE" w:rsidRPr="00567EA2" w:rsidRDefault="008638FE" w:rsidP="00C22903">
            <w:pPr>
              <w:ind w:left="142"/>
            </w:pPr>
            <w:r w:rsidRPr="00567EA2">
              <w:t>La bande de fréquences 12,75-13,25</w:t>
            </w:r>
            <w:r w:rsidR="00901254" w:rsidRPr="00567EA2">
              <w:t xml:space="preserve"> </w:t>
            </w:r>
            <w:r w:rsidRPr="00567EA2">
              <w:t>GHz a été étudiée en vue d'être utilisée par les stations</w:t>
            </w:r>
            <w:r w:rsidR="00901254" w:rsidRPr="00567EA2">
              <w:t xml:space="preserve"> </w:t>
            </w:r>
            <w:r w:rsidRPr="00567EA2">
              <w:t>A</w:t>
            </w:r>
            <w:r w:rsidR="00901254" w:rsidRPr="00567EA2">
              <w:noBreakHyphen/>
            </w:r>
            <w:r w:rsidRPr="00567EA2">
              <w:t>ESIM et M-ESIM communiquant avec des stations spatiales du SFS non OSG au titre du point</w:t>
            </w:r>
            <w:r w:rsidR="00C22903" w:rsidRPr="00567EA2">
              <w:t> </w:t>
            </w:r>
            <w:r w:rsidRPr="00567EA2">
              <w:t>1.15 de l'ordre du jour de la CMR-23, conformément à la Résolution</w:t>
            </w:r>
            <w:r w:rsidR="00901254" w:rsidRPr="00567EA2">
              <w:t xml:space="preserve"> </w:t>
            </w:r>
            <w:r w:rsidRPr="00567EA2">
              <w:rPr>
                <w:b/>
                <w:bCs/>
              </w:rPr>
              <w:t>172</w:t>
            </w:r>
            <w:r w:rsidR="00901254" w:rsidRPr="00567EA2">
              <w:rPr>
                <w:b/>
                <w:bCs/>
              </w:rPr>
              <w:t xml:space="preserve"> </w:t>
            </w:r>
            <w:r w:rsidRPr="00567EA2">
              <w:rPr>
                <w:b/>
                <w:bCs/>
              </w:rPr>
              <w:t>(CMR-19)</w:t>
            </w:r>
            <w:r w:rsidRPr="00567EA2">
              <w:t>. Ces études ont montré qu'il est possible de définir un ensemble de conditions techniques, opérationnelles et réglementaires applicables en vue de l'exploitation de stations</w:t>
            </w:r>
            <w:r w:rsidR="00901254" w:rsidRPr="00567EA2">
              <w:t xml:space="preserve"> </w:t>
            </w:r>
            <w:r w:rsidRPr="00567EA2">
              <w:t>A-ESIM et M</w:t>
            </w:r>
            <w:r w:rsidR="00901254" w:rsidRPr="00567EA2">
              <w:noBreakHyphen/>
            </w:r>
            <w:r w:rsidRPr="00567EA2">
              <w:t>ESIM communiquant avec des stations spatiales du SFS non</w:t>
            </w:r>
            <w:r w:rsidR="00901254" w:rsidRPr="00567EA2">
              <w:t xml:space="preserve"> </w:t>
            </w:r>
            <w:r w:rsidRPr="00567EA2">
              <w:t>OSG dans la bande de fréquences, tout en protégeant les autres services bénéficiant d'une attribution.</w:t>
            </w:r>
          </w:p>
          <w:p w14:paraId="6802720D" w14:textId="1451D8EC" w:rsidR="008638FE" w:rsidRPr="00567EA2" w:rsidRDefault="008638FE" w:rsidP="00C22903">
            <w:pPr>
              <w:ind w:left="142"/>
            </w:pPr>
            <w:r w:rsidRPr="00567EA2">
              <w:t>Les études menées au titre du point</w:t>
            </w:r>
            <w:r w:rsidR="00901254" w:rsidRPr="00567EA2">
              <w:t xml:space="preserve"> </w:t>
            </w:r>
            <w:r w:rsidRPr="00567EA2">
              <w:t>1.16 de l'ordre du jour de la CMR-23, conformément à la Résolution</w:t>
            </w:r>
            <w:r w:rsidR="00901254" w:rsidRPr="00567EA2">
              <w:t xml:space="preserve"> </w:t>
            </w:r>
            <w:r w:rsidRPr="00567EA2">
              <w:rPr>
                <w:b/>
                <w:bCs/>
              </w:rPr>
              <w:t>173</w:t>
            </w:r>
            <w:r w:rsidR="00901254" w:rsidRPr="00567EA2">
              <w:rPr>
                <w:b/>
                <w:bCs/>
              </w:rPr>
              <w:t xml:space="preserve"> </w:t>
            </w:r>
            <w:r w:rsidRPr="00567EA2">
              <w:rPr>
                <w:b/>
                <w:bCs/>
              </w:rPr>
              <w:t>(CMR-19)</w:t>
            </w:r>
            <w:r w:rsidRPr="00567EA2">
              <w:t>, montrent que les stations</w:t>
            </w:r>
            <w:r w:rsidR="00901254" w:rsidRPr="00567EA2">
              <w:t xml:space="preserve"> </w:t>
            </w:r>
            <w:r w:rsidRPr="00567EA2">
              <w:t>ESIM OSG et non</w:t>
            </w:r>
            <w:r w:rsidR="00901254" w:rsidRPr="00567EA2">
              <w:t xml:space="preserve"> </w:t>
            </w:r>
            <w:r w:rsidRPr="00567EA2">
              <w:t>OSG peuvent fonctionner dans des conditions analogues pour assurer la protection des services existants.</w:t>
            </w:r>
          </w:p>
          <w:p w14:paraId="40DE4ADE" w14:textId="0C1A5FEC" w:rsidR="008638FE" w:rsidRPr="00567EA2" w:rsidRDefault="00E460DA" w:rsidP="00C22903">
            <w:pPr>
              <w:ind w:left="142"/>
            </w:pPr>
            <w:r w:rsidRPr="00567EA2">
              <w:t>Le développement des constellations de satellites non</w:t>
            </w:r>
            <w:r w:rsidR="00901254" w:rsidRPr="00567EA2">
              <w:t xml:space="preserve"> </w:t>
            </w:r>
            <w:r w:rsidRPr="00567EA2">
              <w:t>OSG s</w:t>
            </w:r>
            <w:r w:rsidR="00C821B7" w:rsidRPr="00567EA2">
              <w:t>'</w:t>
            </w:r>
            <w:r w:rsidRPr="00567EA2">
              <w:t>intensifiant, étudier l'extension de l'utilisation du SFS afin de couvrir la fourniture d'applications</w:t>
            </w:r>
            <w:r w:rsidR="00901254" w:rsidRPr="00567EA2">
              <w:t xml:space="preserve"> </w:t>
            </w:r>
            <w:r w:rsidRPr="00567EA2">
              <w:t>ESIM non</w:t>
            </w:r>
            <w:r w:rsidR="00901254" w:rsidRPr="00567EA2">
              <w:t xml:space="preserve"> </w:t>
            </w:r>
            <w:r w:rsidRPr="00567EA2">
              <w:t>OSG dans la bande de fréquences 12,75-13,25</w:t>
            </w:r>
            <w:r w:rsidR="00901254" w:rsidRPr="00567EA2">
              <w:t xml:space="preserve"> </w:t>
            </w:r>
            <w:r w:rsidRPr="00567EA2">
              <w:t>GHz tout en protégeant les services existants serait un moyen de rendre l</w:t>
            </w:r>
            <w:r w:rsidR="00451CB9" w:rsidRPr="00567EA2">
              <w:t>'</w:t>
            </w:r>
            <w:r w:rsidRPr="00567EA2">
              <w:t>utilisation du spectre disponible plus efficace en ce qui concerne les satellites.</w:t>
            </w:r>
          </w:p>
          <w:p w14:paraId="6439F9C9" w14:textId="295CE5B3" w:rsidR="0024361A" w:rsidRPr="00567EA2" w:rsidRDefault="008638FE" w:rsidP="00C22903">
            <w:pPr>
              <w:ind w:left="142"/>
            </w:pPr>
            <w:r w:rsidRPr="00567EA2">
              <w:t xml:space="preserve">Les services par satellite destinés aux secteurs aéronautique et maritime présentent un caractère universel et </w:t>
            </w:r>
            <w:r w:rsidR="00E460DA" w:rsidRPr="00567EA2">
              <w:t xml:space="preserve">gagnent donc beaucoup à ce que la réglementation soit harmonisée sur le plan mondial au moyen du </w:t>
            </w:r>
            <w:r w:rsidRPr="00567EA2">
              <w:t>Règlement des radiocommunications de l'UIT.</w:t>
            </w:r>
          </w:p>
        </w:tc>
      </w:tr>
      <w:tr w:rsidR="0024361A" w:rsidRPr="00567EA2" w14:paraId="1F8A1FCB" w14:textId="77777777" w:rsidTr="00C22903">
        <w:trPr>
          <w:trHeight w:val="300"/>
        </w:trPr>
        <w:tc>
          <w:tcPr>
            <w:tcW w:w="9639" w:type="dxa"/>
            <w:gridSpan w:val="2"/>
            <w:tcBorders>
              <w:top w:val="nil"/>
              <w:left w:val="nil"/>
              <w:bottom w:val="single" w:sz="6" w:space="0" w:color="auto"/>
              <w:right w:val="nil"/>
            </w:tcBorders>
            <w:shd w:val="clear" w:color="auto" w:fill="auto"/>
          </w:tcPr>
          <w:p w14:paraId="41FDDF51" w14:textId="4B7C44DB" w:rsidR="0024361A" w:rsidRPr="00567EA2" w:rsidRDefault="0024361A" w:rsidP="00C22903">
            <w:pPr>
              <w:ind w:left="142"/>
              <w:rPr>
                <w:b/>
                <w:bCs/>
                <w:i/>
                <w:iCs/>
              </w:rPr>
            </w:pPr>
            <w:r w:rsidRPr="00567EA2">
              <w:rPr>
                <w:b/>
                <w:bCs/>
                <w:i/>
                <w:iCs/>
              </w:rPr>
              <w:t>Services de radiocommunication concernés:</w:t>
            </w:r>
          </w:p>
          <w:p w14:paraId="227FE53D" w14:textId="534A8E99" w:rsidR="000836C3" w:rsidRPr="00567EA2" w:rsidRDefault="000836C3" w:rsidP="00C22903">
            <w:pPr>
              <w:ind w:left="142"/>
            </w:pPr>
            <w:r w:rsidRPr="00567EA2">
              <w:t>Service fixe par satellite, service fixe, service mobile, service de recherche spatiale (espace lointain)</w:t>
            </w:r>
          </w:p>
        </w:tc>
      </w:tr>
      <w:tr w:rsidR="0024361A" w:rsidRPr="00567EA2" w14:paraId="08148D71" w14:textId="77777777" w:rsidTr="00C22903">
        <w:trPr>
          <w:trHeight w:val="300"/>
        </w:trPr>
        <w:tc>
          <w:tcPr>
            <w:tcW w:w="9639" w:type="dxa"/>
            <w:gridSpan w:val="2"/>
            <w:tcBorders>
              <w:top w:val="single" w:sz="6" w:space="0" w:color="auto"/>
              <w:left w:val="nil"/>
              <w:bottom w:val="single" w:sz="6" w:space="0" w:color="auto"/>
              <w:right w:val="nil"/>
            </w:tcBorders>
            <w:shd w:val="clear" w:color="auto" w:fill="auto"/>
          </w:tcPr>
          <w:p w14:paraId="10F25EEE" w14:textId="77777777" w:rsidR="0024361A" w:rsidRPr="00567EA2" w:rsidRDefault="0024361A" w:rsidP="00C22903">
            <w:pPr>
              <w:ind w:left="142"/>
              <w:rPr>
                <w:b/>
                <w:bCs/>
                <w:i/>
                <w:iCs/>
              </w:rPr>
            </w:pPr>
            <w:r w:rsidRPr="00567EA2">
              <w:rPr>
                <w:b/>
                <w:bCs/>
                <w:i/>
                <w:iCs/>
              </w:rPr>
              <w:t>Indication des difficultés éventuelles:</w:t>
            </w:r>
          </w:p>
          <w:p w14:paraId="3D307C12" w14:textId="5E4D5CF2" w:rsidR="0024361A" w:rsidRPr="00567EA2" w:rsidRDefault="000836C3" w:rsidP="00C22903">
            <w:pPr>
              <w:ind w:left="142"/>
            </w:pPr>
            <w:r w:rsidRPr="00567EA2">
              <w:t>Aucune difficulté n'est prévue.</w:t>
            </w:r>
          </w:p>
        </w:tc>
      </w:tr>
      <w:tr w:rsidR="0024361A" w:rsidRPr="00567EA2" w14:paraId="580D3FE4" w14:textId="77777777" w:rsidTr="00C22903">
        <w:trPr>
          <w:trHeight w:val="300"/>
        </w:trPr>
        <w:tc>
          <w:tcPr>
            <w:tcW w:w="9639" w:type="dxa"/>
            <w:gridSpan w:val="2"/>
            <w:tcBorders>
              <w:top w:val="single" w:sz="6" w:space="0" w:color="auto"/>
              <w:left w:val="nil"/>
              <w:bottom w:val="single" w:sz="6" w:space="0" w:color="auto"/>
              <w:right w:val="nil"/>
            </w:tcBorders>
            <w:shd w:val="clear" w:color="auto" w:fill="auto"/>
          </w:tcPr>
          <w:p w14:paraId="1782E5CB" w14:textId="77777777" w:rsidR="0024361A" w:rsidRPr="00567EA2" w:rsidRDefault="0024361A" w:rsidP="00567EA2">
            <w:pPr>
              <w:keepNext/>
              <w:keepLines/>
              <w:ind w:left="142"/>
              <w:rPr>
                <w:b/>
                <w:bCs/>
                <w:i/>
                <w:iCs/>
              </w:rPr>
            </w:pPr>
            <w:r w:rsidRPr="00567EA2">
              <w:rPr>
                <w:b/>
                <w:bCs/>
                <w:i/>
                <w:iCs/>
              </w:rPr>
              <w:lastRenderedPageBreak/>
              <w:t>Études précédentes ou en cours sur la question</w:t>
            </w:r>
            <w:r w:rsidRPr="00567EA2">
              <w:rPr>
                <w:b/>
                <w:bCs/>
              </w:rPr>
              <w:t>:</w:t>
            </w:r>
          </w:p>
          <w:p w14:paraId="750A397C" w14:textId="0B9821F3" w:rsidR="0024361A" w:rsidRPr="00567EA2" w:rsidRDefault="000836C3" w:rsidP="00567EA2">
            <w:pPr>
              <w:keepNext/>
              <w:keepLines/>
              <w:ind w:left="142"/>
            </w:pPr>
            <w:r w:rsidRPr="00567EA2">
              <w:t>Le point</w:t>
            </w:r>
            <w:r w:rsidR="00901254" w:rsidRPr="00567EA2">
              <w:t xml:space="preserve"> </w:t>
            </w:r>
            <w:r w:rsidRPr="00567EA2">
              <w:t xml:space="preserve">1.15 de l'ordre du jour de la CMR-23 traite des conditions techniques, opérationnelles et réglementaires </w:t>
            </w:r>
            <w:r w:rsidR="008638FE" w:rsidRPr="00567EA2">
              <w:t xml:space="preserve">applicables en vue de l'exploitation </w:t>
            </w:r>
            <w:r w:rsidRPr="00567EA2">
              <w:t>des stations</w:t>
            </w:r>
            <w:r w:rsidR="00901254" w:rsidRPr="00567EA2">
              <w:t xml:space="preserve"> </w:t>
            </w:r>
            <w:r w:rsidRPr="00567EA2">
              <w:t>A-ESIM et M-ESIM dans la bande de fréquences 12,75-13,75</w:t>
            </w:r>
            <w:r w:rsidR="00901254" w:rsidRPr="00567EA2">
              <w:t xml:space="preserve"> </w:t>
            </w:r>
            <w:r w:rsidRPr="00567EA2">
              <w:t>GHz, tout en assurant la protection des services existants.</w:t>
            </w:r>
          </w:p>
          <w:p w14:paraId="13B66A00" w14:textId="64B8DB76" w:rsidR="000836C3" w:rsidRPr="00567EA2" w:rsidRDefault="000836C3" w:rsidP="00C22903">
            <w:pPr>
              <w:ind w:left="142"/>
            </w:pPr>
            <w:r w:rsidRPr="00567EA2">
              <w:t>En 2019, la CEPT a publié la Décision ECC/DEC/(19)04, qui définit les conditions d'exploitation des stations</w:t>
            </w:r>
            <w:r w:rsidR="00901254" w:rsidRPr="00567EA2">
              <w:t xml:space="preserve"> </w:t>
            </w:r>
            <w:r w:rsidRPr="00567EA2">
              <w:t>A-ESIM communiquant avec des stations spatiales OSG et des stations spatiales non</w:t>
            </w:r>
            <w:r w:rsidR="00901254" w:rsidRPr="00567EA2">
              <w:t xml:space="preserve"> </w:t>
            </w:r>
            <w:r w:rsidRPr="00567EA2">
              <w:t>OSG du SFS dans la bande de fréquences 12,75-13,75</w:t>
            </w:r>
            <w:r w:rsidR="00901254" w:rsidRPr="00567EA2">
              <w:t xml:space="preserve"> </w:t>
            </w:r>
            <w:r w:rsidRPr="00567EA2">
              <w:t>GHz.</w:t>
            </w:r>
          </w:p>
        </w:tc>
      </w:tr>
      <w:tr w:rsidR="0024361A" w:rsidRPr="00567EA2" w14:paraId="374E6319" w14:textId="77777777" w:rsidTr="00C22903">
        <w:trPr>
          <w:trHeight w:val="300"/>
        </w:trPr>
        <w:tc>
          <w:tcPr>
            <w:tcW w:w="4253" w:type="dxa"/>
            <w:tcBorders>
              <w:top w:val="single" w:sz="6" w:space="0" w:color="auto"/>
              <w:left w:val="nil"/>
              <w:bottom w:val="single" w:sz="6" w:space="0" w:color="auto"/>
              <w:right w:val="nil"/>
            </w:tcBorders>
            <w:shd w:val="clear" w:color="auto" w:fill="auto"/>
          </w:tcPr>
          <w:p w14:paraId="0F58E905" w14:textId="77777777" w:rsidR="0024361A" w:rsidRPr="00567EA2" w:rsidRDefault="0024361A" w:rsidP="00C22903">
            <w:pPr>
              <w:ind w:left="142"/>
              <w:rPr>
                <w:b/>
                <w:bCs/>
                <w:i/>
                <w:iCs/>
              </w:rPr>
            </w:pPr>
            <w:r w:rsidRPr="00567EA2">
              <w:rPr>
                <w:b/>
                <w:bCs/>
                <w:i/>
                <w:iCs/>
              </w:rPr>
              <w:t>Études devant être réalisées par:</w:t>
            </w:r>
          </w:p>
          <w:p w14:paraId="60F01A77" w14:textId="06653CD5" w:rsidR="0024361A" w:rsidRPr="00567EA2" w:rsidRDefault="000836C3" w:rsidP="00C22903">
            <w:pPr>
              <w:ind w:left="142"/>
            </w:pPr>
            <w:r w:rsidRPr="00567EA2">
              <w:t>CE</w:t>
            </w:r>
            <w:r w:rsidR="00901254" w:rsidRPr="00567EA2">
              <w:t xml:space="preserve"> </w:t>
            </w:r>
            <w:r w:rsidRPr="00567EA2">
              <w:t>4 de l'UIT-R</w:t>
            </w:r>
          </w:p>
        </w:tc>
        <w:tc>
          <w:tcPr>
            <w:tcW w:w="5386" w:type="dxa"/>
            <w:tcBorders>
              <w:top w:val="single" w:sz="6" w:space="0" w:color="auto"/>
              <w:left w:val="nil"/>
              <w:bottom w:val="single" w:sz="6" w:space="0" w:color="auto"/>
              <w:right w:val="nil"/>
            </w:tcBorders>
            <w:shd w:val="clear" w:color="auto" w:fill="auto"/>
          </w:tcPr>
          <w:p w14:paraId="4935FD97" w14:textId="0E15F874" w:rsidR="0024361A" w:rsidRPr="00567EA2" w:rsidRDefault="0024361A" w:rsidP="00C22903">
            <w:pPr>
              <w:ind w:left="142"/>
            </w:pPr>
            <w:r w:rsidRPr="00567EA2">
              <w:rPr>
                <w:b/>
                <w:bCs/>
                <w:i/>
                <w:iCs/>
              </w:rPr>
              <w:t>avec la participation de:</w:t>
            </w:r>
          </w:p>
        </w:tc>
      </w:tr>
      <w:tr w:rsidR="0024361A" w:rsidRPr="00567EA2" w14:paraId="11EBBC75" w14:textId="77777777" w:rsidTr="00C22903">
        <w:trPr>
          <w:trHeight w:val="300"/>
        </w:trPr>
        <w:tc>
          <w:tcPr>
            <w:tcW w:w="9639" w:type="dxa"/>
            <w:gridSpan w:val="2"/>
            <w:tcBorders>
              <w:top w:val="single" w:sz="6" w:space="0" w:color="auto"/>
              <w:left w:val="nil"/>
              <w:bottom w:val="single" w:sz="6" w:space="0" w:color="auto"/>
              <w:right w:val="nil"/>
            </w:tcBorders>
            <w:shd w:val="clear" w:color="auto" w:fill="auto"/>
          </w:tcPr>
          <w:p w14:paraId="553C765F" w14:textId="77777777" w:rsidR="0024361A" w:rsidRPr="00567EA2" w:rsidRDefault="0024361A" w:rsidP="00C22903">
            <w:pPr>
              <w:ind w:left="142"/>
              <w:rPr>
                <w:b/>
                <w:bCs/>
                <w:i/>
                <w:iCs/>
              </w:rPr>
            </w:pPr>
            <w:r w:rsidRPr="00567EA2">
              <w:rPr>
                <w:b/>
                <w:bCs/>
                <w:i/>
                <w:iCs/>
              </w:rPr>
              <w:t>Commissions d'études de l'UIT-R concernées:</w:t>
            </w:r>
          </w:p>
          <w:p w14:paraId="0B95EE83" w14:textId="5DA0D8A9" w:rsidR="0024361A" w:rsidRPr="00567EA2" w:rsidRDefault="000836C3" w:rsidP="00C22903">
            <w:pPr>
              <w:ind w:left="142"/>
            </w:pPr>
            <w:r w:rsidRPr="00567EA2">
              <w:t>CE</w:t>
            </w:r>
            <w:r w:rsidR="00901254" w:rsidRPr="00567EA2">
              <w:t xml:space="preserve"> </w:t>
            </w:r>
            <w:r w:rsidRPr="00567EA2">
              <w:t>5 et CE</w:t>
            </w:r>
            <w:r w:rsidR="00901254" w:rsidRPr="00567EA2">
              <w:t xml:space="preserve"> </w:t>
            </w:r>
            <w:r w:rsidRPr="00567EA2">
              <w:t>7</w:t>
            </w:r>
          </w:p>
        </w:tc>
      </w:tr>
      <w:tr w:rsidR="0024361A" w:rsidRPr="00567EA2" w14:paraId="0E4F6365" w14:textId="77777777" w:rsidTr="00C22903">
        <w:trPr>
          <w:trHeight w:val="300"/>
        </w:trPr>
        <w:tc>
          <w:tcPr>
            <w:tcW w:w="9639" w:type="dxa"/>
            <w:gridSpan w:val="2"/>
            <w:tcBorders>
              <w:top w:val="single" w:sz="6" w:space="0" w:color="auto"/>
              <w:left w:val="nil"/>
              <w:bottom w:val="single" w:sz="6" w:space="0" w:color="auto"/>
              <w:right w:val="nil"/>
            </w:tcBorders>
            <w:shd w:val="clear" w:color="auto" w:fill="auto"/>
          </w:tcPr>
          <w:p w14:paraId="53EEE18B" w14:textId="62AD0A14" w:rsidR="0024361A" w:rsidRPr="00567EA2" w:rsidRDefault="0024361A" w:rsidP="00C22903">
            <w:pPr>
              <w:ind w:left="142"/>
            </w:pPr>
            <w:r w:rsidRPr="00567EA2">
              <w:rPr>
                <w:b/>
                <w:bCs/>
                <w:i/>
                <w:iCs/>
              </w:rPr>
              <w:t>Répercussions au niveau des ressources de l'UIT, y compris incidences financières (voir le numéro</w:t>
            </w:r>
            <w:r w:rsidR="001672B3" w:rsidRPr="00567EA2">
              <w:rPr>
                <w:b/>
                <w:bCs/>
                <w:i/>
                <w:iCs/>
              </w:rPr>
              <w:t xml:space="preserve"> </w:t>
            </w:r>
            <w:r w:rsidRPr="00567EA2">
              <w:rPr>
                <w:b/>
                <w:bCs/>
                <w:i/>
                <w:iCs/>
              </w:rPr>
              <w:t>126 de la Convention):</w:t>
            </w:r>
          </w:p>
        </w:tc>
      </w:tr>
      <w:tr w:rsidR="0024361A" w:rsidRPr="00567EA2" w14:paraId="2A815CCC" w14:textId="77777777" w:rsidTr="00C22903">
        <w:trPr>
          <w:trHeight w:val="300"/>
        </w:trPr>
        <w:tc>
          <w:tcPr>
            <w:tcW w:w="4253" w:type="dxa"/>
            <w:tcBorders>
              <w:top w:val="single" w:sz="6" w:space="0" w:color="auto"/>
              <w:left w:val="nil"/>
              <w:bottom w:val="single" w:sz="6" w:space="0" w:color="auto"/>
              <w:right w:val="nil"/>
            </w:tcBorders>
            <w:shd w:val="clear" w:color="auto" w:fill="auto"/>
          </w:tcPr>
          <w:p w14:paraId="16A4E1A0" w14:textId="77777777" w:rsidR="0024361A" w:rsidRPr="00567EA2" w:rsidRDefault="0024361A" w:rsidP="00C22903">
            <w:pPr>
              <w:ind w:left="142"/>
            </w:pPr>
            <w:r w:rsidRPr="00567EA2">
              <w:rPr>
                <w:b/>
                <w:bCs/>
                <w:i/>
                <w:iCs/>
              </w:rPr>
              <w:t xml:space="preserve">Proposition régionale commune: </w:t>
            </w:r>
            <w:r w:rsidRPr="00567EA2">
              <w:t>Oui/Non</w:t>
            </w:r>
          </w:p>
        </w:tc>
        <w:tc>
          <w:tcPr>
            <w:tcW w:w="5386" w:type="dxa"/>
            <w:tcBorders>
              <w:top w:val="single" w:sz="6" w:space="0" w:color="auto"/>
              <w:left w:val="nil"/>
              <w:bottom w:val="single" w:sz="6" w:space="0" w:color="auto"/>
              <w:right w:val="nil"/>
            </w:tcBorders>
            <w:shd w:val="clear" w:color="auto" w:fill="auto"/>
          </w:tcPr>
          <w:p w14:paraId="4E7078FD" w14:textId="77777777" w:rsidR="0024361A" w:rsidRPr="00567EA2" w:rsidRDefault="0024361A" w:rsidP="00C22903">
            <w:pPr>
              <w:ind w:left="142"/>
            </w:pPr>
            <w:r w:rsidRPr="00567EA2">
              <w:rPr>
                <w:b/>
                <w:bCs/>
                <w:i/>
                <w:iCs/>
              </w:rPr>
              <w:t xml:space="preserve">Proposition soumise par plusieurs pays: </w:t>
            </w:r>
            <w:r w:rsidRPr="00567EA2">
              <w:t>Oui/Non</w:t>
            </w:r>
          </w:p>
          <w:p w14:paraId="4BDE4EC9" w14:textId="77777777" w:rsidR="0024361A" w:rsidRPr="00567EA2" w:rsidRDefault="0024361A" w:rsidP="00C22903">
            <w:pPr>
              <w:ind w:left="142"/>
              <w:rPr>
                <w:b/>
                <w:bCs/>
                <w:i/>
                <w:iCs/>
              </w:rPr>
            </w:pPr>
            <w:r w:rsidRPr="00567EA2">
              <w:rPr>
                <w:b/>
                <w:bCs/>
                <w:i/>
                <w:iCs/>
              </w:rPr>
              <w:t>Nombre de pays:</w:t>
            </w:r>
          </w:p>
        </w:tc>
      </w:tr>
      <w:tr w:rsidR="0024361A" w:rsidRPr="00567EA2" w14:paraId="6515EB9C" w14:textId="77777777" w:rsidTr="00C22903">
        <w:trPr>
          <w:trHeight w:val="300"/>
        </w:trPr>
        <w:tc>
          <w:tcPr>
            <w:tcW w:w="9639" w:type="dxa"/>
            <w:gridSpan w:val="2"/>
            <w:tcBorders>
              <w:top w:val="single" w:sz="6" w:space="0" w:color="auto"/>
              <w:left w:val="nil"/>
              <w:bottom w:val="nil"/>
              <w:right w:val="nil"/>
            </w:tcBorders>
            <w:shd w:val="clear" w:color="auto" w:fill="auto"/>
          </w:tcPr>
          <w:p w14:paraId="6DE0D345" w14:textId="7BE93A33" w:rsidR="0024361A" w:rsidRPr="00567EA2" w:rsidRDefault="0024361A" w:rsidP="00C22903">
            <w:pPr>
              <w:spacing w:after="120"/>
              <w:ind w:left="142"/>
            </w:pPr>
            <w:r w:rsidRPr="00567EA2">
              <w:rPr>
                <w:b/>
                <w:bCs/>
                <w:i/>
                <w:iCs/>
              </w:rPr>
              <w:t>Remarques</w:t>
            </w:r>
          </w:p>
        </w:tc>
      </w:tr>
    </w:tbl>
    <w:p w14:paraId="1CAA979A" w14:textId="77777777" w:rsidR="0024361A" w:rsidRPr="00567EA2" w:rsidRDefault="0024361A" w:rsidP="00F709DA">
      <w:pPr>
        <w:jc w:val="center"/>
      </w:pPr>
      <w:r w:rsidRPr="00567EA2">
        <w:t>______________</w:t>
      </w:r>
    </w:p>
    <w:sectPr w:rsidR="0024361A" w:rsidRPr="00567EA2">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F7C2" w14:textId="77777777" w:rsidR="00E006F7" w:rsidRDefault="00E006F7">
      <w:r>
        <w:separator/>
      </w:r>
    </w:p>
  </w:endnote>
  <w:endnote w:type="continuationSeparator" w:id="0">
    <w:p w14:paraId="6CF4A41F" w14:textId="77777777" w:rsidR="00E006F7" w:rsidRDefault="00E0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7250" w14:textId="3AA49E1D" w:rsidR="00936D25" w:rsidRDefault="00936D25">
    <w:pPr>
      <w:rPr>
        <w:lang w:val="en-US"/>
      </w:rPr>
    </w:pPr>
    <w:r>
      <w:fldChar w:fldCharType="begin"/>
    </w:r>
    <w:r>
      <w:rPr>
        <w:lang w:val="en-US"/>
      </w:rPr>
      <w:instrText xml:space="preserve"> FILENAME \p  \* MERGEFORMAT </w:instrText>
    </w:r>
    <w:r>
      <w:fldChar w:fldCharType="separate"/>
    </w:r>
    <w:r w:rsidR="00F709DA">
      <w:rPr>
        <w:noProof/>
        <w:lang w:val="en-US"/>
      </w:rPr>
      <w:t>P:\FRA\ITU-R\CONF-R\CMR23\100\164F.docx</w:t>
    </w:r>
    <w:r>
      <w:fldChar w:fldCharType="end"/>
    </w:r>
    <w:r>
      <w:rPr>
        <w:lang w:val="en-US"/>
      </w:rPr>
      <w:tab/>
    </w:r>
    <w:r>
      <w:fldChar w:fldCharType="begin"/>
    </w:r>
    <w:r>
      <w:instrText xml:space="preserve"> SAVEDATE \@ DD.MM.YY </w:instrText>
    </w:r>
    <w:r>
      <w:fldChar w:fldCharType="separate"/>
    </w:r>
    <w:r w:rsidR="009C4119">
      <w:rPr>
        <w:noProof/>
      </w:rPr>
      <w:t>16.11.23</w:t>
    </w:r>
    <w:r>
      <w:fldChar w:fldCharType="end"/>
    </w:r>
    <w:r>
      <w:rPr>
        <w:lang w:val="en-US"/>
      </w:rPr>
      <w:tab/>
    </w:r>
    <w:r>
      <w:fldChar w:fldCharType="begin"/>
    </w:r>
    <w:r>
      <w:instrText xml:space="preserve"> PRINTDATE \@ DD.MM.YY </w:instrText>
    </w:r>
    <w:r>
      <w:fldChar w:fldCharType="separate"/>
    </w:r>
    <w:r w:rsidR="00F709DA">
      <w:rPr>
        <w:noProof/>
      </w:rPr>
      <w:t>15.11.23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F1EA" w14:textId="4079FE2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81A63">
      <w:rPr>
        <w:lang w:val="en-US"/>
      </w:rPr>
      <w:t>P:\FRA\ITU-R\CONF-R\CMR23\100\164REV1F.docx</w:t>
    </w:r>
    <w:r>
      <w:fldChar w:fldCharType="end"/>
    </w:r>
    <w:r w:rsidR="00AF16F4">
      <w:t xml:space="preserve"> (53</w:t>
    </w:r>
    <w:r w:rsidR="00A81A63">
      <w:t>1380</w:t>
    </w:r>
    <w:r w:rsidR="00AF16F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3735" w14:textId="77777777" w:rsidR="00A81A63" w:rsidRDefault="00A81A63" w:rsidP="00A81A63">
    <w:pPr>
      <w:pStyle w:val="Footer"/>
      <w:rPr>
        <w:lang w:val="en-US"/>
      </w:rPr>
    </w:pPr>
    <w:r>
      <w:fldChar w:fldCharType="begin"/>
    </w:r>
    <w:r>
      <w:rPr>
        <w:lang w:val="en-US"/>
      </w:rPr>
      <w:instrText xml:space="preserve"> FILENAME \p  \* MERGEFORMAT </w:instrText>
    </w:r>
    <w:r>
      <w:fldChar w:fldCharType="separate"/>
    </w:r>
    <w:r>
      <w:rPr>
        <w:lang w:val="en-US"/>
      </w:rPr>
      <w:t>P:\FRA\ITU-R\CONF-R\CMR23\100\164REV1F.docx</w:t>
    </w:r>
    <w:r>
      <w:fldChar w:fldCharType="end"/>
    </w:r>
    <w:r>
      <w:t xml:space="preserve"> (531380)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D7D5" w14:textId="77777777" w:rsidR="00E006F7" w:rsidRDefault="00E006F7">
      <w:r>
        <w:rPr>
          <w:b/>
        </w:rPr>
        <w:t>_______________</w:t>
      </w:r>
    </w:p>
  </w:footnote>
  <w:footnote w:type="continuationSeparator" w:id="0">
    <w:p w14:paraId="0958DA79" w14:textId="77777777" w:rsidR="00E006F7" w:rsidRDefault="00E006F7">
      <w:r>
        <w:continuationSeparator/>
      </w:r>
    </w:p>
  </w:footnote>
  <w:footnote w:id="1">
    <w:p w14:paraId="3BA3DC3A" w14:textId="77777777" w:rsidR="00FB3DF6" w:rsidRDefault="005F74E0" w:rsidP="00550CD6">
      <w:pPr>
        <w:pStyle w:val="FootnoteText"/>
      </w:pPr>
      <w:r>
        <w:rPr>
          <w:rStyle w:val="FootnoteReference"/>
        </w:rPr>
        <w:t>*</w:t>
      </w:r>
      <w:r>
        <w:tab/>
        <w:t>La présence de bandes de fréquences entre crochets dans la présente Résolution signifie que la CMR-23 examinera et reverra l'inclusion de ces bandes de fréquences entre crochets et prendra la décision qu'elle jugera appropriée.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594C" w14:textId="661E1FF4" w:rsidR="004F1F8E" w:rsidRDefault="004F1F8E" w:rsidP="004F1F8E">
    <w:pPr>
      <w:pStyle w:val="Header"/>
    </w:pPr>
    <w:r>
      <w:fldChar w:fldCharType="begin"/>
    </w:r>
    <w:r>
      <w:instrText xml:space="preserve"> PAGE </w:instrText>
    </w:r>
    <w:r>
      <w:fldChar w:fldCharType="separate"/>
    </w:r>
    <w:r w:rsidR="00E460DA">
      <w:rPr>
        <w:noProof/>
      </w:rPr>
      <w:t>9</w:t>
    </w:r>
    <w:r>
      <w:fldChar w:fldCharType="end"/>
    </w:r>
  </w:p>
  <w:p w14:paraId="47E077A0" w14:textId="5295C4A1" w:rsidR="004F1F8E" w:rsidRDefault="00225CF2" w:rsidP="00FD7AA3">
    <w:pPr>
      <w:pStyle w:val="Header"/>
    </w:pPr>
    <w:r>
      <w:t>WRC</w:t>
    </w:r>
    <w:r w:rsidR="00D3426F">
      <w:t>23</w:t>
    </w:r>
    <w:r w:rsidR="004F1F8E">
      <w:t>/</w:t>
    </w:r>
    <w:r w:rsidR="006A4B45">
      <w:t>164</w:t>
    </w:r>
    <w:r w:rsidR="00A81A63">
      <w:t>(Rév.1)</w:t>
    </w:r>
    <w:r w:rsidR="006A4B45">
      <w:t>-</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73040695">
    <w:abstractNumId w:val="0"/>
  </w:num>
  <w:num w:numId="2" w16cid:durableId="10831377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36C3"/>
    <w:rsid w:val="000863B3"/>
    <w:rsid w:val="000A4755"/>
    <w:rsid w:val="000A55AE"/>
    <w:rsid w:val="000B2E0C"/>
    <w:rsid w:val="000B3D0C"/>
    <w:rsid w:val="00112D9D"/>
    <w:rsid w:val="001167B9"/>
    <w:rsid w:val="001267A0"/>
    <w:rsid w:val="0015203F"/>
    <w:rsid w:val="00160C64"/>
    <w:rsid w:val="001672B3"/>
    <w:rsid w:val="0018169B"/>
    <w:rsid w:val="0019352B"/>
    <w:rsid w:val="001960D0"/>
    <w:rsid w:val="001A11F6"/>
    <w:rsid w:val="001F17E8"/>
    <w:rsid w:val="00204306"/>
    <w:rsid w:val="00204EA1"/>
    <w:rsid w:val="00225CF2"/>
    <w:rsid w:val="00232FD2"/>
    <w:rsid w:val="0024361A"/>
    <w:rsid w:val="0026554E"/>
    <w:rsid w:val="002A4622"/>
    <w:rsid w:val="002A6F8F"/>
    <w:rsid w:val="002B17E5"/>
    <w:rsid w:val="002C0EBF"/>
    <w:rsid w:val="002C28A4"/>
    <w:rsid w:val="002C52BA"/>
    <w:rsid w:val="002D7E0A"/>
    <w:rsid w:val="00315AFE"/>
    <w:rsid w:val="003411F6"/>
    <w:rsid w:val="003606A6"/>
    <w:rsid w:val="0036650C"/>
    <w:rsid w:val="00393ACD"/>
    <w:rsid w:val="003A583E"/>
    <w:rsid w:val="003E112B"/>
    <w:rsid w:val="003E1D1C"/>
    <w:rsid w:val="003E7B05"/>
    <w:rsid w:val="003F3719"/>
    <w:rsid w:val="003F6F2D"/>
    <w:rsid w:val="00451CB9"/>
    <w:rsid w:val="00466211"/>
    <w:rsid w:val="00483196"/>
    <w:rsid w:val="004834A9"/>
    <w:rsid w:val="004D01FC"/>
    <w:rsid w:val="004E28C3"/>
    <w:rsid w:val="004F1F8E"/>
    <w:rsid w:val="00512A32"/>
    <w:rsid w:val="005343DA"/>
    <w:rsid w:val="00560874"/>
    <w:rsid w:val="00567EA2"/>
    <w:rsid w:val="00586CF2"/>
    <w:rsid w:val="005A7C75"/>
    <w:rsid w:val="005C3768"/>
    <w:rsid w:val="005C6C3F"/>
    <w:rsid w:val="005F5AFC"/>
    <w:rsid w:val="005F74E0"/>
    <w:rsid w:val="00613635"/>
    <w:rsid w:val="0062093D"/>
    <w:rsid w:val="00637ECF"/>
    <w:rsid w:val="00647B59"/>
    <w:rsid w:val="00690C7B"/>
    <w:rsid w:val="006A4B45"/>
    <w:rsid w:val="006D4724"/>
    <w:rsid w:val="006F3F32"/>
    <w:rsid w:val="006F5FA2"/>
    <w:rsid w:val="0070076C"/>
    <w:rsid w:val="00701BAE"/>
    <w:rsid w:val="00721F04"/>
    <w:rsid w:val="00730E95"/>
    <w:rsid w:val="007426B9"/>
    <w:rsid w:val="00744C3D"/>
    <w:rsid w:val="00764342"/>
    <w:rsid w:val="00774362"/>
    <w:rsid w:val="00786598"/>
    <w:rsid w:val="00790C74"/>
    <w:rsid w:val="00793C9D"/>
    <w:rsid w:val="007A04E8"/>
    <w:rsid w:val="007B2C34"/>
    <w:rsid w:val="007E1487"/>
    <w:rsid w:val="007F282B"/>
    <w:rsid w:val="00830086"/>
    <w:rsid w:val="00851625"/>
    <w:rsid w:val="008638FE"/>
    <w:rsid w:val="00863C0A"/>
    <w:rsid w:val="008A3120"/>
    <w:rsid w:val="008A4B97"/>
    <w:rsid w:val="008C5B8E"/>
    <w:rsid w:val="008C5DD5"/>
    <w:rsid w:val="008C7123"/>
    <w:rsid w:val="008D41BE"/>
    <w:rsid w:val="008D58D3"/>
    <w:rsid w:val="008E3BC9"/>
    <w:rsid w:val="008F3595"/>
    <w:rsid w:val="009007D6"/>
    <w:rsid w:val="00901254"/>
    <w:rsid w:val="00923064"/>
    <w:rsid w:val="00930FFD"/>
    <w:rsid w:val="00936D25"/>
    <w:rsid w:val="00941EA5"/>
    <w:rsid w:val="00964700"/>
    <w:rsid w:val="00966C16"/>
    <w:rsid w:val="0098732F"/>
    <w:rsid w:val="009A045F"/>
    <w:rsid w:val="009A6A2B"/>
    <w:rsid w:val="009C4119"/>
    <w:rsid w:val="009C7E7C"/>
    <w:rsid w:val="00A00473"/>
    <w:rsid w:val="00A03C9B"/>
    <w:rsid w:val="00A37105"/>
    <w:rsid w:val="00A606C3"/>
    <w:rsid w:val="00A81A63"/>
    <w:rsid w:val="00A83B09"/>
    <w:rsid w:val="00A84541"/>
    <w:rsid w:val="00AE36A0"/>
    <w:rsid w:val="00AF16F4"/>
    <w:rsid w:val="00B00294"/>
    <w:rsid w:val="00B3749C"/>
    <w:rsid w:val="00B435CE"/>
    <w:rsid w:val="00B43E59"/>
    <w:rsid w:val="00B64FD0"/>
    <w:rsid w:val="00BA5BD0"/>
    <w:rsid w:val="00BB1D82"/>
    <w:rsid w:val="00BC217E"/>
    <w:rsid w:val="00BD51C5"/>
    <w:rsid w:val="00BF26E7"/>
    <w:rsid w:val="00C1305F"/>
    <w:rsid w:val="00C22903"/>
    <w:rsid w:val="00C53FCA"/>
    <w:rsid w:val="00C71DEB"/>
    <w:rsid w:val="00C76BAF"/>
    <w:rsid w:val="00C814B9"/>
    <w:rsid w:val="00C821B7"/>
    <w:rsid w:val="00CB685A"/>
    <w:rsid w:val="00CD516F"/>
    <w:rsid w:val="00CD6DDF"/>
    <w:rsid w:val="00D119A7"/>
    <w:rsid w:val="00D25FBA"/>
    <w:rsid w:val="00D302B8"/>
    <w:rsid w:val="00D32B28"/>
    <w:rsid w:val="00D336D1"/>
    <w:rsid w:val="00D3426F"/>
    <w:rsid w:val="00D42954"/>
    <w:rsid w:val="00D44AA2"/>
    <w:rsid w:val="00D66EAC"/>
    <w:rsid w:val="00D730DF"/>
    <w:rsid w:val="00D772F0"/>
    <w:rsid w:val="00D77BDC"/>
    <w:rsid w:val="00DC402B"/>
    <w:rsid w:val="00DE0932"/>
    <w:rsid w:val="00DE0B5C"/>
    <w:rsid w:val="00DF15E8"/>
    <w:rsid w:val="00E006F7"/>
    <w:rsid w:val="00E03A27"/>
    <w:rsid w:val="00E049F1"/>
    <w:rsid w:val="00E37A25"/>
    <w:rsid w:val="00E460DA"/>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09DA"/>
    <w:rsid w:val="00F711A7"/>
    <w:rsid w:val="00FA3BBF"/>
    <w:rsid w:val="00FB3DF6"/>
    <w:rsid w:val="00FC41F8"/>
    <w:rsid w:val="00FD7AA3"/>
    <w:rsid w:val="00FE25E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D8D1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AF16F4"/>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styleId="Revision">
    <w:name w:val="Revision"/>
    <w:hidden/>
    <w:uiPriority w:val="99"/>
    <w:semiHidden/>
    <w:rsid w:val="009007D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R23-WRC23-C-0164!!MSW-F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D074379-404D-4C8B-AA82-2117A4AED724}">
  <ds:schemaRefs>
    <ds:schemaRef ds:uri="http://schemas.microsoft.com/sharepoint/events"/>
  </ds:schemaRefs>
</ds:datastoreItem>
</file>

<file path=customXml/itemProps3.xml><?xml version="1.0" encoding="utf-8"?>
<ds:datastoreItem xmlns:ds="http://schemas.openxmlformats.org/officeDocument/2006/customXml" ds:itemID="{098C0BE2-A72D-4EBE-92BA-2DBCA0A5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B5FA9-FC2E-4FC9-850D-53FFA66E6CD9}">
  <ds:schemaRef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2190</Words>
  <Characters>12537</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R23-WRC23-C-0164!!MSW-F</vt:lpstr>
      <vt:lpstr>R23-WRC23-C-0164!!MSW-F</vt:lpstr>
    </vt:vector>
  </TitlesOfParts>
  <Manager>Secrétariat général - Pool</Manager>
  <Company>Union internationale des télécommunications (UIT)</Company>
  <LinksUpToDate>false</LinksUpToDate>
  <CharactersWithSpaces>14698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R23-WRC23-C-0164!!MSW-F</dc:title>
  <dc:subject>Conférence mondiale des radiocommunications - 2019</dc:subject>
  <dc:creator>Documents Proposals Manager (DPM)</dc:creator>
  <cp:keywords>DPM_v2023.8.1.1_prod</cp:keywords>
  <dc:description/>
  <cp:lastModifiedBy>French</cp:lastModifiedBy>
  <cp:revision>3</cp:revision>
  <cp:lastPrinted>2023-11-15T08:31:00Z</cp:lastPrinted>
  <dcterms:created xsi:type="dcterms:W3CDTF">2023-11-17T13:30:00Z</dcterms:created>
  <dcterms:modified xsi:type="dcterms:W3CDTF">2023-11-17T13:33:00Z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