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4C11CB" w14:paraId="16BF3917" w14:textId="77777777" w:rsidTr="0080079E">
        <w:trPr>
          <w:cantSplit/>
        </w:trPr>
        <w:tc>
          <w:tcPr>
            <w:tcW w:w="1418" w:type="dxa"/>
            <w:vAlign w:val="center"/>
          </w:tcPr>
          <w:p w14:paraId="6DD1F1CF" w14:textId="77777777" w:rsidR="0080079E" w:rsidRPr="004C11CB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4C11CB">
              <w:rPr>
                <w:noProof/>
                <w:lang w:eastAsia="es-ES"/>
              </w:rPr>
              <w:drawing>
                <wp:inline distT="0" distB="0" distL="0" distR="0" wp14:anchorId="4581F0E2" wp14:editId="2502D79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A36818B" w14:textId="77777777" w:rsidR="0080079E" w:rsidRPr="004C11CB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C11C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4C11C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4C11CB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8148857" w14:textId="77777777" w:rsidR="0080079E" w:rsidRPr="004C11CB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4C11CB">
              <w:rPr>
                <w:noProof/>
                <w:lang w:eastAsia="es-ES"/>
              </w:rPr>
              <w:drawing>
                <wp:inline distT="0" distB="0" distL="0" distR="0" wp14:anchorId="7916366A" wp14:editId="643269E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C11CB" w14:paraId="19C8032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0FDE5C5" w14:textId="77777777" w:rsidR="0090121B" w:rsidRPr="004C11CB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7649C2B" w14:textId="77777777" w:rsidR="0090121B" w:rsidRPr="004C11CB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4C11CB" w14:paraId="112C208A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92DA75E" w14:textId="77777777" w:rsidR="0090121B" w:rsidRPr="004C11CB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77A7D77" w14:textId="77777777" w:rsidR="0090121B" w:rsidRPr="004C11CB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4C11CB" w14:paraId="425D2ADD" w14:textId="77777777" w:rsidTr="0090121B">
        <w:trPr>
          <w:cantSplit/>
        </w:trPr>
        <w:tc>
          <w:tcPr>
            <w:tcW w:w="6911" w:type="dxa"/>
            <w:gridSpan w:val="2"/>
          </w:tcPr>
          <w:p w14:paraId="64E90D98" w14:textId="77777777" w:rsidR="0090121B" w:rsidRPr="004C11CB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4C11CB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BBB7AA6" w14:textId="77777777" w:rsidR="0090121B" w:rsidRPr="004C11CB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4C11CB">
              <w:rPr>
                <w:rFonts w:ascii="Verdana" w:hAnsi="Verdana"/>
                <w:b/>
                <w:sz w:val="18"/>
                <w:szCs w:val="18"/>
              </w:rPr>
              <w:t>Documento 162</w:t>
            </w:r>
            <w:r w:rsidR="0090121B" w:rsidRPr="004C11CB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4C11CB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4C11CB" w14:paraId="5A32D375" w14:textId="77777777" w:rsidTr="0090121B">
        <w:trPr>
          <w:cantSplit/>
        </w:trPr>
        <w:tc>
          <w:tcPr>
            <w:tcW w:w="6911" w:type="dxa"/>
            <w:gridSpan w:val="2"/>
          </w:tcPr>
          <w:p w14:paraId="0B424418" w14:textId="77777777" w:rsidR="000A5B9A" w:rsidRPr="004C11C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083AFE1A" w14:textId="77777777" w:rsidR="000A5B9A" w:rsidRPr="004C11C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C11CB">
              <w:rPr>
                <w:rFonts w:ascii="Verdana" w:hAnsi="Verdana"/>
                <w:b/>
                <w:sz w:val="18"/>
                <w:szCs w:val="18"/>
              </w:rPr>
              <w:t>30 de octubre de 2023</w:t>
            </w:r>
          </w:p>
        </w:tc>
      </w:tr>
      <w:tr w:rsidR="000A5B9A" w:rsidRPr="004C11CB" w14:paraId="2B3C0730" w14:textId="77777777" w:rsidTr="0090121B">
        <w:trPr>
          <w:cantSplit/>
        </w:trPr>
        <w:tc>
          <w:tcPr>
            <w:tcW w:w="6911" w:type="dxa"/>
            <w:gridSpan w:val="2"/>
          </w:tcPr>
          <w:p w14:paraId="6AE70931" w14:textId="77777777" w:rsidR="000A5B9A" w:rsidRPr="004C11C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C5886E6" w14:textId="77777777" w:rsidR="000A5B9A" w:rsidRPr="004C11C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C11CB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4C11CB" w14:paraId="6573A8CD" w14:textId="77777777" w:rsidTr="006744FC">
        <w:trPr>
          <w:cantSplit/>
        </w:trPr>
        <w:tc>
          <w:tcPr>
            <w:tcW w:w="10031" w:type="dxa"/>
            <w:gridSpan w:val="4"/>
          </w:tcPr>
          <w:p w14:paraId="38EC89EA" w14:textId="77777777" w:rsidR="000A5B9A" w:rsidRPr="004C11C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4C11CB" w14:paraId="5888F187" w14:textId="77777777" w:rsidTr="0050008E">
        <w:trPr>
          <w:cantSplit/>
        </w:trPr>
        <w:tc>
          <w:tcPr>
            <w:tcW w:w="10031" w:type="dxa"/>
            <w:gridSpan w:val="4"/>
          </w:tcPr>
          <w:p w14:paraId="211FB5AA" w14:textId="77777777" w:rsidR="000A5B9A" w:rsidRPr="004C11CB" w:rsidRDefault="000A5B9A" w:rsidP="000A5B9A">
            <w:pPr>
              <w:pStyle w:val="Source"/>
            </w:pPr>
            <w:bookmarkStart w:id="2" w:name="dsource" w:colFirst="0" w:colLast="0"/>
            <w:r w:rsidRPr="004C11CB">
              <w:t>Papua Nueva Guinea/Samoa (Estado Independiente de)</w:t>
            </w:r>
          </w:p>
        </w:tc>
      </w:tr>
      <w:tr w:rsidR="000A5B9A" w:rsidRPr="004C11CB" w14:paraId="5018192C" w14:textId="77777777" w:rsidTr="0050008E">
        <w:trPr>
          <w:cantSplit/>
        </w:trPr>
        <w:tc>
          <w:tcPr>
            <w:tcW w:w="10031" w:type="dxa"/>
            <w:gridSpan w:val="4"/>
          </w:tcPr>
          <w:p w14:paraId="18A6BFC8" w14:textId="2517CA50" w:rsidR="000A5B9A" w:rsidRPr="004C11CB" w:rsidRDefault="005C5A9F" w:rsidP="000A5B9A">
            <w:pPr>
              <w:pStyle w:val="Title1"/>
            </w:pPr>
            <w:bookmarkStart w:id="3" w:name="dtitle1" w:colFirst="0" w:colLast="0"/>
            <w:bookmarkEnd w:id="2"/>
            <w:r w:rsidRPr="004C11CB">
              <w:t>PROPUESTAS PAR</w:t>
            </w:r>
            <w:r w:rsidR="007D6570" w:rsidRPr="004C11CB">
              <w:t>A LOS TRABAJOS DE LA CONFERENCIA</w:t>
            </w:r>
          </w:p>
        </w:tc>
      </w:tr>
      <w:tr w:rsidR="000A5B9A" w:rsidRPr="004C11CB" w14:paraId="291DF5EB" w14:textId="77777777" w:rsidTr="0050008E">
        <w:trPr>
          <w:cantSplit/>
        </w:trPr>
        <w:tc>
          <w:tcPr>
            <w:tcW w:w="10031" w:type="dxa"/>
            <w:gridSpan w:val="4"/>
          </w:tcPr>
          <w:p w14:paraId="478A8BB2" w14:textId="77777777" w:rsidR="000A5B9A" w:rsidRPr="004C11CB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4C11CB" w14:paraId="4F8012E7" w14:textId="77777777" w:rsidTr="0050008E">
        <w:trPr>
          <w:cantSplit/>
        </w:trPr>
        <w:tc>
          <w:tcPr>
            <w:tcW w:w="10031" w:type="dxa"/>
            <w:gridSpan w:val="4"/>
          </w:tcPr>
          <w:p w14:paraId="7D70126E" w14:textId="77777777" w:rsidR="000A5B9A" w:rsidRPr="004C11CB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4C11CB">
              <w:t>Punto 1.3 del orden del día</w:t>
            </w:r>
          </w:p>
        </w:tc>
      </w:tr>
    </w:tbl>
    <w:bookmarkEnd w:id="5"/>
    <w:p w14:paraId="7F61F504" w14:textId="77777777" w:rsidR="00A86D02" w:rsidRPr="004C11CB" w:rsidRDefault="00860249" w:rsidP="0070408E">
      <w:r w:rsidRPr="004C11CB">
        <w:rPr>
          <w:bCs/>
        </w:rPr>
        <w:t>1.3</w:t>
      </w:r>
      <w:r w:rsidRPr="004C11CB">
        <w:rPr>
          <w:bCs/>
        </w:rPr>
        <w:tab/>
        <w:t xml:space="preserve">considerar la atribución a título primario de la banda de frecuencias 3 600-3 800 MHz al servicio móvil en la Región 1 y la adopción de las medidas reglamentarias convenientes, de conformidad con la Resolución </w:t>
      </w:r>
      <w:r w:rsidRPr="004C11CB">
        <w:rPr>
          <w:b/>
        </w:rPr>
        <w:t>246 (CMR-19)</w:t>
      </w:r>
      <w:r w:rsidRPr="004C11CB">
        <w:rPr>
          <w:bCs/>
        </w:rPr>
        <w:t>;</w:t>
      </w:r>
    </w:p>
    <w:p w14:paraId="2EAB980A" w14:textId="051E5BBF" w:rsidR="008522C1" w:rsidRPr="004C11CB" w:rsidRDefault="008522C1" w:rsidP="008522C1">
      <w:pPr>
        <w:pStyle w:val="Headingb"/>
        <w:rPr>
          <w:lang w:eastAsia="zh-CN"/>
        </w:rPr>
      </w:pPr>
      <w:r w:rsidRPr="004C11CB">
        <w:rPr>
          <w:lang w:eastAsia="zh-CN"/>
        </w:rPr>
        <w:t>Introducción</w:t>
      </w:r>
    </w:p>
    <w:p w14:paraId="07F48556" w14:textId="71D14170" w:rsidR="008522C1" w:rsidRPr="004C11CB" w:rsidRDefault="008522C1" w:rsidP="008522C1">
      <w:r w:rsidRPr="004C11CB">
        <w:t xml:space="preserve">En la Sección 1/1.3/4 del </w:t>
      </w:r>
      <w:hyperlink r:id="rId14" w:history="1">
        <w:r w:rsidRPr="004C11CB">
          <w:rPr>
            <w:rStyle w:val="Hyperlink"/>
          </w:rPr>
          <w:t>Informe de la RPC</w:t>
        </w:r>
      </w:hyperlink>
      <w:r w:rsidRPr="004C11CB">
        <w:t xml:space="preserve"> se proponen los cinco métodos siguientes en respuesta a este punto del orden del día:</w:t>
      </w:r>
    </w:p>
    <w:p w14:paraId="4AABF594" w14:textId="6BD42450" w:rsidR="008522C1" w:rsidRPr="004C11CB" w:rsidRDefault="008522C1" w:rsidP="008522C1">
      <w:pPr>
        <w:pStyle w:val="enumlev1"/>
      </w:pPr>
      <w:r w:rsidRPr="004C11CB">
        <w:rPr>
          <w:b/>
          <w:bCs/>
        </w:rPr>
        <w:t>•</w:t>
      </w:r>
      <w:r w:rsidRPr="004C11CB">
        <w:rPr>
          <w:b/>
          <w:bCs/>
        </w:rPr>
        <w:tab/>
      </w:r>
      <w:r w:rsidRPr="004C11CB">
        <w:rPr>
          <w:b/>
        </w:rPr>
        <w:t>Método A</w:t>
      </w:r>
      <w:r w:rsidRPr="004C11CB">
        <w:t>: Sin cambios.</w:t>
      </w:r>
    </w:p>
    <w:p w14:paraId="41F91797" w14:textId="6E0A1FC6" w:rsidR="008522C1" w:rsidRPr="004C11CB" w:rsidRDefault="008522C1" w:rsidP="008522C1">
      <w:pPr>
        <w:pStyle w:val="enumlev1"/>
      </w:pPr>
      <w:r w:rsidRPr="004C11CB">
        <w:rPr>
          <w:b/>
          <w:bCs/>
        </w:rPr>
        <w:t>•</w:t>
      </w:r>
      <w:r w:rsidRPr="004C11CB">
        <w:tab/>
      </w:r>
      <w:r w:rsidRPr="004C11CB">
        <w:rPr>
          <w:b/>
        </w:rPr>
        <w:t>Método B</w:t>
      </w:r>
      <w:r w:rsidRPr="004C11CB">
        <w:t>: Elevar a la categoría primaria la atribución al servicio móvil, salvo móvil aeronáutico, de la banda de frecuencias 3 600-3 800 MHz en la Región 1 sin condiciones.</w:t>
      </w:r>
    </w:p>
    <w:p w14:paraId="0C0ADA1E" w14:textId="0BD28528" w:rsidR="008522C1" w:rsidRPr="004C11CB" w:rsidRDefault="008522C1" w:rsidP="008522C1">
      <w:pPr>
        <w:pStyle w:val="enumlev1"/>
      </w:pPr>
      <w:r w:rsidRPr="004C11CB">
        <w:rPr>
          <w:b/>
          <w:bCs/>
        </w:rPr>
        <w:t>•</w:t>
      </w:r>
      <w:r w:rsidRPr="004C11CB">
        <w:tab/>
      </w:r>
      <w:r w:rsidR="00782027" w:rsidRPr="004C11CB">
        <w:rPr>
          <w:b/>
        </w:rPr>
        <w:t>Método C</w:t>
      </w:r>
      <w:r w:rsidR="00782027" w:rsidRPr="004C11CB">
        <w:t>: Elevar a la categoría primaria la atribución al servicio móvil, salvo móvil aeronáutico, de la banda de frecuencias 3 600-3 800 MHz en la Región 1 con condiciones reglamentarias y/o técnicas. Este Método incluye cinco alternativas para las condiciones</w:t>
      </w:r>
      <w:r w:rsidRPr="004C11CB">
        <w:t>.</w:t>
      </w:r>
    </w:p>
    <w:p w14:paraId="175E77B5" w14:textId="48494CA2" w:rsidR="008522C1" w:rsidRPr="004C11CB" w:rsidRDefault="008522C1" w:rsidP="008522C1">
      <w:pPr>
        <w:pStyle w:val="enumlev1"/>
      </w:pPr>
      <w:r w:rsidRPr="004C11CB">
        <w:rPr>
          <w:b/>
          <w:bCs/>
        </w:rPr>
        <w:t>•</w:t>
      </w:r>
      <w:r w:rsidRPr="004C11CB">
        <w:tab/>
      </w:r>
      <w:r w:rsidR="00782027" w:rsidRPr="004C11CB">
        <w:rPr>
          <w:b/>
        </w:rPr>
        <w:t>Método D</w:t>
      </w:r>
      <w:r w:rsidR="00782027" w:rsidRPr="004C11CB">
        <w:t>: Elevar a la categoría primaria la atribución al servicio móvil de la banda de frecuencias 3 600-3 800 MHz en la Región 1 sin condiciones, y la identificación para las IMT</w:t>
      </w:r>
      <w:r w:rsidRPr="004C11CB">
        <w:t>.</w:t>
      </w:r>
    </w:p>
    <w:p w14:paraId="1E23272F" w14:textId="35CD0224" w:rsidR="008522C1" w:rsidRPr="004C11CB" w:rsidRDefault="008522C1" w:rsidP="008522C1">
      <w:pPr>
        <w:pStyle w:val="enumlev1"/>
      </w:pPr>
      <w:r w:rsidRPr="004C11CB">
        <w:rPr>
          <w:b/>
          <w:bCs/>
        </w:rPr>
        <w:t>•</w:t>
      </w:r>
      <w:r w:rsidRPr="004C11CB">
        <w:tab/>
      </w:r>
      <w:r w:rsidR="004A2B66" w:rsidRPr="004C11CB">
        <w:rPr>
          <w:b/>
        </w:rPr>
        <w:t>Método E</w:t>
      </w:r>
      <w:r w:rsidR="004A2B66" w:rsidRPr="004C11CB">
        <w:t>: Elevar a la categoría primaria la atribución de la banda de frecuencias 3 600-3 800 MHz o partes de ella al servicio móvil, salvo móvil aeronáutico, en la Región 1 con condiciones reglamentarias y/o técnicas, e identificación para las IMT</w:t>
      </w:r>
      <w:r w:rsidRPr="004C11CB">
        <w:t xml:space="preserve">. </w:t>
      </w:r>
      <w:r w:rsidR="004A2B66" w:rsidRPr="004C11CB">
        <w:t xml:space="preserve">Este Método </w:t>
      </w:r>
      <w:r w:rsidR="00086AD5" w:rsidRPr="004C11CB">
        <w:t>incluye</w:t>
      </w:r>
      <w:r w:rsidR="004A2B66" w:rsidRPr="004C11CB">
        <w:t xml:space="preserve"> dos alternativas para las condiciones</w:t>
      </w:r>
      <w:r w:rsidRPr="004C11CB">
        <w:t>.</w:t>
      </w:r>
    </w:p>
    <w:p w14:paraId="45A2F40A" w14:textId="1216C12B" w:rsidR="008522C1" w:rsidRPr="004C11CB" w:rsidRDefault="004A2B66" w:rsidP="008522C1">
      <w:pPr>
        <w:spacing w:before="80" w:after="80"/>
        <w:jc w:val="both"/>
      </w:pPr>
      <w:r w:rsidRPr="004C11CB">
        <w:rPr>
          <w:iCs/>
        </w:rPr>
        <w:t xml:space="preserve">Los cinco métodos también proponen eliminar la Resolución </w:t>
      </w:r>
      <w:r w:rsidR="008522C1" w:rsidRPr="004C11CB">
        <w:rPr>
          <w:b/>
          <w:bCs/>
          <w:iCs/>
        </w:rPr>
        <w:t>246 (WRC-19)</w:t>
      </w:r>
      <w:r w:rsidR="008522C1" w:rsidRPr="004C11CB">
        <w:rPr>
          <w:iCs/>
        </w:rPr>
        <w:t>.</w:t>
      </w:r>
    </w:p>
    <w:p w14:paraId="177905CB" w14:textId="77777777" w:rsidR="008522C1" w:rsidRPr="004C11CB" w:rsidRDefault="008522C1" w:rsidP="008522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 w:rsidRPr="004C11CB">
        <w:br w:type="page"/>
      </w:r>
    </w:p>
    <w:p w14:paraId="18DFEE47" w14:textId="2FC7EC12" w:rsidR="008522C1" w:rsidRPr="004C11CB" w:rsidRDefault="00284D62" w:rsidP="008522C1">
      <w:pPr>
        <w:pStyle w:val="Headingb"/>
      </w:pPr>
      <w:r w:rsidRPr="004C11CB">
        <w:lastRenderedPageBreak/>
        <w:t>Propuestas</w:t>
      </w:r>
    </w:p>
    <w:p w14:paraId="61C4CFBD" w14:textId="5717BE45" w:rsidR="008522C1" w:rsidRPr="004C11CB" w:rsidRDefault="00284D62" w:rsidP="008522C1">
      <w:r w:rsidRPr="004C11CB">
        <w:t xml:space="preserve">En referencia al resultado de la reunión del </w:t>
      </w:r>
      <w:r w:rsidR="008522C1" w:rsidRPr="004C11CB">
        <w:t xml:space="preserve">APG23-6 </w:t>
      </w:r>
      <w:r w:rsidRPr="004C11CB">
        <w:t>en el marco del punto 1.3 del orden del día de la CMR, los miembros de la AP</w:t>
      </w:r>
      <w:r w:rsidR="009F42A1" w:rsidRPr="004C11CB">
        <w:t xml:space="preserve">T </w:t>
      </w:r>
      <w:r w:rsidR="002C14B8" w:rsidRPr="004C11CB">
        <w:t>manifiestan</w:t>
      </w:r>
      <w:r w:rsidR="009F42A1" w:rsidRPr="004C11CB">
        <w:t xml:space="preserve"> las opiniones siguie</w:t>
      </w:r>
      <w:r w:rsidRPr="004C11CB">
        <w:t>n</w:t>
      </w:r>
      <w:r w:rsidR="009F42A1" w:rsidRPr="004C11CB">
        <w:t>t</w:t>
      </w:r>
      <w:r w:rsidRPr="004C11CB">
        <w:t>es</w:t>
      </w:r>
      <w:r w:rsidR="008522C1" w:rsidRPr="004C11CB">
        <w:t>:</w:t>
      </w:r>
    </w:p>
    <w:p w14:paraId="56627D78" w14:textId="1DAB832C" w:rsidR="008522C1" w:rsidRPr="004C11CB" w:rsidRDefault="008522C1" w:rsidP="008522C1">
      <w:pPr>
        <w:pStyle w:val="enumlev1"/>
      </w:pPr>
      <w:r w:rsidRPr="004C11CB">
        <w:t>‒</w:t>
      </w:r>
      <w:r w:rsidRPr="004C11CB">
        <w:tab/>
      </w:r>
      <w:r w:rsidR="00C429FA" w:rsidRPr="004C11CB">
        <w:t xml:space="preserve">Los miembros de la </w:t>
      </w:r>
      <w:r w:rsidRPr="004C11CB">
        <w:t xml:space="preserve">APT </w:t>
      </w:r>
      <w:r w:rsidR="00C429FA" w:rsidRPr="004C11CB">
        <w:t xml:space="preserve">consideran que la posible elevación del servicio móvil, salvo móvil aeronáutico, a la categoría primaria en la banda </w:t>
      </w:r>
      <w:r w:rsidRPr="004C11CB">
        <w:t>3</w:t>
      </w:r>
      <w:r w:rsidR="00C429FA" w:rsidRPr="004C11CB">
        <w:t> </w:t>
      </w:r>
      <w:r w:rsidRPr="004C11CB">
        <w:t>600-3</w:t>
      </w:r>
      <w:r w:rsidR="00C429FA" w:rsidRPr="004C11CB">
        <w:t> 800 </w:t>
      </w:r>
      <w:r w:rsidRPr="004C11CB">
        <w:t xml:space="preserve">MHz </w:t>
      </w:r>
      <w:r w:rsidR="00C429FA" w:rsidRPr="004C11CB">
        <w:t xml:space="preserve">en la Región 1 protegerá los servicios existentes y planificados a los que está atribuida la banda de frecuencias a título primario (y las bandas adyacentes, si procede) en la Región 3, teniendo en cuenta los resultados de los estudios de compartición y </w:t>
      </w:r>
      <w:r w:rsidR="00DE5575" w:rsidRPr="004C11CB">
        <w:t>compatibilidad.</w:t>
      </w:r>
    </w:p>
    <w:p w14:paraId="1B744F72" w14:textId="5CDA43AE" w:rsidR="008522C1" w:rsidRPr="004C11CB" w:rsidRDefault="008522C1" w:rsidP="008522C1">
      <w:pPr>
        <w:pStyle w:val="enumlev1"/>
      </w:pPr>
      <w:r w:rsidRPr="004C11CB">
        <w:t>‒</w:t>
      </w:r>
      <w:r w:rsidRPr="004C11CB">
        <w:tab/>
      </w:r>
      <w:r w:rsidR="00C429FA" w:rsidRPr="004C11CB">
        <w:t xml:space="preserve">Los miembros de la </w:t>
      </w:r>
      <w:r w:rsidRPr="004C11CB">
        <w:t xml:space="preserve">APT </w:t>
      </w:r>
      <w:r w:rsidR="00C429FA" w:rsidRPr="004C11CB">
        <w:t xml:space="preserve">consideran que este punto del día es un tema de la Región 1. Sin embargo, dado que algunas administraciones de la Región 3 son adyacentes, tiene cierta pertinencia para los miembros de la </w:t>
      </w:r>
      <w:r w:rsidRPr="004C11CB">
        <w:t>APT.</w:t>
      </w:r>
    </w:p>
    <w:p w14:paraId="58187CA3" w14:textId="36B66CFC" w:rsidR="008522C1" w:rsidRPr="004C11CB" w:rsidRDefault="008522C1" w:rsidP="008522C1">
      <w:pPr>
        <w:pStyle w:val="enumlev1"/>
      </w:pPr>
      <w:r w:rsidRPr="004C11CB">
        <w:t>‒</w:t>
      </w:r>
      <w:r w:rsidRPr="004C11CB">
        <w:tab/>
      </w:r>
      <w:r w:rsidR="00C429FA" w:rsidRPr="004C11CB">
        <w:t xml:space="preserve">Los miembros de la APT también consideran que dicha elevación </w:t>
      </w:r>
      <w:r w:rsidR="00EF0090" w:rsidRPr="004C11CB">
        <w:t xml:space="preserve">de categoría </w:t>
      </w:r>
      <w:r w:rsidR="00C429FA" w:rsidRPr="004C11CB">
        <w:t>no tendrá efectos negativos en la atribución de los servicios existentes y en su desarrollo futuro en la Región 3, especialmente los servicios del SFS</w:t>
      </w:r>
      <w:r w:rsidRPr="004C11CB">
        <w:t>.</w:t>
      </w:r>
    </w:p>
    <w:p w14:paraId="3E726A35" w14:textId="4BD393D8" w:rsidR="008522C1" w:rsidRPr="004C11CB" w:rsidRDefault="008522C1" w:rsidP="008522C1">
      <w:pPr>
        <w:pStyle w:val="enumlev1"/>
      </w:pPr>
      <w:r w:rsidRPr="004C11CB">
        <w:t>‒</w:t>
      </w:r>
      <w:r w:rsidRPr="004C11CB">
        <w:tab/>
      </w:r>
      <w:r w:rsidR="00C429FA" w:rsidRPr="004C11CB">
        <w:t xml:space="preserve">Los miembros de la APT consideran que los debates sobre este punto del orden del día no se </w:t>
      </w:r>
      <w:r w:rsidR="00EF0090" w:rsidRPr="004C11CB">
        <w:t>mezclarán</w:t>
      </w:r>
      <w:r w:rsidR="00C429FA" w:rsidRPr="004C11CB">
        <w:t xml:space="preserve"> con los debates que se están manteniendo en el marco del punto 1.2 del orden del día de la CMR-23, esto es, la no identificación de la banda de frecuencias 3 600-3 </w:t>
      </w:r>
      <w:r w:rsidRPr="004C11CB">
        <w:t xml:space="preserve">800 MHz </w:t>
      </w:r>
      <w:r w:rsidR="00C429FA" w:rsidRPr="004C11CB">
        <w:t xml:space="preserve">para las </w:t>
      </w:r>
      <w:r w:rsidRPr="004C11CB">
        <w:t xml:space="preserve">IMT, </w:t>
      </w:r>
      <w:r w:rsidR="00C429FA" w:rsidRPr="004C11CB">
        <w:t xml:space="preserve">y reconocen que la identificación de las IMT no se encuentra específicamente dentro del ámbito de aplicación de la Resolución </w:t>
      </w:r>
      <w:r w:rsidRPr="004C11CB">
        <w:rPr>
          <w:b/>
          <w:bCs/>
          <w:iCs/>
        </w:rPr>
        <w:t>246 (</w:t>
      </w:r>
      <w:r w:rsidR="00C429FA" w:rsidRPr="004C11CB">
        <w:rPr>
          <w:b/>
          <w:bCs/>
          <w:iCs/>
        </w:rPr>
        <w:t>CMR</w:t>
      </w:r>
      <w:r w:rsidRPr="004C11CB">
        <w:rPr>
          <w:b/>
          <w:bCs/>
          <w:iCs/>
        </w:rPr>
        <w:t>-19)</w:t>
      </w:r>
      <w:r w:rsidRPr="004C11CB">
        <w:t>.</w:t>
      </w:r>
    </w:p>
    <w:p w14:paraId="466149CC" w14:textId="65880D66" w:rsidR="008522C1" w:rsidRPr="004C11CB" w:rsidRDefault="00A4179A" w:rsidP="008522C1">
      <w:r w:rsidRPr="004C11CB">
        <w:t>Respaldamos las opiniones anteriores de la APT para el punto 1.3 del orden del día de la CMR-23. Aunque los miembros de la APT entienden que el punto 1.3 del orden del día de la CMR-23 es un tema de la Región 1, creemos que el Método B y el Método D no darán cabida a esas opiniones de la APT en relación con la protección de los servicios existentes y planifica</w:t>
      </w:r>
      <w:r w:rsidR="00B318C8" w:rsidRPr="004C11CB">
        <w:t>d</w:t>
      </w:r>
      <w:r w:rsidRPr="004C11CB">
        <w:t>os, por lo que no apoyamos los Métodos B y D</w:t>
      </w:r>
      <w:r w:rsidR="008522C1" w:rsidRPr="004C11CB">
        <w:t>.</w:t>
      </w:r>
    </w:p>
    <w:p w14:paraId="1D58E915" w14:textId="613C13D3" w:rsidR="008522C1" w:rsidRPr="004C11CB" w:rsidRDefault="00B318C8" w:rsidP="008522C1">
      <w:r w:rsidRPr="004C11CB">
        <w:t xml:space="preserve">Además, los miembros de la </w:t>
      </w:r>
      <w:r w:rsidR="008522C1" w:rsidRPr="004C11CB">
        <w:t>APT</w:t>
      </w:r>
      <w:r w:rsidR="008522C1" w:rsidRPr="004C11CB">
        <w:rPr>
          <w:rFonts w:eastAsia="SimSun"/>
          <w:lang w:eastAsia="zh-CN"/>
        </w:rPr>
        <w:t xml:space="preserve"> </w:t>
      </w:r>
      <w:r w:rsidRPr="004C11CB">
        <w:rPr>
          <w:rFonts w:eastAsia="SimSun"/>
          <w:lang w:eastAsia="zh-CN"/>
        </w:rPr>
        <w:t xml:space="preserve">consideran que no se puede identificar la banda de frecuencias </w:t>
      </w:r>
      <w:r w:rsidRPr="004C11CB">
        <w:t>3 </w:t>
      </w:r>
      <w:r w:rsidR="008522C1" w:rsidRPr="004C11CB">
        <w:t xml:space="preserve">600-3 800 MHz </w:t>
      </w:r>
      <w:r w:rsidRPr="004C11CB">
        <w:t xml:space="preserve">para las </w:t>
      </w:r>
      <w:r w:rsidR="008522C1" w:rsidRPr="004C11CB">
        <w:t xml:space="preserve">IMT </w:t>
      </w:r>
      <w:r w:rsidRPr="004C11CB">
        <w:t>en el marco del punto 1.3 del orden el día, por lo que no apoyamos el Método E</w:t>
      </w:r>
      <w:r w:rsidR="008522C1" w:rsidRPr="004C11CB">
        <w:t>.</w:t>
      </w:r>
    </w:p>
    <w:p w14:paraId="76F29986" w14:textId="10F1AD18" w:rsidR="008522C1" w:rsidRPr="004C11CB" w:rsidRDefault="00B318C8" w:rsidP="008522C1">
      <w:r w:rsidRPr="004C11CB">
        <w:t xml:space="preserve">Este problema de coexistencia es un hecho constatado, y algunas administraciones que han decidido desplegar redes móviles a gran escala en una banda de frecuencias también han decidido migrar </w:t>
      </w:r>
      <w:r w:rsidR="00DE5575" w:rsidRPr="004C11CB">
        <w:t>las estaciones terrenas</w:t>
      </w:r>
      <w:r w:rsidRPr="004C11CB">
        <w:t xml:space="preserve"> del SFS de las bandas de frecuencias asignadas a las redes móviles. Un ejemplo serían algunas administraciones dela región Asia Pacífico que han atribuido partes del </w:t>
      </w:r>
      <w:r w:rsidR="00DE5575" w:rsidRPr="004C11CB">
        <w:t>enlace descendente</w:t>
      </w:r>
      <w:r w:rsidRPr="004C11CB">
        <w:t xml:space="preserve"> de la banda C (por ejemplo, hasta 3,</w:t>
      </w:r>
      <w:r w:rsidR="008522C1" w:rsidRPr="004C11CB">
        <w:t xml:space="preserve">6 GHz) </w:t>
      </w:r>
      <w:r w:rsidRPr="004C11CB">
        <w:t>al servicio móvil, por lo que es necesario migrar todos los servicios del SFS a bandas de frecuencias por encima de</w:t>
      </w:r>
      <w:r w:rsidR="008522C1" w:rsidRPr="004C11CB">
        <w:t xml:space="preserve"> 3</w:t>
      </w:r>
      <w:r w:rsidRPr="004C11CB">
        <w:t>,</w:t>
      </w:r>
      <w:r w:rsidR="008522C1" w:rsidRPr="004C11CB">
        <w:t xml:space="preserve">6 GHz. </w:t>
      </w:r>
      <w:r w:rsidR="00023AC9" w:rsidRPr="004C11CB">
        <w:t>Aunque algunos estudios intentan demostrar que la compartición de frecuencias resulta viable, la realidad y los hechos cuentan una historia diferente en la que se producen problemas de interferencia incluso en la banda adyacente.</w:t>
      </w:r>
    </w:p>
    <w:p w14:paraId="6C019722" w14:textId="228A2678" w:rsidR="00363A65" w:rsidRPr="004C11CB" w:rsidRDefault="00A72C1E" w:rsidP="002C1A52">
      <w:r w:rsidRPr="004C11CB">
        <w:t>De acuerdo con las explicaciones anteriores, respaldamos el Método A (NOC</w:t>
      </w:r>
      <w:r w:rsidR="008522C1" w:rsidRPr="004C11CB">
        <w:t xml:space="preserve">) </w:t>
      </w:r>
      <w:r w:rsidRPr="004C11CB">
        <w:t xml:space="preserve">para dar respuesta al punto 1.3 del orden del día de la CMR-23, lo que se podría reflejar en el Anexo </w:t>
      </w:r>
      <w:r w:rsidR="008522C1" w:rsidRPr="004C11CB">
        <w:t xml:space="preserve">1 </w:t>
      </w:r>
      <w:r w:rsidRPr="004C11CB">
        <w:rPr>
          <w:i/>
        </w:rPr>
        <w:t>infra</w:t>
      </w:r>
      <w:r w:rsidR="008522C1" w:rsidRPr="004C11CB">
        <w:t>.</w:t>
      </w:r>
    </w:p>
    <w:p w14:paraId="140FD6C9" w14:textId="77777777" w:rsidR="008750A8" w:rsidRPr="004C11CB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C11CB">
        <w:br w:type="page"/>
      </w:r>
    </w:p>
    <w:p w14:paraId="0BB7B0AB" w14:textId="2A0FD6FD" w:rsidR="00BC5310" w:rsidRPr="004C11CB" w:rsidRDefault="00BC5310" w:rsidP="00BC5310">
      <w:pPr>
        <w:pStyle w:val="ArtNo"/>
        <w:spacing w:before="0"/>
      </w:pPr>
      <w:bookmarkStart w:id="6" w:name="_Toc48141301"/>
      <w:r w:rsidRPr="004C11CB">
        <w:lastRenderedPageBreak/>
        <w:t>ANEXO 1</w:t>
      </w:r>
    </w:p>
    <w:p w14:paraId="3CB77889" w14:textId="77777777" w:rsidR="00BC5310" w:rsidRPr="004C11CB" w:rsidRDefault="00BC5310" w:rsidP="00BC5310">
      <w:pPr>
        <w:pStyle w:val="Arttitle"/>
      </w:pPr>
    </w:p>
    <w:p w14:paraId="3EAF91FF" w14:textId="2A73E4FD" w:rsidR="00A86D02" w:rsidRPr="004C11CB" w:rsidRDefault="00860249" w:rsidP="00BE468A">
      <w:pPr>
        <w:pStyle w:val="ArtNo"/>
        <w:spacing w:before="0"/>
      </w:pPr>
      <w:r w:rsidRPr="004C11CB">
        <w:t xml:space="preserve">ARTÍCULO </w:t>
      </w:r>
      <w:r w:rsidRPr="004C11CB">
        <w:rPr>
          <w:rStyle w:val="href"/>
        </w:rPr>
        <w:t>5</w:t>
      </w:r>
      <w:bookmarkEnd w:id="6"/>
    </w:p>
    <w:p w14:paraId="7080A738" w14:textId="77777777" w:rsidR="00A86D02" w:rsidRPr="004C11CB" w:rsidRDefault="00860249" w:rsidP="00625DBA">
      <w:pPr>
        <w:pStyle w:val="Arttitle"/>
      </w:pPr>
      <w:bookmarkStart w:id="7" w:name="_Toc48141302"/>
      <w:r w:rsidRPr="004C11CB">
        <w:t>Atribuciones de frecuencia</w:t>
      </w:r>
      <w:bookmarkEnd w:id="7"/>
    </w:p>
    <w:p w14:paraId="129C0968" w14:textId="77777777" w:rsidR="00A86D02" w:rsidRPr="004C11CB" w:rsidRDefault="00860249" w:rsidP="00625DBA">
      <w:pPr>
        <w:pStyle w:val="Section1"/>
      </w:pPr>
      <w:r w:rsidRPr="004C11CB">
        <w:t>Sección IV – Cuadro de atribución de bandas de frecuencias</w:t>
      </w:r>
      <w:r w:rsidRPr="004C11CB">
        <w:br/>
      </w:r>
      <w:r w:rsidRPr="004C11CB">
        <w:rPr>
          <w:b w:val="0"/>
          <w:bCs/>
        </w:rPr>
        <w:t>(Véase el número</w:t>
      </w:r>
      <w:r w:rsidRPr="004C11CB">
        <w:t xml:space="preserve"> </w:t>
      </w:r>
      <w:r w:rsidRPr="004C11CB">
        <w:rPr>
          <w:rStyle w:val="Artref"/>
        </w:rPr>
        <w:t>2.1</w:t>
      </w:r>
      <w:r w:rsidRPr="004C11CB">
        <w:rPr>
          <w:b w:val="0"/>
          <w:bCs/>
        </w:rPr>
        <w:t>)</w:t>
      </w:r>
      <w:r w:rsidRPr="004C11CB">
        <w:br/>
      </w:r>
    </w:p>
    <w:p w14:paraId="07218A37" w14:textId="77777777" w:rsidR="00AE45A9" w:rsidRPr="004C11CB" w:rsidRDefault="00860249">
      <w:pPr>
        <w:pStyle w:val="Proposal"/>
      </w:pPr>
      <w:r w:rsidRPr="004C11CB">
        <w:rPr>
          <w:u w:val="single"/>
        </w:rPr>
        <w:t>NOC</w:t>
      </w:r>
      <w:r w:rsidRPr="004C11CB">
        <w:tab/>
        <w:t>PNG/SMO/162/1</w:t>
      </w:r>
    </w:p>
    <w:p w14:paraId="2CC012A2" w14:textId="77777777" w:rsidR="00A86D02" w:rsidRPr="004C11CB" w:rsidRDefault="00860249" w:rsidP="00745B6B">
      <w:pPr>
        <w:pStyle w:val="Tabletitle"/>
        <w:rPr>
          <w:color w:val="000000"/>
        </w:rPr>
      </w:pPr>
      <w:r w:rsidRPr="004C11CB">
        <w:t>3 600-4 800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625DBA" w:rsidRPr="004C11CB" w14:paraId="5745A7F0" w14:textId="77777777" w:rsidTr="00625DBA">
        <w:trPr>
          <w:cantSplit/>
          <w:trHeight w:val="20"/>
        </w:trPr>
        <w:tc>
          <w:tcPr>
            <w:tcW w:w="9203" w:type="dxa"/>
            <w:gridSpan w:val="3"/>
          </w:tcPr>
          <w:p w14:paraId="5F97A299" w14:textId="77777777" w:rsidR="00A86D02" w:rsidRPr="004C11CB" w:rsidRDefault="00860249" w:rsidP="00625DBA">
            <w:pPr>
              <w:pStyle w:val="Tablehead"/>
              <w:keepLines/>
            </w:pPr>
            <w:r w:rsidRPr="004C11CB">
              <w:rPr>
                <w:color w:val="000000"/>
              </w:rPr>
              <w:t>Atribución a los servicios</w:t>
            </w:r>
          </w:p>
        </w:tc>
      </w:tr>
      <w:tr w:rsidR="00625DBA" w:rsidRPr="004C11CB" w14:paraId="2848BCF9" w14:textId="77777777" w:rsidTr="00625DBA">
        <w:trPr>
          <w:cantSplit/>
          <w:trHeight w:val="20"/>
        </w:trPr>
        <w:tc>
          <w:tcPr>
            <w:tcW w:w="3068" w:type="dxa"/>
          </w:tcPr>
          <w:p w14:paraId="264892A8" w14:textId="77777777" w:rsidR="00A86D02" w:rsidRPr="004C11CB" w:rsidRDefault="00860249" w:rsidP="00625DBA">
            <w:pPr>
              <w:pStyle w:val="Tablehead"/>
            </w:pPr>
            <w:r w:rsidRPr="004C11CB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14:paraId="492F0328" w14:textId="77777777" w:rsidR="00A86D02" w:rsidRPr="004C11CB" w:rsidRDefault="00860249" w:rsidP="00625DBA">
            <w:pPr>
              <w:pStyle w:val="Tablehead"/>
            </w:pPr>
            <w:r w:rsidRPr="004C11CB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14:paraId="2B99045A" w14:textId="77777777" w:rsidR="00A86D02" w:rsidRPr="004C11CB" w:rsidRDefault="00860249" w:rsidP="00625DBA">
            <w:pPr>
              <w:pStyle w:val="Tablehead"/>
            </w:pPr>
            <w:r w:rsidRPr="004C11CB">
              <w:rPr>
                <w:color w:val="000000"/>
              </w:rPr>
              <w:t>Región 3</w:t>
            </w:r>
          </w:p>
        </w:tc>
      </w:tr>
      <w:tr w:rsidR="00625DBA" w:rsidRPr="004C11CB" w14:paraId="129CADAE" w14:textId="77777777" w:rsidTr="00625DBA">
        <w:tblPrEx>
          <w:tblBorders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20"/>
        </w:trPr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8672DA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rStyle w:val="Tablefreq"/>
                <w:color w:val="000000"/>
              </w:rPr>
              <w:t>3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600-4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200</w:t>
            </w:r>
          </w:p>
          <w:p w14:paraId="05F0D93C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color w:val="000000"/>
              </w:rPr>
              <w:t>FIJO</w:t>
            </w:r>
          </w:p>
          <w:p w14:paraId="03CA8394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color w:val="000000"/>
              </w:rPr>
              <w:t>FIJO POR SATÉLITE</w:t>
            </w:r>
            <w:r w:rsidRPr="004C11CB">
              <w:rPr>
                <w:color w:val="000000"/>
              </w:rPr>
              <w:br/>
              <w:t>(espacio-Tierra)</w:t>
            </w:r>
          </w:p>
          <w:p w14:paraId="0B2681C3" w14:textId="77777777" w:rsidR="00A86D02" w:rsidRPr="004C11CB" w:rsidRDefault="00860249" w:rsidP="00625DBA">
            <w:pPr>
              <w:pStyle w:val="TableTextS5"/>
              <w:ind w:left="300" w:right="130"/>
              <w:rPr>
                <w:rStyle w:val="Tablefreq"/>
                <w:color w:val="000000"/>
              </w:rPr>
            </w:pPr>
            <w:r w:rsidRPr="004C11CB">
              <w:rPr>
                <w:color w:val="000000"/>
              </w:rPr>
              <w:t>Móvil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CC3C5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rStyle w:val="Tablefreq"/>
                <w:color w:val="000000"/>
              </w:rPr>
              <w:t>3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600-3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700</w:t>
            </w:r>
          </w:p>
          <w:p w14:paraId="1EFF43AC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color w:val="000000"/>
              </w:rPr>
              <w:t>FIJO</w:t>
            </w:r>
          </w:p>
          <w:p w14:paraId="41D3CE90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color w:val="000000"/>
              </w:rPr>
              <w:t>FIJO POR SATÉLITE</w:t>
            </w:r>
            <w:r w:rsidRPr="004C11CB">
              <w:rPr>
                <w:color w:val="000000"/>
              </w:rPr>
              <w:br/>
              <w:t>(espacio-Tierra)</w:t>
            </w:r>
          </w:p>
          <w:p w14:paraId="75A8432D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color w:val="000000"/>
              </w:rPr>
              <w:t>MÓVIL salvo móvil aeronáutico  </w:t>
            </w:r>
            <w:r w:rsidRPr="004C11CB">
              <w:rPr>
                <w:rStyle w:val="Artref"/>
              </w:rPr>
              <w:t>5.434</w:t>
            </w:r>
          </w:p>
          <w:p w14:paraId="5325FF85" w14:textId="77777777" w:rsidR="00A86D02" w:rsidRPr="004C11CB" w:rsidRDefault="00860249" w:rsidP="00625DBA">
            <w:pPr>
              <w:pStyle w:val="TableTextS5"/>
              <w:ind w:left="300" w:right="130"/>
              <w:rPr>
                <w:rStyle w:val="Tablefreq"/>
                <w:color w:val="000000"/>
              </w:rPr>
            </w:pPr>
            <w:r w:rsidRPr="004C11CB">
              <w:rPr>
                <w:color w:val="000000"/>
              </w:rPr>
              <w:t xml:space="preserve">Radiolocalización  </w:t>
            </w:r>
            <w:r w:rsidRPr="004C11CB">
              <w:rPr>
                <w:rStyle w:val="Artref10pt"/>
              </w:rPr>
              <w:t>5.433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879FD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rStyle w:val="Tablefreq"/>
                <w:color w:val="000000"/>
              </w:rPr>
              <w:t>3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600-3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700</w:t>
            </w:r>
          </w:p>
          <w:p w14:paraId="6CFCD598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color w:val="000000"/>
              </w:rPr>
              <w:t>FIJO</w:t>
            </w:r>
          </w:p>
          <w:p w14:paraId="3A9B1DA2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color w:val="000000"/>
              </w:rPr>
              <w:t>FIJO POR SATÉLITE</w:t>
            </w:r>
            <w:r w:rsidRPr="004C11CB">
              <w:rPr>
                <w:color w:val="000000"/>
              </w:rPr>
              <w:br/>
              <w:t>(espacio-Tierra)</w:t>
            </w:r>
          </w:p>
          <w:p w14:paraId="6BCC9B9A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color w:val="000000"/>
              </w:rPr>
              <w:t xml:space="preserve">MÓVIL salvo móvil </w:t>
            </w:r>
            <w:r w:rsidRPr="004C11CB">
              <w:rPr>
                <w:color w:val="000000"/>
              </w:rPr>
              <w:br/>
              <w:t>aeronáutico</w:t>
            </w:r>
          </w:p>
          <w:p w14:paraId="237A554A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color w:val="000000"/>
              </w:rPr>
              <w:t>Radiolocalización</w:t>
            </w:r>
          </w:p>
          <w:p w14:paraId="2726B28E" w14:textId="77777777" w:rsidR="00A86D02" w:rsidRPr="004C11CB" w:rsidRDefault="00860249" w:rsidP="00625DBA">
            <w:pPr>
              <w:pStyle w:val="TableTextS5"/>
              <w:ind w:left="300" w:right="130"/>
              <w:rPr>
                <w:rStyle w:val="Artref10pt"/>
              </w:rPr>
            </w:pPr>
            <w:r w:rsidRPr="004C11CB">
              <w:rPr>
                <w:rStyle w:val="Artref10pt"/>
              </w:rPr>
              <w:t>5.435</w:t>
            </w:r>
          </w:p>
        </w:tc>
      </w:tr>
      <w:tr w:rsidR="00625DBA" w:rsidRPr="004C11CB" w14:paraId="0EDE78A6" w14:textId="77777777" w:rsidTr="00625DBA">
        <w:tblPrEx>
          <w:tblBorders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20"/>
        </w:trPr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BFB99D" w14:textId="77777777" w:rsidR="00A86D02" w:rsidRPr="004C11CB" w:rsidRDefault="00A86D02" w:rsidP="00625DBA">
            <w:pPr>
              <w:pStyle w:val="TableTextS5"/>
              <w:ind w:left="300" w:right="130"/>
              <w:rPr>
                <w:rStyle w:val="Tablefreq"/>
                <w:color w:val="000000"/>
              </w:rPr>
            </w:pP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087DE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rStyle w:val="Tablefreq"/>
                <w:color w:val="000000"/>
              </w:rPr>
              <w:t>3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700-4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200</w:t>
            </w:r>
          </w:p>
          <w:p w14:paraId="5BA8FC3B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color w:val="000000"/>
              </w:rPr>
              <w:t>FIJO</w:t>
            </w:r>
          </w:p>
          <w:p w14:paraId="7CE14031" w14:textId="77777777" w:rsidR="00A86D02" w:rsidRPr="004C11CB" w:rsidRDefault="00860249" w:rsidP="00625DBA">
            <w:pPr>
              <w:pStyle w:val="TableTextS5"/>
              <w:ind w:left="300" w:right="130"/>
              <w:rPr>
                <w:color w:val="000000"/>
              </w:rPr>
            </w:pPr>
            <w:r w:rsidRPr="004C11CB">
              <w:rPr>
                <w:color w:val="000000"/>
              </w:rPr>
              <w:t>FIJO POR SATÉLITE (espacio-Tierra)</w:t>
            </w:r>
          </w:p>
          <w:p w14:paraId="6868930E" w14:textId="77777777" w:rsidR="00A86D02" w:rsidRPr="004C11CB" w:rsidRDefault="00860249" w:rsidP="00625DBA">
            <w:pPr>
              <w:pStyle w:val="TableTextS5"/>
              <w:ind w:left="300" w:right="130"/>
              <w:rPr>
                <w:rStyle w:val="Tablefreq"/>
                <w:color w:val="000000"/>
              </w:rPr>
            </w:pPr>
            <w:r w:rsidRPr="004C11CB">
              <w:rPr>
                <w:color w:val="000000"/>
              </w:rPr>
              <w:t>MÓVIL salvo móvil aeronáutico</w:t>
            </w:r>
          </w:p>
        </w:tc>
      </w:tr>
      <w:tr w:rsidR="00625DBA" w:rsidRPr="004C11CB" w14:paraId="43C3017A" w14:textId="77777777" w:rsidTr="00625DBA">
        <w:trPr>
          <w:cantSplit/>
          <w:trHeight w:val="20"/>
        </w:trPr>
        <w:tc>
          <w:tcPr>
            <w:tcW w:w="9203" w:type="dxa"/>
            <w:gridSpan w:val="3"/>
            <w:tcBorders>
              <w:bottom w:val="single" w:sz="4" w:space="0" w:color="auto"/>
            </w:tcBorders>
          </w:tcPr>
          <w:p w14:paraId="07C735C0" w14:textId="77777777" w:rsidR="00A86D02" w:rsidRPr="004C11CB" w:rsidRDefault="00860249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111"/>
              </w:tabs>
              <w:ind w:left="567" w:hanging="433"/>
            </w:pPr>
            <w:r w:rsidRPr="004C11CB">
              <w:rPr>
                <w:rStyle w:val="Tablefreq"/>
              </w:rPr>
              <w:t>4 200-4 400</w:t>
            </w:r>
            <w:r w:rsidRPr="004C11CB">
              <w:rPr>
                <w:color w:val="000000"/>
              </w:rPr>
              <w:tab/>
            </w:r>
            <w:r w:rsidRPr="004C11CB">
              <w:t xml:space="preserve">MÓVIL AERONÁUTICO (R)  </w:t>
            </w:r>
            <w:r w:rsidRPr="004C11CB">
              <w:rPr>
                <w:rStyle w:val="Artref"/>
              </w:rPr>
              <w:t>5.436</w:t>
            </w:r>
          </w:p>
          <w:p w14:paraId="0065B822" w14:textId="77777777" w:rsidR="00A86D02" w:rsidRPr="004C11CB" w:rsidRDefault="00860249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111"/>
              </w:tabs>
              <w:ind w:left="567" w:hanging="567"/>
              <w:rPr>
                <w:rStyle w:val="Artref"/>
              </w:rPr>
            </w:pPr>
            <w:r w:rsidRPr="004C11CB">
              <w:rPr>
                <w:rStyle w:val="Tablefreq"/>
                <w:color w:val="000000"/>
              </w:rPr>
              <w:tab/>
            </w:r>
            <w:r w:rsidRPr="004C11CB">
              <w:rPr>
                <w:rStyle w:val="Tablefreq"/>
                <w:color w:val="000000"/>
              </w:rPr>
              <w:tab/>
            </w:r>
            <w:r w:rsidRPr="004C11CB">
              <w:rPr>
                <w:color w:val="000000"/>
              </w:rPr>
              <w:t xml:space="preserve">RADIONAVEGACIÓN AERONÁUTICA  </w:t>
            </w:r>
            <w:r w:rsidRPr="004C11CB">
              <w:rPr>
                <w:rStyle w:val="Artref"/>
              </w:rPr>
              <w:t>5.438</w:t>
            </w:r>
          </w:p>
          <w:p w14:paraId="5955985D" w14:textId="77777777" w:rsidR="00A86D02" w:rsidRPr="004C11CB" w:rsidRDefault="00860249" w:rsidP="00625DBA">
            <w:pPr>
              <w:pStyle w:val="TableTextS5"/>
              <w:tabs>
                <w:tab w:val="clear" w:pos="2977"/>
                <w:tab w:val="left" w:pos="3111"/>
              </w:tabs>
              <w:ind w:left="3111"/>
              <w:rPr>
                <w:color w:val="000000"/>
              </w:rPr>
            </w:pPr>
            <w:r w:rsidRPr="004C11CB">
              <w:rPr>
                <w:rStyle w:val="Artref"/>
              </w:rPr>
              <w:tab/>
              <w:t>5.437  5.439  5.440</w:t>
            </w:r>
          </w:p>
        </w:tc>
      </w:tr>
      <w:tr w:rsidR="00625DBA" w:rsidRPr="004C11CB" w14:paraId="07580E55" w14:textId="77777777" w:rsidTr="00625DBA">
        <w:trPr>
          <w:cantSplit/>
          <w:trHeight w:val="20"/>
        </w:trPr>
        <w:tc>
          <w:tcPr>
            <w:tcW w:w="9203" w:type="dxa"/>
            <w:gridSpan w:val="3"/>
          </w:tcPr>
          <w:p w14:paraId="2B1C7771" w14:textId="77777777" w:rsidR="00A86D02" w:rsidRPr="004C11CB" w:rsidRDefault="00860249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111"/>
              </w:tabs>
              <w:ind w:hanging="62"/>
              <w:rPr>
                <w:color w:val="000000"/>
              </w:rPr>
            </w:pPr>
            <w:r w:rsidRPr="004C11CB">
              <w:rPr>
                <w:rStyle w:val="Tablefreq"/>
                <w:color w:val="000000"/>
              </w:rPr>
              <w:t>4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400-4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500</w:t>
            </w:r>
            <w:r w:rsidRPr="004C11CB">
              <w:rPr>
                <w:color w:val="000000"/>
              </w:rPr>
              <w:tab/>
              <w:t>FIJO</w:t>
            </w:r>
          </w:p>
          <w:p w14:paraId="7E1F06E2" w14:textId="77777777" w:rsidR="00A86D02" w:rsidRPr="004C11CB" w:rsidRDefault="00860249" w:rsidP="00625DBA">
            <w:pPr>
              <w:pStyle w:val="TableTextS5"/>
              <w:tabs>
                <w:tab w:val="clear" w:pos="2977"/>
                <w:tab w:val="left" w:pos="3111"/>
              </w:tabs>
              <w:ind w:left="300"/>
              <w:rPr>
                <w:rStyle w:val="Tablefreq"/>
                <w:color w:val="000000"/>
              </w:rPr>
            </w:pPr>
            <w:r w:rsidRPr="004C11CB">
              <w:rPr>
                <w:color w:val="000000"/>
              </w:rPr>
              <w:tab/>
            </w:r>
            <w:r w:rsidRPr="004C11CB">
              <w:rPr>
                <w:color w:val="000000"/>
              </w:rPr>
              <w:tab/>
            </w:r>
            <w:r w:rsidRPr="004C11CB">
              <w:rPr>
                <w:color w:val="000000"/>
              </w:rPr>
              <w:tab/>
            </w:r>
            <w:r w:rsidRPr="004C11CB">
              <w:rPr>
                <w:color w:val="000000"/>
              </w:rPr>
              <w:tab/>
            </w:r>
            <w:r w:rsidRPr="004C11CB">
              <w:rPr>
                <w:color w:val="000000"/>
              </w:rPr>
              <w:tab/>
              <w:t>MÓVIL  5.440A</w:t>
            </w:r>
          </w:p>
        </w:tc>
      </w:tr>
      <w:tr w:rsidR="00625DBA" w:rsidRPr="004C11CB" w14:paraId="467913D2" w14:textId="77777777" w:rsidTr="00625DBA">
        <w:trPr>
          <w:cantSplit/>
          <w:trHeight w:val="20"/>
        </w:trPr>
        <w:tc>
          <w:tcPr>
            <w:tcW w:w="9203" w:type="dxa"/>
            <w:gridSpan w:val="3"/>
          </w:tcPr>
          <w:p w14:paraId="582A7AAA" w14:textId="77777777" w:rsidR="00A86D02" w:rsidRPr="004C11CB" w:rsidRDefault="00860249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111"/>
              </w:tabs>
              <w:ind w:hanging="62"/>
              <w:rPr>
                <w:color w:val="000000"/>
              </w:rPr>
            </w:pPr>
            <w:r w:rsidRPr="004C11CB">
              <w:rPr>
                <w:rStyle w:val="Tablefreq"/>
                <w:color w:val="000000"/>
              </w:rPr>
              <w:t>4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500-4</w:t>
            </w:r>
            <w:r w:rsidRPr="004C11CB">
              <w:t> </w:t>
            </w:r>
            <w:r w:rsidRPr="004C11CB">
              <w:rPr>
                <w:rStyle w:val="Tablefreq"/>
                <w:color w:val="000000"/>
              </w:rPr>
              <w:t>800</w:t>
            </w:r>
            <w:r w:rsidRPr="004C11CB">
              <w:rPr>
                <w:color w:val="000000"/>
              </w:rPr>
              <w:tab/>
              <w:t>FIJO</w:t>
            </w:r>
          </w:p>
          <w:p w14:paraId="70B0B6E7" w14:textId="77777777" w:rsidR="00A86D02" w:rsidRPr="004C11CB" w:rsidRDefault="00860249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111"/>
              </w:tabs>
              <w:ind w:hanging="62"/>
              <w:rPr>
                <w:color w:val="000000"/>
              </w:rPr>
            </w:pPr>
            <w:r w:rsidRPr="004C11CB">
              <w:rPr>
                <w:color w:val="000000"/>
              </w:rPr>
              <w:tab/>
            </w:r>
            <w:r w:rsidRPr="004C11CB">
              <w:rPr>
                <w:color w:val="000000"/>
              </w:rPr>
              <w:tab/>
              <w:t xml:space="preserve">FIJO POR SATÉLITE (espacio-Tierra)  </w:t>
            </w:r>
            <w:r w:rsidRPr="004C11CB">
              <w:rPr>
                <w:rStyle w:val="Artref"/>
                <w:color w:val="000000"/>
              </w:rPr>
              <w:t>5.441</w:t>
            </w:r>
          </w:p>
          <w:p w14:paraId="4665B261" w14:textId="77777777" w:rsidR="00A86D02" w:rsidRPr="004C11CB" w:rsidRDefault="00860249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111"/>
              </w:tabs>
              <w:ind w:hanging="62"/>
              <w:rPr>
                <w:rStyle w:val="Tablefreq"/>
                <w:color w:val="000000"/>
              </w:rPr>
            </w:pPr>
            <w:r w:rsidRPr="004C11CB">
              <w:rPr>
                <w:color w:val="000000"/>
              </w:rPr>
              <w:tab/>
            </w:r>
            <w:r w:rsidRPr="004C11CB">
              <w:rPr>
                <w:color w:val="000000"/>
              </w:rPr>
              <w:tab/>
              <w:t>MÓVIL  5.440A</w:t>
            </w:r>
          </w:p>
        </w:tc>
      </w:tr>
    </w:tbl>
    <w:p w14:paraId="2DFA3E4D" w14:textId="77777777" w:rsidR="00AE45A9" w:rsidRPr="004C11CB" w:rsidRDefault="00AE45A9">
      <w:pPr>
        <w:pStyle w:val="Reasons"/>
      </w:pPr>
    </w:p>
    <w:p w14:paraId="7434CFBC" w14:textId="77777777" w:rsidR="00AE45A9" w:rsidRPr="004C11CB" w:rsidRDefault="00860249">
      <w:pPr>
        <w:pStyle w:val="Proposal"/>
      </w:pPr>
      <w:r w:rsidRPr="004C11CB">
        <w:t>SUP</w:t>
      </w:r>
      <w:r w:rsidRPr="004C11CB">
        <w:tab/>
        <w:t>PNG/SMO/162/2</w:t>
      </w:r>
      <w:r w:rsidRPr="004C11CB">
        <w:rPr>
          <w:vanish/>
          <w:color w:val="7F7F7F" w:themeColor="text1" w:themeTint="80"/>
          <w:vertAlign w:val="superscript"/>
        </w:rPr>
        <w:t>#1407</w:t>
      </w:r>
    </w:p>
    <w:p w14:paraId="29124F3E" w14:textId="77777777" w:rsidR="00A86D02" w:rsidRPr="004C11CB" w:rsidRDefault="00860249" w:rsidP="00216F66">
      <w:pPr>
        <w:pStyle w:val="ResNo"/>
        <w:rPr>
          <w:lang w:eastAsia="nl-NL"/>
        </w:rPr>
      </w:pPr>
      <w:bookmarkStart w:id="8" w:name="_Hlk103679404"/>
      <w:r w:rsidRPr="004C11CB">
        <w:rPr>
          <w:lang w:eastAsia="nl-NL"/>
        </w:rPr>
        <w:t xml:space="preserve">RESOLUCIÓN </w:t>
      </w:r>
      <w:r w:rsidRPr="004C11CB">
        <w:rPr>
          <w:rStyle w:val="href"/>
        </w:rPr>
        <w:t>246</w:t>
      </w:r>
      <w:r w:rsidRPr="004C11CB">
        <w:t xml:space="preserve"> (CMR-19)</w:t>
      </w:r>
      <w:bookmarkEnd w:id="8"/>
    </w:p>
    <w:p w14:paraId="3E76BF63" w14:textId="77777777" w:rsidR="00A86D02" w:rsidRPr="004C11CB" w:rsidRDefault="00860249" w:rsidP="00820FDF">
      <w:pPr>
        <w:pStyle w:val="Restitle"/>
      </w:pPr>
      <w:r w:rsidRPr="004C11CB">
        <w:t>Estudios sobre la posible atribución de la banda de frecuencias</w:t>
      </w:r>
      <w:r w:rsidRPr="004C11CB">
        <w:br/>
        <w:t>3 600-3 800 MHz al servicio móvil, salvo móvil aeronáutico,</w:t>
      </w:r>
      <w:r w:rsidRPr="004C11CB">
        <w:br/>
        <w:t>a título primario en la Región 1</w:t>
      </w:r>
    </w:p>
    <w:p w14:paraId="3281BB3F" w14:textId="77777777" w:rsidR="00F80BF4" w:rsidRPr="004C11CB" w:rsidRDefault="00F80BF4" w:rsidP="00F80BF4">
      <w:pPr>
        <w:pStyle w:val="Reasons"/>
      </w:pPr>
    </w:p>
    <w:p w14:paraId="6C9905D7" w14:textId="643C4563" w:rsidR="00AE45A9" w:rsidRPr="004C11CB" w:rsidRDefault="00F80BF4" w:rsidP="00F80BF4">
      <w:pPr>
        <w:jc w:val="center"/>
      </w:pPr>
      <w:r w:rsidRPr="004C11CB">
        <w:t>________________</w:t>
      </w:r>
    </w:p>
    <w:sectPr w:rsidR="00AE45A9" w:rsidRPr="004C11CB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DCF6" w14:textId="77777777" w:rsidR="00666B37" w:rsidRDefault="00666B37">
      <w:r>
        <w:separator/>
      </w:r>
    </w:p>
  </w:endnote>
  <w:endnote w:type="continuationSeparator" w:id="0">
    <w:p w14:paraId="11D24CCF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51B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4B6DF" w14:textId="6CC8B3D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07CD">
      <w:rPr>
        <w:noProof/>
      </w:rPr>
      <w:t>09.11.23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B784" w14:textId="184101E0" w:rsidR="0077084A" w:rsidRDefault="00665470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23807">
      <w:rPr>
        <w:lang w:val="en-US"/>
      </w:rPr>
      <w:t>P:\ESP\ITU-R\CONF-R\CMR23\100\162S.docx</w:t>
    </w:r>
    <w:r>
      <w:fldChar w:fldCharType="end"/>
    </w:r>
    <w:r w:rsidR="00E23807">
      <w:t xml:space="preserve"> </w:t>
    </w:r>
    <w:r w:rsidR="00E23807">
      <w:t>(530445)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E8D9" w14:textId="6ED8DDA0" w:rsidR="0077084A" w:rsidRPr="00860249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23807">
      <w:rPr>
        <w:lang w:val="en-US"/>
      </w:rPr>
      <w:t>P:\ESP\ITU-R\CONF-R\CMR23\100\162S.docx</w:t>
    </w:r>
    <w:r>
      <w:fldChar w:fldCharType="end"/>
    </w:r>
    <w:r w:rsidR="00E23807">
      <w:t xml:space="preserve"> (530445)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BF2D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61611B8D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1607" w14:textId="51A82C5A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5470">
      <w:rPr>
        <w:rStyle w:val="PageNumber"/>
        <w:noProof/>
      </w:rPr>
      <w:t>3</w:t>
    </w:r>
    <w:r>
      <w:rPr>
        <w:rStyle w:val="PageNumber"/>
      </w:rPr>
      <w:fldChar w:fldCharType="end"/>
    </w:r>
  </w:p>
  <w:p w14:paraId="13AD0C1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162-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86948877">
    <w:abstractNumId w:val="8"/>
  </w:num>
  <w:num w:numId="2" w16cid:durableId="517346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44270429">
    <w:abstractNumId w:val="9"/>
  </w:num>
  <w:num w:numId="4" w16cid:durableId="1369453492">
    <w:abstractNumId w:val="7"/>
  </w:num>
  <w:num w:numId="5" w16cid:durableId="1178614199">
    <w:abstractNumId w:val="6"/>
  </w:num>
  <w:num w:numId="6" w16cid:durableId="1209953127">
    <w:abstractNumId w:val="5"/>
  </w:num>
  <w:num w:numId="7" w16cid:durableId="1493375941">
    <w:abstractNumId w:val="4"/>
  </w:num>
  <w:num w:numId="8" w16cid:durableId="433401787">
    <w:abstractNumId w:val="3"/>
  </w:num>
  <w:num w:numId="9" w16cid:durableId="1953970805">
    <w:abstractNumId w:val="2"/>
  </w:num>
  <w:num w:numId="10" w16cid:durableId="1822692204">
    <w:abstractNumId w:val="1"/>
  </w:num>
  <w:num w:numId="11" w16cid:durableId="53747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3AC9"/>
    <w:rsid w:val="0002785D"/>
    <w:rsid w:val="00086AD5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5577B"/>
    <w:rsid w:val="001616DC"/>
    <w:rsid w:val="00163962"/>
    <w:rsid w:val="00191A97"/>
    <w:rsid w:val="0019729C"/>
    <w:rsid w:val="001A083F"/>
    <w:rsid w:val="001C41FA"/>
    <w:rsid w:val="001D4ABD"/>
    <w:rsid w:val="001E2B52"/>
    <w:rsid w:val="001E3F27"/>
    <w:rsid w:val="001E7D42"/>
    <w:rsid w:val="00200A6D"/>
    <w:rsid w:val="0023659C"/>
    <w:rsid w:val="00236D2A"/>
    <w:rsid w:val="0024569E"/>
    <w:rsid w:val="00255F12"/>
    <w:rsid w:val="00262C09"/>
    <w:rsid w:val="00284D62"/>
    <w:rsid w:val="002A791F"/>
    <w:rsid w:val="002C14B8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A2B66"/>
    <w:rsid w:val="004B124A"/>
    <w:rsid w:val="004B3095"/>
    <w:rsid w:val="004C11CB"/>
    <w:rsid w:val="004D2749"/>
    <w:rsid w:val="004D2C7C"/>
    <w:rsid w:val="005133B5"/>
    <w:rsid w:val="00524392"/>
    <w:rsid w:val="00532097"/>
    <w:rsid w:val="0058350F"/>
    <w:rsid w:val="00583C7E"/>
    <w:rsid w:val="0059098E"/>
    <w:rsid w:val="005A0F2A"/>
    <w:rsid w:val="005C5A9F"/>
    <w:rsid w:val="005D46FB"/>
    <w:rsid w:val="005F2605"/>
    <w:rsid w:val="005F3B0E"/>
    <w:rsid w:val="005F3DB8"/>
    <w:rsid w:val="005F559C"/>
    <w:rsid w:val="00602857"/>
    <w:rsid w:val="006107CD"/>
    <w:rsid w:val="006124AD"/>
    <w:rsid w:val="00624009"/>
    <w:rsid w:val="00662BA0"/>
    <w:rsid w:val="0066547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82027"/>
    <w:rsid w:val="007952C7"/>
    <w:rsid w:val="007C0B95"/>
    <w:rsid w:val="007C2317"/>
    <w:rsid w:val="007D330A"/>
    <w:rsid w:val="007D6570"/>
    <w:rsid w:val="0080079E"/>
    <w:rsid w:val="008504C2"/>
    <w:rsid w:val="008522C1"/>
    <w:rsid w:val="00860249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9F42A1"/>
    <w:rsid w:val="00A021CC"/>
    <w:rsid w:val="00A118DB"/>
    <w:rsid w:val="00A4179A"/>
    <w:rsid w:val="00A4450C"/>
    <w:rsid w:val="00A72C1E"/>
    <w:rsid w:val="00A86D02"/>
    <w:rsid w:val="00AA5E6C"/>
    <w:rsid w:val="00AC49B1"/>
    <w:rsid w:val="00AE45A9"/>
    <w:rsid w:val="00AE5677"/>
    <w:rsid w:val="00AE658F"/>
    <w:rsid w:val="00AF2F78"/>
    <w:rsid w:val="00B011C1"/>
    <w:rsid w:val="00B239FA"/>
    <w:rsid w:val="00B318C8"/>
    <w:rsid w:val="00B372AB"/>
    <w:rsid w:val="00B47331"/>
    <w:rsid w:val="00B52D55"/>
    <w:rsid w:val="00B8288C"/>
    <w:rsid w:val="00B86034"/>
    <w:rsid w:val="00BA2D9C"/>
    <w:rsid w:val="00BC5310"/>
    <w:rsid w:val="00BE2E80"/>
    <w:rsid w:val="00BE5EDD"/>
    <w:rsid w:val="00BE6A1F"/>
    <w:rsid w:val="00C126C4"/>
    <w:rsid w:val="00C429FA"/>
    <w:rsid w:val="00C44E9E"/>
    <w:rsid w:val="00C63EB5"/>
    <w:rsid w:val="00C87DA7"/>
    <w:rsid w:val="00CA4945"/>
    <w:rsid w:val="00CC01E0"/>
    <w:rsid w:val="00CC6F66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DE5575"/>
    <w:rsid w:val="00E05BFF"/>
    <w:rsid w:val="00E23807"/>
    <w:rsid w:val="00E262F1"/>
    <w:rsid w:val="00E3176A"/>
    <w:rsid w:val="00E36CE4"/>
    <w:rsid w:val="00E54754"/>
    <w:rsid w:val="00E56BD3"/>
    <w:rsid w:val="00E71D14"/>
    <w:rsid w:val="00EA77F0"/>
    <w:rsid w:val="00EF0090"/>
    <w:rsid w:val="00F32316"/>
    <w:rsid w:val="00F66597"/>
    <w:rsid w:val="00F675D0"/>
    <w:rsid w:val="00F80BF4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332EA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styleId="Hyperlink">
    <w:name w:val="Hyperlink"/>
    <w:aliases w:val="ECC Hyperlink,CEO_Hyperlink,超级链接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qFormat/>
    <w:locked/>
    <w:rsid w:val="008522C1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610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9-CPM23.2-R-0001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R23-WRC23-C-0162!!MSW-S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BFFEB218-C584-4AF8-B397-6589584D4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A95A5-E451-4D98-AD05-68E72CAB2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CD323-CF50-48E5-939B-36874D3B0E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01293E-9379-4573-9506-D4856E398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AE4AEB-A257-4513-B9AA-3ACE2570F95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969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R23-WRC23-C-0162!!MSW-S</vt:lpstr>
    </vt:vector>
  </TitlesOfParts>
  <Manager>Secretaría General - Pool</Manager>
  <Company>Unión Internacional de Telecomunicaciones (UIT)</Company>
  <LinksUpToDate>false</LinksUpToDate>
  <CharactersWithSpaces>5880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R23-WRC23-C-0162!!MSW-S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7</cp:revision>
  <cp:lastPrinted>2003-02-19T20:20:00Z</cp:lastPrinted>
  <dcterms:created xsi:type="dcterms:W3CDTF">2023-11-09T14:21:00Z</dcterms:created>
  <dcterms:modified xsi:type="dcterms:W3CDTF">2023-11-09T14:28:00Z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