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FD07CF" w14:paraId="300FAAF7" w14:textId="77777777" w:rsidTr="00F320AA">
        <w:trPr>
          <w:cantSplit/>
        </w:trPr>
        <w:tc>
          <w:tcPr>
            <w:tcW w:w="1418" w:type="dxa"/>
            <w:vAlign w:val="center"/>
          </w:tcPr>
          <w:p w14:paraId="1014F5A7" w14:textId="77777777" w:rsidR="00F320AA" w:rsidRPr="00FD07CF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FD07CF">
              <w:drawing>
                <wp:inline distT="0" distB="0" distL="0" distR="0" wp14:anchorId="788FEA84" wp14:editId="4424D3F9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F20CAE2" w14:textId="77777777" w:rsidR="00F320AA" w:rsidRPr="00FD07CF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D07C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FD07C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D07C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813F0F4" w14:textId="77777777" w:rsidR="00F320AA" w:rsidRPr="00FD07CF" w:rsidRDefault="00EB0812" w:rsidP="00F320AA">
            <w:pPr>
              <w:spacing w:before="0" w:line="240" w:lineRule="atLeast"/>
            </w:pPr>
            <w:r w:rsidRPr="00FD07CF">
              <w:drawing>
                <wp:inline distT="0" distB="0" distL="0" distR="0" wp14:anchorId="53E4C169" wp14:editId="09DCBDB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D07CF" w14:paraId="5267AE8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41E95FA" w14:textId="77777777" w:rsidR="00A066F1" w:rsidRPr="00FD07C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46C8645" w14:textId="77777777" w:rsidR="00A066F1" w:rsidRPr="00FD07CF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D07CF" w14:paraId="5EFF733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E9E4F7F" w14:textId="77777777" w:rsidR="00A066F1" w:rsidRPr="00FD07C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A5CA3A9" w14:textId="77777777" w:rsidR="00A066F1" w:rsidRPr="00FD07CF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D07CF" w14:paraId="388BB95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8F4099B" w14:textId="77777777" w:rsidR="00A066F1" w:rsidRPr="00FD07CF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FD07C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521461E" w14:textId="77777777" w:rsidR="00A066F1" w:rsidRPr="00FD07C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D07CF">
              <w:rPr>
                <w:rFonts w:ascii="Verdana" w:hAnsi="Verdana"/>
                <w:b/>
                <w:sz w:val="20"/>
              </w:rPr>
              <w:t>Document 162</w:t>
            </w:r>
            <w:r w:rsidR="00A066F1" w:rsidRPr="00FD07CF">
              <w:rPr>
                <w:rFonts w:ascii="Verdana" w:hAnsi="Verdana"/>
                <w:b/>
                <w:sz w:val="20"/>
              </w:rPr>
              <w:t>-</w:t>
            </w:r>
            <w:r w:rsidR="005E10C9" w:rsidRPr="00FD07C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D07CF" w14:paraId="7F96B0F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351897B" w14:textId="77777777" w:rsidR="00A066F1" w:rsidRPr="00FD07C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A1415D7" w14:textId="77777777" w:rsidR="00A066F1" w:rsidRPr="00FD07CF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D07CF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FD07CF" w14:paraId="0FA1A50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31102F3" w14:textId="77777777" w:rsidR="00A066F1" w:rsidRPr="00FD07C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EAAF5B9" w14:textId="77777777" w:rsidR="00A066F1" w:rsidRPr="00FD07CF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D07CF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D07CF" w14:paraId="5F628B7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745E4AD" w14:textId="77777777" w:rsidR="00A066F1" w:rsidRPr="00FD07CF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D07CF" w14:paraId="6DEDF94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28D9DDC" w14:textId="77777777" w:rsidR="00E55816" w:rsidRPr="00FD07CF" w:rsidRDefault="00884D60" w:rsidP="00E55816">
            <w:pPr>
              <w:pStyle w:val="Source"/>
            </w:pPr>
            <w:r w:rsidRPr="00FD07CF">
              <w:t>Papua New Guinea/Samoa (Independent State of)</w:t>
            </w:r>
          </w:p>
        </w:tc>
      </w:tr>
      <w:tr w:rsidR="00E55816" w:rsidRPr="00FD07CF" w14:paraId="1886A08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D8027E0" w14:textId="77777777" w:rsidR="00E55816" w:rsidRPr="00FD07CF" w:rsidRDefault="007D5320" w:rsidP="00E55816">
            <w:pPr>
              <w:pStyle w:val="Title1"/>
            </w:pPr>
            <w:r w:rsidRPr="00FD07CF">
              <w:t>Proposals for the work of the conference</w:t>
            </w:r>
          </w:p>
        </w:tc>
      </w:tr>
      <w:tr w:rsidR="00E55816" w:rsidRPr="00FD07CF" w14:paraId="0C652DF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FCA3BCD" w14:textId="77777777" w:rsidR="00E55816" w:rsidRPr="00FD07CF" w:rsidRDefault="00E55816" w:rsidP="00E55816">
            <w:pPr>
              <w:pStyle w:val="Title2"/>
            </w:pPr>
          </w:p>
        </w:tc>
      </w:tr>
      <w:tr w:rsidR="00A538A6" w:rsidRPr="00FD07CF" w14:paraId="69BC0B6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0A15EBC" w14:textId="77777777" w:rsidR="00A538A6" w:rsidRPr="00FD07CF" w:rsidRDefault="004B13CB" w:rsidP="004B13CB">
            <w:pPr>
              <w:pStyle w:val="Agendaitem"/>
              <w:rPr>
                <w:lang w:val="en-GB"/>
              </w:rPr>
            </w:pPr>
            <w:r w:rsidRPr="00FD07CF">
              <w:rPr>
                <w:lang w:val="en-GB"/>
              </w:rPr>
              <w:t>Agenda item 1.3</w:t>
            </w:r>
          </w:p>
        </w:tc>
      </w:tr>
    </w:tbl>
    <w:bookmarkEnd w:id="5"/>
    <w:bookmarkEnd w:id="6"/>
    <w:p w14:paraId="6E0DE4E6" w14:textId="77777777" w:rsidR="00187BD9" w:rsidRPr="00FD07CF" w:rsidRDefault="008B1788" w:rsidP="001E3634">
      <w:r w:rsidRPr="00FD07CF">
        <w:rPr>
          <w:rFonts w:eastAsia="MS Mincho"/>
        </w:rPr>
        <w:t>1.3</w:t>
      </w:r>
      <w:r w:rsidRPr="00FD07CF">
        <w:rPr>
          <w:rFonts w:eastAsia="MS Mincho"/>
          <w:b/>
        </w:rPr>
        <w:tab/>
      </w:r>
      <w:r w:rsidRPr="00FD07CF">
        <w:rPr>
          <w:rFonts w:eastAsia="MS Mincho"/>
        </w:rPr>
        <w:t>to consider primary allocation of the frequency band 3 600</w:t>
      </w:r>
      <w:r w:rsidRPr="00FD07CF">
        <w:rPr>
          <w:rFonts w:eastAsia="MS Mincho"/>
        </w:rPr>
        <w:noBreakHyphen/>
        <w:t xml:space="preserve">3 800 MHz to the mobile service in Region 1 and take appropriate regulatory actions, in accordance with </w:t>
      </w:r>
      <w:r w:rsidRPr="00FD07CF">
        <w:rPr>
          <w:rFonts w:eastAsia="MS Mincho"/>
          <w:bCs/>
        </w:rPr>
        <w:t>Resolution</w:t>
      </w:r>
      <w:r w:rsidRPr="00FD07CF">
        <w:rPr>
          <w:rFonts w:eastAsia="MS Mincho"/>
          <w:b/>
        </w:rPr>
        <w:t> 246</w:t>
      </w:r>
      <w:r w:rsidRPr="00FD07CF">
        <w:t> </w:t>
      </w:r>
      <w:r w:rsidRPr="00FD07CF">
        <w:rPr>
          <w:rFonts w:eastAsia="MS Mincho"/>
          <w:b/>
        </w:rPr>
        <w:t>(WRC</w:t>
      </w:r>
      <w:r w:rsidRPr="00FD07CF">
        <w:rPr>
          <w:rFonts w:eastAsia="MS Mincho"/>
          <w:b/>
        </w:rPr>
        <w:noBreakHyphen/>
        <w:t>19)</w:t>
      </w:r>
      <w:r w:rsidRPr="00FD07CF">
        <w:rPr>
          <w:rFonts w:eastAsia="MS Mincho"/>
        </w:rPr>
        <w:t>;</w:t>
      </w:r>
    </w:p>
    <w:p w14:paraId="7EF1206F" w14:textId="77777777" w:rsidR="00862E53" w:rsidRPr="00FD07CF" w:rsidRDefault="00862E53" w:rsidP="00862E53">
      <w:pPr>
        <w:pStyle w:val="Headingb"/>
        <w:rPr>
          <w:lang w:val="en-GB" w:eastAsia="zh-CN"/>
        </w:rPr>
      </w:pPr>
      <w:r w:rsidRPr="00FD07CF">
        <w:rPr>
          <w:lang w:val="en-GB" w:eastAsia="zh-CN"/>
        </w:rPr>
        <w:t>Introduction</w:t>
      </w:r>
    </w:p>
    <w:p w14:paraId="03764DB2" w14:textId="02B7AD9D" w:rsidR="00862E53" w:rsidRPr="00FD07CF" w:rsidRDefault="00862E53" w:rsidP="00862E53">
      <w:r w:rsidRPr="00FD07CF">
        <w:t>The following five methods to satisfy this agenda item are proposed in Section</w:t>
      </w:r>
      <w:r w:rsidR="00984001" w:rsidRPr="00FD07CF">
        <w:t> </w:t>
      </w:r>
      <w:r w:rsidRPr="00FD07CF">
        <w:t>1/1.3/4 of the</w:t>
      </w:r>
      <w:r w:rsidRPr="00FD07CF">
        <w:rPr>
          <w:lang w:eastAsia="ko-KR"/>
        </w:rPr>
        <w:t xml:space="preserve"> </w:t>
      </w:r>
      <w:hyperlink r:id="rId14" w:history="1">
        <w:r w:rsidRPr="00FD07CF">
          <w:rPr>
            <w:rStyle w:val="Hyperlink"/>
          </w:rPr>
          <w:t>CPM Report</w:t>
        </w:r>
      </w:hyperlink>
      <w:r w:rsidRPr="00FD07CF">
        <w:t>:</w:t>
      </w:r>
    </w:p>
    <w:p w14:paraId="6C8F5371" w14:textId="65EE57DA" w:rsidR="00862E53" w:rsidRPr="00FD07CF" w:rsidRDefault="000F0902" w:rsidP="000F0902">
      <w:pPr>
        <w:pStyle w:val="enumlev1"/>
      </w:pPr>
      <w:r w:rsidRPr="00FD07CF">
        <w:rPr>
          <w:b/>
          <w:bCs/>
        </w:rPr>
        <w:t>•</w:t>
      </w:r>
      <w:r w:rsidRPr="00FD07CF">
        <w:rPr>
          <w:b/>
          <w:bCs/>
        </w:rPr>
        <w:tab/>
      </w:r>
      <w:r w:rsidR="00862E53" w:rsidRPr="00FD07CF">
        <w:rPr>
          <w:b/>
          <w:bCs/>
        </w:rPr>
        <w:t>Method A:</w:t>
      </w:r>
      <w:r w:rsidR="00862E53" w:rsidRPr="00FD07CF">
        <w:t xml:space="preserve"> No change</w:t>
      </w:r>
      <w:r w:rsidRPr="00FD07CF">
        <w:t>.</w:t>
      </w:r>
    </w:p>
    <w:p w14:paraId="51811594" w14:textId="1681CB54" w:rsidR="00862E53" w:rsidRPr="00FD07CF" w:rsidRDefault="000F0902" w:rsidP="000F0902">
      <w:pPr>
        <w:pStyle w:val="enumlev1"/>
      </w:pPr>
      <w:r w:rsidRPr="00FD07CF">
        <w:rPr>
          <w:b/>
          <w:bCs/>
        </w:rPr>
        <w:t>•</w:t>
      </w:r>
      <w:r w:rsidRPr="00FD07CF">
        <w:tab/>
      </w:r>
      <w:r w:rsidR="00862E53" w:rsidRPr="00FD07CF">
        <w:rPr>
          <w:b/>
          <w:bCs/>
        </w:rPr>
        <w:t>Method B:</w:t>
      </w:r>
      <w:r w:rsidR="00862E53" w:rsidRPr="00FD07CF">
        <w:t xml:space="preserve"> Upgrade of the allocation of </w:t>
      </w:r>
      <w:r w:rsidR="00786660" w:rsidRPr="00FD07CF">
        <w:t xml:space="preserve">the frequency band </w:t>
      </w:r>
      <w:r w:rsidR="00862E53" w:rsidRPr="00FD07CF">
        <w:t>3 600-3 800</w:t>
      </w:r>
      <w:r w:rsidR="00984001" w:rsidRPr="00FD07CF">
        <w:t> </w:t>
      </w:r>
      <w:r w:rsidR="00862E53" w:rsidRPr="00FD07CF">
        <w:t>MHz to the mobile, except aeronautical mobile, service on a primary basis within Region</w:t>
      </w:r>
      <w:r w:rsidR="00984001" w:rsidRPr="00FD07CF">
        <w:t> </w:t>
      </w:r>
      <w:r w:rsidR="00862E53" w:rsidRPr="00FD07CF">
        <w:t>1 without conditions</w:t>
      </w:r>
      <w:r w:rsidRPr="00FD07CF">
        <w:t>.</w:t>
      </w:r>
    </w:p>
    <w:p w14:paraId="6025AE99" w14:textId="1FD1E230" w:rsidR="00862E53" w:rsidRPr="00FD07CF" w:rsidRDefault="000F0902" w:rsidP="000F0902">
      <w:pPr>
        <w:pStyle w:val="enumlev1"/>
      </w:pPr>
      <w:r w:rsidRPr="00FD07CF">
        <w:rPr>
          <w:b/>
          <w:bCs/>
        </w:rPr>
        <w:t>•</w:t>
      </w:r>
      <w:r w:rsidRPr="00FD07CF">
        <w:tab/>
      </w:r>
      <w:r w:rsidR="00862E53" w:rsidRPr="00FD07CF">
        <w:rPr>
          <w:b/>
          <w:bCs/>
        </w:rPr>
        <w:t>Method C:</w:t>
      </w:r>
      <w:r w:rsidR="00862E53" w:rsidRPr="00FD07CF">
        <w:t xml:space="preserve"> Upgrade of the allocation of </w:t>
      </w:r>
      <w:r w:rsidR="00786660" w:rsidRPr="00FD07CF">
        <w:t xml:space="preserve">the frequency band </w:t>
      </w:r>
      <w:r w:rsidR="00862E53" w:rsidRPr="00FD07CF">
        <w:t>3 600-3 800</w:t>
      </w:r>
      <w:r w:rsidR="00984001" w:rsidRPr="00FD07CF">
        <w:t> </w:t>
      </w:r>
      <w:r w:rsidR="00862E53" w:rsidRPr="00FD07CF">
        <w:t>MHz to the mobile, except aeronautical mobile, service on a primary basis within Region</w:t>
      </w:r>
      <w:r w:rsidR="00984001" w:rsidRPr="00FD07CF">
        <w:t> </w:t>
      </w:r>
      <w:r w:rsidR="00862E53" w:rsidRPr="00FD07CF">
        <w:t>1 with regulatory and/or technical conditions. This Method includes five alternatives for conditions.</w:t>
      </w:r>
    </w:p>
    <w:p w14:paraId="20A809A3" w14:textId="3E8EC582" w:rsidR="00862E53" w:rsidRPr="00FD07CF" w:rsidRDefault="000F0902" w:rsidP="000F0902">
      <w:pPr>
        <w:pStyle w:val="enumlev1"/>
      </w:pPr>
      <w:r w:rsidRPr="00FD07CF">
        <w:rPr>
          <w:b/>
          <w:bCs/>
        </w:rPr>
        <w:t>•</w:t>
      </w:r>
      <w:r w:rsidRPr="00FD07CF">
        <w:tab/>
      </w:r>
      <w:r w:rsidR="00862E53" w:rsidRPr="00FD07CF">
        <w:rPr>
          <w:b/>
          <w:bCs/>
        </w:rPr>
        <w:t>Method D:</w:t>
      </w:r>
      <w:r w:rsidR="00862E53" w:rsidRPr="00FD07CF">
        <w:t xml:space="preserve"> Upgrade of the allocation of </w:t>
      </w:r>
      <w:r w:rsidR="00786660" w:rsidRPr="00FD07CF">
        <w:t xml:space="preserve">the frequency band </w:t>
      </w:r>
      <w:r w:rsidR="00862E53" w:rsidRPr="00FD07CF">
        <w:t>3 600-3 800</w:t>
      </w:r>
      <w:r w:rsidR="00984001" w:rsidRPr="00FD07CF">
        <w:t> </w:t>
      </w:r>
      <w:r w:rsidR="00862E53" w:rsidRPr="00FD07CF">
        <w:t>MHz to the mobile service on a primary basis within Region</w:t>
      </w:r>
      <w:r w:rsidR="00984001" w:rsidRPr="00FD07CF">
        <w:t> </w:t>
      </w:r>
      <w:r w:rsidR="00862E53" w:rsidRPr="00FD07CF">
        <w:t xml:space="preserve">1 without conditions, and identification for </w:t>
      </w:r>
      <w:r w:rsidR="009F59FD" w:rsidRPr="00FD07CF">
        <w:t xml:space="preserve">International </w:t>
      </w:r>
      <w:r w:rsidR="000B041A" w:rsidRPr="00FD07CF">
        <w:t>Mobile Telecommunications (</w:t>
      </w:r>
      <w:r w:rsidR="00862E53" w:rsidRPr="00FD07CF">
        <w:t>IMT</w:t>
      </w:r>
      <w:r w:rsidR="000B041A" w:rsidRPr="00FD07CF">
        <w:t>)</w:t>
      </w:r>
      <w:r w:rsidRPr="00FD07CF">
        <w:t>.</w:t>
      </w:r>
    </w:p>
    <w:p w14:paraId="698674D3" w14:textId="503D8D3B" w:rsidR="00862E53" w:rsidRPr="00FD07CF" w:rsidRDefault="000F0902" w:rsidP="000F0902">
      <w:pPr>
        <w:pStyle w:val="enumlev1"/>
      </w:pPr>
      <w:r w:rsidRPr="00FD07CF">
        <w:rPr>
          <w:b/>
          <w:bCs/>
        </w:rPr>
        <w:t>•</w:t>
      </w:r>
      <w:r w:rsidRPr="00FD07CF">
        <w:tab/>
      </w:r>
      <w:r w:rsidR="00862E53" w:rsidRPr="00FD07CF">
        <w:rPr>
          <w:b/>
          <w:bCs/>
        </w:rPr>
        <w:t>Method E:</w:t>
      </w:r>
      <w:r w:rsidR="00862E53" w:rsidRPr="00FD07CF">
        <w:t xml:space="preserve"> Upgrade of the allocation of the </w:t>
      </w:r>
      <w:r w:rsidR="00786660" w:rsidRPr="00FD07CF">
        <w:t xml:space="preserve">frequency </w:t>
      </w:r>
      <w:r w:rsidR="00862E53" w:rsidRPr="00FD07CF">
        <w:t>band 3 600-3 800 MHz or parts thereof to the mobile, except aeronautical mobile, service on a primary basis in Region 1 with regulatory and/or technical conditions, and identification for IMT. This Method includes two alternatives for conditions.</w:t>
      </w:r>
    </w:p>
    <w:p w14:paraId="663CAED9" w14:textId="1375555D" w:rsidR="00862E53" w:rsidRPr="00FD07CF" w:rsidRDefault="00862E53" w:rsidP="00862E53">
      <w:pPr>
        <w:spacing w:before="80" w:after="80"/>
        <w:jc w:val="both"/>
      </w:pPr>
      <w:r w:rsidRPr="00FD07CF">
        <w:rPr>
          <w:iCs/>
        </w:rPr>
        <w:t>All five methods also propose to suppress Resolution</w:t>
      </w:r>
      <w:r w:rsidR="00984001" w:rsidRPr="00FD07CF">
        <w:rPr>
          <w:iCs/>
        </w:rPr>
        <w:t> </w:t>
      </w:r>
      <w:r w:rsidRPr="00FD07CF">
        <w:rPr>
          <w:b/>
          <w:bCs/>
          <w:iCs/>
        </w:rPr>
        <w:t>246 (WRC-19)</w:t>
      </w:r>
      <w:r w:rsidRPr="00FD07CF">
        <w:rPr>
          <w:iCs/>
        </w:rPr>
        <w:t>.</w:t>
      </w:r>
    </w:p>
    <w:p w14:paraId="5BD71408" w14:textId="77777777" w:rsidR="00D73A1F" w:rsidRPr="00FD07CF" w:rsidRDefault="00D73A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FD07CF">
        <w:br w:type="page"/>
      </w:r>
    </w:p>
    <w:p w14:paraId="253C85B8" w14:textId="22FCEB2E" w:rsidR="00D73A1F" w:rsidRPr="00FD07CF" w:rsidRDefault="00D73A1F" w:rsidP="00D73A1F">
      <w:pPr>
        <w:pStyle w:val="Headingb"/>
        <w:rPr>
          <w:lang w:val="en-GB"/>
        </w:rPr>
      </w:pPr>
      <w:r w:rsidRPr="00FD07CF">
        <w:rPr>
          <w:lang w:val="en-GB"/>
        </w:rPr>
        <w:lastRenderedPageBreak/>
        <w:t>Proposals</w:t>
      </w:r>
    </w:p>
    <w:p w14:paraId="1A244755" w14:textId="52A0E3FA" w:rsidR="00D73A1F" w:rsidRPr="00FD07CF" w:rsidRDefault="00D73A1F" w:rsidP="00D73A1F">
      <w:r w:rsidRPr="00FD07CF">
        <w:t>Refer to the outcome of APG23-6 meeting under WRC</w:t>
      </w:r>
      <w:r w:rsidR="00984001" w:rsidRPr="00FD07CF">
        <w:noBreakHyphen/>
      </w:r>
      <w:r w:rsidRPr="00FD07CF">
        <w:t>23 agenda item</w:t>
      </w:r>
      <w:r w:rsidR="00984001" w:rsidRPr="00FD07CF">
        <w:t> </w:t>
      </w:r>
      <w:r w:rsidRPr="00FD07CF">
        <w:t>1.3, APT Members have the following views:</w:t>
      </w:r>
    </w:p>
    <w:p w14:paraId="7CD14B76" w14:textId="7FE34EB4" w:rsidR="00D73A1F" w:rsidRPr="00FD07CF" w:rsidRDefault="00D73A1F" w:rsidP="00D73A1F">
      <w:pPr>
        <w:pStyle w:val="enumlev1"/>
      </w:pPr>
      <w:r w:rsidRPr="00FD07CF">
        <w:t>‒</w:t>
      </w:r>
      <w:r w:rsidRPr="00FD07CF">
        <w:tab/>
        <w:t>APT Members are of the view that a possible upgrade of mobile, except aeronautical mobile, service to primary allocation in the band 3</w:t>
      </w:r>
      <w:r w:rsidR="00984001" w:rsidRPr="00FD07CF">
        <w:t> </w:t>
      </w:r>
      <w:r w:rsidRPr="00FD07CF">
        <w:t>600-3</w:t>
      </w:r>
      <w:r w:rsidR="00984001" w:rsidRPr="00FD07CF">
        <w:t> </w:t>
      </w:r>
      <w:r w:rsidRPr="00FD07CF">
        <w:t>800</w:t>
      </w:r>
      <w:r w:rsidR="00984001" w:rsidRPr="00FD07CF">
        <w:t> </w:t>
      </w:r>
      <w:r w:rsidRPr="00FD07CF">
        <w:t>MHz in Region</w:t>
      </w:r>
      <w:r w:rsidR="00984001" w:rsidRPr="00FD07CF">
        <w:t> </w:t>
      </w:r>
      <w:r w:rsidRPr="00FD07CF">
        <w:t>1 shall protect existing and planned services to which the frequency band is allocated on a primary basis (and in adjacent bands, as appropriate) in Region</w:t>
      </w:r>
      <w:r w:rsidR="00984001" w:rsidRPr="00FD07CF">
        <w:t> </w:t>
      </w:r>
      <w:r w:rsidRPr="00FD07CF">
        <w:t>3, taking into account the results of sharing and compatibility studies.</w:t>
      </w:r>
    </w:p>
    <w:p w14:paraId="0448E7EE" w14:textId="26E206DA" w:rsidR="00D73A1F" w:rsidRPr="00FD07CF" w:rsidRDefault="00D73A1F" w:rsidP="00D73A1F">
      <w:pPr>
        <w:pStyle w:val="enumlev1"/>
      </w:pPr>
      <w:r w:rsidRPr="00FD07CF">
        <w:t>‒</w:t>
      </w:r>
      <w:r w:rsidRPr="00FD07CF">
        <w:tab/>
        <w:t>APT Members are of the view that this agenda item is a Region</w:t>
      </w:r>
      <w:r w:rsidR="00984001" w:rsidRPr="00FD07CF">
        <w:t> </w:t>
      </w:r>
      <w:r w:rsidRPr="00FD07CF">
        <w:t>1 issue however since there are administrations in Region</w:t>
      </w:r>
      <w:r w:rsidR="00984001" w:rsidRPr="00FD07CF">
        <w:t> </w:t>
      </w:r>
      <w:r w:rsidRPr="00FD07CF">
        <w:t>3 that are adjacent then this agenda has some relevant to APT members.</w:t>
      </w:r>
    </w:p>
    <w:p w14:paraId="7BF644E3" w14:textId="6E69E665" w:rsidR="00D73A1F" w:rsidRPr="00FD07CF" w:rsidRDefault="00D73A1F" w:rsidP="00D73A1F">
      <w:pPr>
        <w:pStyle w:val="enumlev1"/>
      </w:pPr>
      <w:r w:rsidRPr="00FD07CF">
        <w:t>‒</w:t>
      </w:r>
      <w:r w:rsidRPr="00FD07CF">
        <w:tab/>
        <w:t>APT Members are also of the view that such upgrading shall not have any adverse effect on the allocation of the existing services and their future development in Region</w:t>
      </w:r>
      <w:r w:rsidR="00984001" w:rsidRPr="00FD07CF">
        <w:t> </w:t>
      </w:r>
      <w:r w:rsidRPr="00FD07CF">
        <w:t>3 especially satellite FSS services.</w:t>
      </w:r>
    </w:p>
    <w:p w14:paraId="31BDB7D8" w14:textId="4974918D" w:rsidR="00D73A1F" w:rsidRPr="00FD07CF" w:rsidRDefault="00D73A1F" w:rsidP="00D73A1F">
      <w:pPr>
        <w:pStyle w:val="enumlev1"/>
      </w:pPr>
      <w:r w:rsidRPr="00FD07CF">
        <w:t>‒</w:t>
      </w:r>
      <w:r w:rsidRPr="00FD07CF">
        <w:tab/>
        <w:t>APT</w:t>
      </w:r>
      <w:r w:rsidRPr="00FD07CF">
        <w:rPr>
          <w:rFonts w:eastAsia="SimSun"/>
          <w:lang w:eastAsia="zh-CN"/>
        </w:rPr>
        <w:t xml:space="preserve"> Members </w:t>
      </w:r>
      <w:r w:rsidRPr="00FD07CF">
        <w:t>are</w:t>
      </w:r>
      <w:r w:rsidRPr="00FD07CF">
        <w:rPr>
          <w:rFonts w:eastAsia="SimSun"/>
          <w:lang w:eastAsia="zh-CN"/>
        </w:rPr>
        <w:t xml:space="preserve"> of the view that </w:t>
      </w:r>
      <w:r w:rsidRPr="00FD07CF">
        <w:t xml:space="preserve">any discussions on this agenda item shall not be mixed up on the discussions being followed / carried out under </w:t>
      </w:r>
      <w:r w:rsidR="00F12670" w:rsidRPr="00FD07CF">
        <w:t>WRC</w:t>
      </w:r>
      <w:r w:rsidR="00984001" w:rsidRPr="00FD07CF">
        <w:noBreakHyphen/>
      </w:r>
      <w:r w:rsidR="00F12670" w:rsidRPr="00FD07CF">
        <w:t xml:space="preserve">23 </w:t>
      </w:r>
      <w:r w:rsidRPr="00FD07CF">
        <w:t>agenda item</w:t>
      </w:r>
      <w:r w:rsidR="00F12670" w:rsidRPr="00FD07CF">
        <w:t> </w:t>
      </w:r>
      <w:r w:rsidRPr="00FD07CF">
        <w:t>1.2, i.e., no identification of the frequency band 3</w:t>
      </w:r>
      <w:r w:rsidR="00984001" w:rsidRPr="00FD07CF">
        <w:t> </w:t>
      </w:r>
      <w:r w:rsidRPr="00FD07CF">
        <w:t>600-3</w:t>
      </w:r>
      <w:r w:rsidR="00984001" w:rsidRPr="00FD07CF">
        <w:t> </w:t>
      </w:r>
      <w:r w:rsidRPr="00FD07CF">
        <w:t>800 MHz for IMT, while recogni</w:t>
      </w:r>
      <w:r w:rsidR="00984001" w:rsidRPr="00FD07CF">
        <w:t>z</w:t>
      </w:r>
      <w:r w:rsidRPr="00FD07CF">
        <w:t>ing the fact that IMT identification is not specifically part of the scope of Resolution</w:t>
      </w:r>
      <w:r w:rsidR="00984001" w:rsidRPr="00FD07CF">
        <w:t> </w:t>
      </w:r>
      <w:r w:rsidR="00F12670" w:rsidRPr="00FD07CF">
        <w:rPr>
          <w:b/>
          <w:bCs/>
          <w:iCs/>
        </w:rPr>
        <w:t>246 (WRC</w:t>
      </w:r>
      <w:r w:rsidR="00984001" w:rsidRPr="00FD07CF">
        <w:rPr>
          <w:b/>
          <w:bCs/>
          <w:iCs/>
        </w:rPr>
        <w:noBreakHyphen/>
      </w:r>
      <w:r w:rsidR="00F12670" w:rsidRPr="00FD07CF">
        <w:rPr>
          <w:b/>
          <w:bCs/>
          <w:iCs/>
        </w:rPr>
        <w:t>19)</w:t>
      </w:r>
      <w:r w:rsidRPr="00FD07CF">
        <w:t>.</w:t>
      </w:r>
    </w:p>
    <w:p w14:paraId="56AF3D56" w14:textId="61ADC6D0" w:rsidR="00D73A1F" w:rsidRPr="00FD07CF" w:rsidRDefault="00D73A1F" w:rsidP="00D73A1F">
      <w:r w:rsidRPr="00FD07CF">
        <w:t xml:space="preserve">We support the above APT Views under </w:t>
      </w:r>
      <w:r w:rsidR="00F12670" w:rsidRPr="00FD07CF">
        <w:t>WRC-23 agenda i</w:t>
      </w:r>
      <w:r w:rsidRPr="00FD07CF">
        <w:t>tem</w:t>
      </w:r>
      <w:r w:rsidR="00984001" w:rsidRPr="00FD07CF">
        <w:t> </w:t>
      </w:r>
      <w:r w:rsidRPr="00FD07CF">
        <w:t xml:space="preserve">1.3. While APT Members understand that </w:t>
      </w:r>
      <w:r w:rsidR="00F12670" w:rsidRPr="00FD07CF">
        <w:t>WRC</w:t>
      </w:r>
      <w:r w:rsidR="00984001" w:rsidRPr="00FD07CF">
        <w:noBreakHyphen/>
      </w:r>
      <w:r w:rsidR="00F12670" w:rsidRPr="00FD07CF">
        <w:t xml:space="preserve">23 </w:t>
      </w:r>
      <w:r w:rsidRPr="00FD07CF">
        <w:t>agenda item</w:t>
      </w:r>
      <w:r w:rsidR="00984001" w:rsidRPr="00FD07CF">
        <w:t> </w:t>
      </w:r>
      <w:r w:rsidRPr="00FD07CF">
        <w:t>1.3 is a Region</w:t>
      </w:r>
      <w:r w:rsidR="00984001" w:rsidRPr="00FD07CF">
        <w:t> </w:t>
      </w:r>
      <w:r w:rsidRPr="00FD07CF">
        <w:t xml:space="preserve">1 issue, we believe Method B and Method D will not be able to </w:t>
      </w:r>
      <w:r w:rsidR="00F12670" w:rsidRPr="00FD07CF">
        <w:t>accommodate</w:t>
      </w:r>
      <w:r w:rsidRPr="00FD07CF">
        <w:t xml:space="preserve"> those APT Views in relation to protect the existing and planned services and therefore, we do not support Method B and Method D.</w:t>
      </w:r>
    </w:p>
    <w:p w14:paraId="3B7B9E3F" w14:textId="5F3B8BF5" w:rsidR="00D73A1F" w:rsidRPr="00FD07CF" w:rsidRDefault="00D73A1F" w:rsidP="00D73A1F">
      <w:r w:rsidRPr="00FD07CF">
        <w:t>In addition, APT</w:t>
      </w:r>
      <w:r w:rsidRPr="00FD07CF">
        <w:rPr>
          <w:rFonts w:eastAsia="SimSun"/>
          <w:lang w:eastAsia="zh-CN"/>
        </w:rPr>
        <w:t xml:space="preserve"> Members </w:t>
      </w:r>
      <w:r w:rsidRPr="00FD07CF">
        <w:t>are</w:t>
      </w:r>
      <w:r w:rsidRPr="00FD07CF">
        <w:rPr>
          <w:rFonts w:eastAsia="SimSun"/>
          <w:lang w:eastAsia="zh-CN"/>
        </w:rPr>
        <w:t xml:space="preserve"> of the view that </w:t>
      </w:r>
      <w:r w:rsidRPr="00FD07CF">
        <w:t>no identification of the frequency band 3</w:t>
      </w:r>
      <w:r w:rsidR="00984001" w:rsidRPr="00FD07CF">
        <w:t> </w:t>
      </w:r>
      <w:r w:rsidRPr="00FD07CF">
        <w:t>600-3</w:t>
      </w:r>
      <w:r w:rsidR="00F12670" w:rsidRPr="00FD07CF">
        <w:t> </w:t>
      </w:r>
      <w:r w:rsidRPr="00FD07CF">
        <w:t>800</w:t>
      </w:r>
      <w:r w:rsidR="00F12670" w:rsidRPr="00FD07CF">
        <w:t> </w:t>
      </w:r>
      <w:r w:rsidRPr="00FD07CF">
        <w:t xml:space="preserve">MHz for IMT under </w:t>
      </w:r>
      <w:r w:rsidR="00F12670" w:rsidRPr="00FD07CF">
        <w:t>WRC</w:t>
      </w:r>
      <w:r w:rsidR="00984001" w:rsidRPr="00FD07CF">
        <w:noBreakHyphen/>
      </w:r>
      <w:r w:rsidR="00F12670" w:rsidRPr="00FD07CF">
        <w:t>23 agenda item</w:t>
      </w:r>
      <w:r w:rsidR="00984001" w:rsidRPr="00FD07CF">
        <w:t> </w:t>
      </w:r>
      <w:r w:rsidRPr="00FD07CF">
        <w:t>1.3 and therefore, we do not support Method E.</w:t>
      </w:r>
    </w:p>
    <w:p w14:paraId="1857BF40" w14:textId="3A1078E5" w:rsidR="00D73A1F" w:rsidRPr="00FD07CF" w:rsidRDefault="00D73A1F" w:rsidP="00D73A1F">
      <w:r w:rsidRPr="00FD07CF">
        <w:t>This co-existence issue is a well-known fact, and administrations having decided to deploy wide scale mobile networks in a frequency band have also decided to migrate the FSS Earth stations from the frequency bands assign to mobile networks. A concrete example would be some administrations in Asia Pacific region which have allocated mobile in portions of C-band downlink (e.g. up to 3.6</w:t>
      </w:r>
      <w:r w:rsidR="00F12670" w:rsidRPr="00FD07CF">
        <w:t> </w:t>
      </w:r>
      <w:r w:rsidRPr="00FD07CF">
        <w:t xml:space="preserve">GHz) and consequentially, all FSS services have to be migrated to frequency bands above </w:t>
      </w:r>
      <w:r w:rsidR="00786660" w:rsidRPr="00FD07CF">
        <w:t>3.6 GHz</w:t>
      </w:r>
      <w:r w:rsidRPr="00FD07CF">
        <w:t xml:space="preserve">. Although some studies try to show that co-frequency sharing is feasible, reality and the fact tells a different story where interference issues arise even in the adjacent band. </w:t>
      </w:r>
    </w:p>
    <w:p w14:paraId="26134923" w14:textId="24FAB82B" w:rsidR="00241FA2" w:rsidRPr="00FD07CF" w:rsidRDefault="00D73A1F" w:rsidP="00D73A1F">
      <w:r w:rsidRPr="00FD07CF">
        <w:t xml:space="preserve">Based on the above explanations, we support Method A (No Change) to satisfy </w:t>
      </w:r>
      <w:r w:rsidR="00F12670" w:rsidRPr="00FD07CF">
        <w:t xml:space="preserve">WRC-23 agenda item </w:t>
      </w:r>
      <w:r w:rsidRPr="00FD07CF">
        <w:t>1.3 which could be refer</w:t>
      </w:r>
      <w:r w:rsidR="00786660" w:rsidRPr="00FD07CF">
        <w:t>red</w:t>
      </w:r>
      <w:r w:rsidRPr="00FD07CF">
        <w:t xml:space="preserve"> to Annex</w:t>
      </w:r>
      <w:r w:rsidR="00F12670" w:rsidRPr="00FD07CF">
        <w:t xml:space="preserve"> </w:t>
      </w:r>
      <w:r w:rsidRPr="00FD07CF">
        <w:t>1 below.</w:t>
      </w:r>
    </w:p>
    <w:p w14:paraId="4CE987AD" w14:textId="77777777" w:rsidR="00187BD9" w:rsidRPr="00FD07C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07CF">
        <w:br w:type="page"/>
      </w:r>
    </w:p>
    <w:p w14:paraId="50423527" w14:textId="440E1601" w:rsidR="00F12670" w:rsidRPr="00FD07CF" w:rsidRDefault="00F12670" w:rsidP="00F12670">
      <w:pPr>
        <w:pStyle w:val="AnnexNo"/>
      </w:pPr>
      <w:r w:rsidRPr="00FD07CF">
        <w:lastRenderedPageBreak/>
        <w:t>Annex 1</w:t>
      </w:r>
    </w:p>
    <w:p w14:paraId="3D344F4B" w14:textId="77777777" w:rsidR="007A022C" w:rsidRPr="00FD07CF" w:rsidRDefault="008B1788" w:rsidP="008B1788">
      <w:pPr>
        <w:pStyle w:val="ArtNo"/>
      </w:pPr>
      <w:bookmarkStart w:id="7" w:name="_Toc42842383"/>
      <w:r w:rsidRPr="00FD07CF">
        <w:t xml:space="preserve">ARTICLE </w:t>
      </w:r>
      <w:r w:rsidRPr="00FD07CF">
        <w:rPr>
          <w:rStyle w:val="href"/>
          <w:rFonts w:eastAsiaTheme="majorEastAsia"/>
          <w:color w:val="000000"/>
        </w:rPr>
        <w:t>5</w:t>
      </w:r>
      <w:bookmarkEnd w:id="7"/>
    </w:p>
    <w:p w14:paraId="1AD2C42B" w14:textId="77777777" w:rsidR="007A022C" w:rsidRPr="00FD07CF" w:rsidRDefault="008B1788" w:rsidP="007F1392">
      <w:pPr>
        <w:pStyle w:val="Arttitle"/>
      </w:pPr>
      <w:bookmarkStart w:id="8" w:name="_Toc327956583"/>
      <w:bookmarkStart w:id="9" w:name="_Toc42842384"/>
      <w:r w:rsidRPr="00FD07CF">
        <w:t>Frequency allocations</w:t>
      </w:r>
      <w:bookmarkEnd w:id="8"/>
      <w:bookmarkEnd w:id="9"/>
    </w:p>
    <w:p w14:paraId="1DC19E04" w14:textId="77777777" w:rsidR="007A022C" w:rsidRPr="00FD07CF" w:rsidRDefault="008B1788" w:rsidP="007F1392">
      <w:pPr>
        <w:pStyle w:val="Section1"/>
        <w:keepNext/>
      </w:pPr>
      <w:r w:rsidRPr="00FD07CF">
        <w:t>Section IV – Table of Frequency Allocations</w:t>
      </w:r>
      <w:r w:rsidRPr="00FD07CF">
        <w:br/>
      </w:r>
      <w:r w:rsidRPr="00FD07CF">
        <w:rPr>
          <w:b w:val="0"/>
          <w:bCs/>
        </w:rPr>
        <w:t xml:space="preserve">(See No. </w:t>
      </w:r>
      <w:r w:rsidRPr="00FD07CF">
        <w:t>2.1</w:t>
      </w:r>
      <w:r w:rsidRPr="00FD07CF">
        <w:rPr>
          <w:b w:val="0"/>
          <w:bCs/>
        </w:rPr>
        <w:t>)</w:t>
      </w:r>
      <w:r w:rsidRPr="00FD07CF">
        <w:rPr>
          <w:b w:val="0"/>
          <w:bCs/>
        </w:rPr>
        <w:br/>
      </w:r>
      <w:r w:rsidRPr="00FD07CF">
        <w:br/>
      </w:r>
    </w:p>
    <w:p w14:paraId="184E8DC4" w14:textId="77777777" w:rsidR="0090684A" w:rsidRPr="00FD07CF" w:rsidRDefault="008B1788">
      <w:pPr>
        <w:pStyle w:val="Proposal"/>
      </w:pPr>
      <w:r w:rsidRPr="00FD07CF">
        <w:rPr>
          <w:u w:val="single"/>
        </w:rPr>
        <w:t>NOC</w:t>
      </w:r>
      <w:r w:rsidRPr="00FD07CF">
        <w:tab/>
        <w:t>PNG/SMO/162/1</w:t>
      </w:r>
    </w:p>
    <w:p w14:paraId="18A15832" w14:textId="77777777" w:rsidR="007A022C" w:rsidRPr="00FD07CF" w:rsidRDefault="008B1788" w:rsidP="007F1392">
      <w:pPr>
        <w:pStyle w:val="Tabletitle"/>
      </w:pPr>
      <w:r w:rsidRPr="00FD07CF">
        <w:t>3 600-4 800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08"/>
        <w:gridCol w:w="9"/>
      </w:tblGrid>
      <w:tr w:rsidR="007F1392" w:rsidRPr="00FD07CF" w14:paraId="0E19823C" w14:textId="77777777" w:rsidTr="007F1392">
        <w:trPr>
          <w:cantSplit/>
          <w:jc w:val="center"/>
        </w:trPr>
        <w:tc>
          <w:tcPr>
            <w:tcW w:w="9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2E4A" w14:textId="77777777" w:rsidR="007A022C" w:rsidRPr="00FD07CF" w:rsidRDefault="008B1788" w:rsidP="007F1392">
            <w:pPr>
              <w:pStyle w:val="Tablehead"/>
            </w:pPr>
            <w:r w:rsidRPr="00FD07CF">
              <w:t>Allocation to services</w:t>
            </w:r>
          </w:p>
        </w:tc>
      </w:tr>
      <w:tr w:rsidR="007F1392" w:rsidRPr="00FD07CF" w14:paraId="0438A441" w14:textId="77777777" w:rsidTr="007F1392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F7DE" w14:textId="77777777" w:rsidR="007A022C" w:rsidRPr="00FD07CF" w:rsidRDefault="008B1788" w:rsidP="007F1392">
            <w:pPr>
              <w:pStyle w:val="Tablehead"/>
            </w:pPr>
            <w:r w:rsidRPr="00FD07CF">
              <w:t>Region 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A3E1" w14:textId="77777777" w:rsidR="007A022C" w:rsidRPr="00FD07CF" w:rsidRDefault="008B1788" w:rsidP="007F1392">
            <w:pPr>
              <w:pStyle w:val="Tablehead"/>
            </w:pPr>
            <w:r w:rsidRPr="00FD07CF">
              <w:t>Region 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AE9D" w14:textId="77777777" w:rsidR="007A022C" w:rsidRPr="00FD07CF" w:rsidRDefault="008B1788" w:rsidP="007F1392">
            <w:pPr>
              <w:pStyle w:val="Tablehead"/>
            </w:pPr>
            <w:r w:rsidRPr="00FD07CF">
              <w:t>Region 3</w:t>
            </w:r>
          </w:p>
        </w:tc>
      </w:tr>
      <w:tr w:rsidR="007F1392" w:rsidRPr="00FD07CF" w14:paraId="137F88A6" w14:textId="77777777" w:rsidTr="007F1392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1FA01" w14:textId="77777777" w:rsidR="007A022C" w:rsidRPr="00FD07CF" w:rsidRDefault="008B1788" w:rsidP="005B1E0E">
            <w:pPr>
              <w:pStyle w:val="TableTextS5"/>
              <w:spacing w:before="30" w:after="30"/>
              <w:rPr>
                <w:rStyle w:val="Tablefreq"/>
              </w:rPr>
            </w:pPr>
            <w:r w:rsidRPr="00FD07CF">
              <w:rPr>
                <w:rStyle w:val="Tablefreq"/>
              </w:rPr>
              <w:t>3 600-4 200</w:t>
            </w:r>
          </w:p>
          <w:p w14:paraId="42E0A82B" w14:textId="77777777" w:rsidR="007A022C" w:rsidRPr="00FD07CF" w:rsidRDefault="008B1788" w:rsidP="005B1E0E">
            <w:pPr>
              <w:pStyle w:val="TableTextS5"/>
              <w:spacing w:before="30" w:after="30"/>
              <w:rPr>
                <w:color w:val="000000"/>
              </w:rPr>
            </w:pPr>
            <w:r w:rsidRPr="00FD07CF">
              <w:rPr>
                <w:color w:val="000000"/>
              </w:rPr>
              <w:t>FIXED</w:t>
            </w:r>
          </w:p>
          <w:p w14:paraId="3FA04F1D" w14:textId="77777777" w:rsidR="007A022C" w:rsidRPr="00FD07CF" w:rsidRDefault="008B1788" w:rsidP="005B1E0E">
            <w:pPr>
              <w:pStyle w:val="TableTextS5"/>
              <w:spacing w:before="30" w:after="30"/>
              <w:rPr>
                <w:color w:val="000000"/>
              </w:rPr>
            </w:pPr>
            <w:r w:rsidRPr="00FD07CF">
              <w:rPr>
                <w:color w:val="000000"/>
              </w:rPr>
              <w:t>FIXED-SATELLITE</w:t>
            </w:r>
            <w:r w:rsidRPr="00FD07CF">
              <w:rPr>
                <w:color w:val="000000"/>
              </w:rPr>
              <w:br/>
              <w:t>(space-to-Earth)</w:t>
            </w:r>
          </w:p>
          <w:p w14:paraId="0407EF0B" w14:textId="77777777" w:rsidR="007A022C" w:rsidRPr="00FD07CF" w:rsidRDefault="008B1788" w:rsidP="005B1E0E">
            <w:pPr>
              <w:pStyle w:val="TableTextS5"/>
              <w:spacing w:before="30" w:after="30"/>
              <w:rPr>
                <w:b/>
              </w:rPr>
            </w:pPr>
            <w:r w:rsidRPr="00FD07CF">
              <w:rPr>
                <w:color w:val="000000"/>
              </w:rPr>
              <w:t>Mobile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A34DD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D07CF">
              <w:rPr>
                <w:rStyle w:val="Tablefreq"/>
              </w:rPr>
              <w:t>3 600-3 700</w:t>
            </w:r>
          </w:p>
          <w:p w14:paraId="687AE124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FIXED</w:t>
            </w:r>
          </w:p>
          <w:p w14:paraId="4D1C20A2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FIXED-SATELLITE (space-to-Earth)</w:t>
            </w:r>
          </w:p>
          <w:p w14:paraId="4B1CB8AC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 xml:space="preserve">MOBILE except aeronautical mobile  </w:t>
            </w:r>
            <w:r w:rsidRPr="00FD07CF">
              <w:rPr>
                <w:rStyle w:val="Artref"/>
              </w:rPr>
              <w:t>5.434</w:t>
            </w:r>
          </w:p>
          <w:p w14:paraId="27E585D0" w14:textId="77777777" w:rsidR="007A022C" w:rsidRPr="00FD07CF" w:rsidRDefault="008B1788" w:rsidP="005B1E0E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FD07CF">
              <w:rPr>
                <w:color w:val="000000"/>
              </w:rPr>
              <w:t xml:space="preserve">Radiolocation  </w:t>
            </w:r>
            <w:r w:rsidRPr="00FD07CF">
              <w:rPr>
                <w:rStyle w:val="Artref"/>
              </w:rPr>
              <w:t>5.433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B428C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D07CF">
              <w:rPr>
                <w:rStyle w:val="Tablefreq"/>
              </w:rPr>
              <w:t>3 600-3 700</w:t>
            </w:r>
          </w:p>
          <w:p w14:paraId="0144C15E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FIXED</w:t>
            </w:r>
          </w:p>
          <w:p w14:paraId="45BAD1B8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FIXED-SATELLITE (space-to-Earth)</w:t>
            </w:r>
          </w:p>
          <w:p w14:paraId="2B0C5DE2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MOBILE except aeronautical mobile</w:t>
            </w:r>
          </w:p>
          <w:p w14:paraId="147A6479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Radiolocation</w:t>
            </w:r>
          </w:p>
          <w:p w14:paraId="366D205E" w14:textId="77777777" w:rsidR="007A022C" w:rsidRPr="00FD07CF" w:rsidRDefault="008B1788" w:rsidP="005B1E0E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FD07CF">
              <w:rPr>
                <w:rStyle w:val="Artref"/>
              </w:rPr>
              <w:t>5.435</w:t>
            </w:r>
          </w:p>
        </w:tc>
      </w:tr>
      <w:tr w:rsidR="007F1392" w:rsidRPr="00FD07CF" w14:paraId="6151EC98" w14:textId="77777777" w:rsidTr="007F1392">
        <w:trPr>
          <w:cantSplit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FB42" w14:textId="77777777" w:rsidR="007A022C" w:rsidRPr="00FD07CF" w:rsidRDefault="007A022C" w:rsidP="005B1E0E">
            <w:pPr>
              <w:pStyle w:val="TableTextS5"/>
              <w:spacing w:before="30" w:after="30"/>
              <w:rPr>
                <w:rStyle w:val="Tablefreq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A3B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D07CF">
              <w:rPr>
                <w:rStyle w:val="Tablefreq"/>
              </w:rPr>
              <w:t>3 700-4 200</w:t>
            </w:r>
          </w:p>
          <w:p w14:paraId="2678FFAC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FIXED</w:t>
            </w:r>
          </w:p>
          <w:p w14:paraId="0AF5353E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FD07CF">
              <w:rPr>
                <w:color w:val="000000"/>
              </w:rPr>
              <w:t>FIXED-SATELLITE (space-to-Earth)</w:t>
            </w:r>
          </w:p>
          <w:p w14:paraId="7C083122" w14:textId="77777777" w:rsidR="007A022C" w:rsidRPr="00FD07CF" w:rsidRDefault="008B1788" w:rsidP="005B1E0E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FD07CF">
              <w:rPr>
                <w:color w:val="000000"/>
              </w:rPr>
              <w:t>MOBILE except aeronautical mobile</w:t>
            </w:r>
          </w:p>
        </w:tc>
      </w:tr>
      <w:tr w:rsidR="007F1392" w:rsidRPr="00FD07CF" w14:paraId="42A83E84" w14:textId="77777777" w:rsidTr="007F1392">
        <w:trPr>
          <w:cantSplit/>
          <w:jc w:val="center"/>
        </w:trPr>
        <w:tc>
          <w:tcPr>
            <w:tcW w:w="92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E7E2E" w14:textId="77777777" w:rsidR="007A022C" w:rsidRPr="00FD07CF" w:rsidRDefault="008B1788" w:rsidP="007F1392">
            <w:pPr>
              <w:pStyle w:val="TableTextS5"/>
              <w:spacing w:before="30" w:after="30"/>
              <w:ind w:left="567" w:hanging="567"/>
              <w:rPr>
                <w:color w:val="000000"/>
              </w:rPr>
            </w:pPr>
            <w:r w:rsidRPr="00FD07CF">
              <w:rPr>
                <w:rStyle w:val="Tablefreq"/>
              </w:rPr>
              <w:t>4 200-4 400</w:t>
            </w:r>
            <w:r w:rsidRPr="00FD07CF">
              <w:rPr>
                <w:color w:val="000000"/>
              </w:rPr>
              <w:tab/>
              <w:t xml:space="preserve">AERONAUTICAL MOBILE (R)  </w:t>
            </w:r>
            <w:r w:rsidRPr="00FD07CF">
              <w:rPr>
                <w:rStyle w:val="Artref"/>
              </w:rPr>
              <w:t>5.436</w:t>
            </w:r>
          </w:p>
          <w:p w14:paraId="3E6B60F6" w14:textId="77777777" w:rsidR="007A022C" w:rsidRPr="00FD07CF" w:rsidRDefault="008B1788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  <w:t xml:space="preserve">AERONAUTICAL RADIONAVIGATION  </w:t>
            </w:r>
            <w:r w:rsidRPr="00FD07CF">
              <w:rPr>
                <w:rStyle w:val="Artref"/>
                <w:color w:val="000000"/>
              </w:rPr>
              <w:t>5.438</w:t>
            </w:r>
          </w:p>
          <w:p w14:paraId="38738453" w14:textId="77777777" w:rsidR="007A022C" w:rsidRPr="00FD07CF" w:rsidRDefault="008B1788" w:rsidP="007F1392">
            <w:pPr>
              <w:pStyle w:val="TableTextS5"/>
              <w:spacing w:before="30" w:after="30"/>
              <w:rPr>
                <w:rStyle w:val="Artref"/>
                <w:color w:val="000000"/>
                <w:sz w:val="24"/>
              </w:rPr>
            </w:pP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rStyle w:val="Artref"/>
              </w:rPr>
              <w:t>5.437</w:t>
            </w:r>
            <w:r w:rsidRPr="00FD07CF">
              <w:rPr>
                <w:color w:val="000000"/>
              </w:rPr>
              <w:t xml:space="preserve">  </w:t>
            </w:r>
            <w:r w:rsidRPr="00FD07CF">
              <w:rPr>
                <w:rStyle w:val="Artref"/>
                <w:color w:val="000000"/>
              </w:rPr>
              <w:t>5.439</w:t>
            </w:r>
            <w:r w:rsidRPr="00FD07CF">
              <w:rPr>
                <w:color w:val="000000"/>
              </w:rPr>
              <w:t xml:space="preserve">  </w:t>
            </w:r>
            <w:r w:rsidRPr="00FD07CF">
              <w:rPr>
                <w:rStyle w:val="Artref"/>
                <w:color w:val="000000"/>
              </w:rPr>
              <w:t>5.440</w:t>
            </w:r>
          </w:p>
        </w:tc>
      </w:tr>
      <w:tr w:rsidR="007F1392" w:rsidRPr="00FD07CF" w14:paraId="2B5512FB" w14:textId="77777777" w:rsidTr="007F1392">
        <w:trPr>
          <w:gridAfter w:val="1"/>
          <w:wAfter w:w="9" w:type="dxa"/>
          <w:cantSplit/>
          <w:jc w:val="center"/>
        </w:trPr>
        <w:tc>
          <w:tcPr>
            <w:tcW w:w="9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2A0A" w14:textId="77777777" w:rsidR="007A022C" w:rsidRPr="00FD07CF" w:rsidRDefault="008B1788" w:rsidP="007F1392">
            <w:pPr>
              <w:pStyle w:val="TableTextS5"/>
            </w:pPr>
            <w:r w:rsidRPr="00FD07CF">
              <w:rPr>
                <w:rStyle w:val="Tablefreq"/>
              </w:rPr>
              <w:t>4 400-4 500</w:t>
            </w:r>
            <w:r w:rsidRPr="00FD07CF">
              <w:rPr>
                <w:b/>
                <w:color w:val="000000"/>
              </w:rPr>
              <w:tab/>
            </w:r>
            <w:r w:rsidRPr="00FD07CF">
              <w:t>FIXED</w:t>
            </w:r>
          </w:p>
          <w:p w14:paraId="1C20A48A" w14:textId="77777777" w:rsidR="007A022C" w:rsidRPr="00FD07CF" w:rsidRDefault="008B1788" w:rsidP="007F1392">
            <w:pPr>
              <w:pStyle w:val="TableTextS5"/>
              <w:tabs>
                <w:tab w:val="clear" w:pos="2977"/>
                <w:tab w:val="left" w:pos="2986"/>
              </w:tabs>
              <w:spacing w:before="30" w:after="30"/>
              <w:rPr>
                <w:rStyle w:val="Tablefreq"/>
                <w:color w:val="000000"/>
              </w:rPr>
            </w:pP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  <w:t xml:space="preserve">MOBILE  </w:t>
            </w:r>
            <w:r w:rsidRPr="00FD07CF">
              <w:rPr>
                <w:rStyle w:val="Artref"/>
              </w:rPr>
              <w:t>5.440A</w:t>
            </w:r>
          </w:p>
        </w:tc>
      </w:tr>
      <w:tr w:rsidR="007F1392" w:rsidRPr="00FD07CF" w14:paraId="774F3F92" w14:textId="77777777" w:rsidTr="007F1392">
        <w:trPr>
          <w:gridAfter w:val="1"/>
          <w:wAfter w:w="9" w:type="dxa"/>
          <w:cantSplit/>
          <w:jc w:val="center"/>
        </w:trPr>
        <w:tc>
          <w:tcPr>
            <w:tcW w:w="9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00A5" w14:textId="77777777" w:rsidR="007A022C" w:rsidRPr="00FD07CF" w:rsidRDefault="008B1788" w:rsidP="007F1392">
            <w:pPr>
              <w:pStyle w:val="TableTextS5"/>
              <w:tabs>
                <w:tab w:val="left" w:pos="1809"/>
              </w:tabs>
            </w:pPr>
            <w:r w:rsidRPr="00FD07CF">
              <w:rPr>
                <w:rStyle w:val="Tablefreq"/>
              </w:rPr>
              <w:t>4 500-4 800</w:t>
            </w:r>
            <w:r w:rsidRPr="00FD07CF">
              <w:tab/>
            </w:r>
            <w:r w:rsidRPr="00FD07CF">
              <w:tab/>
              <w:t>FIXED</w:t>
            </w:r>
          </w:p>
          <w:p w14:paraId="3C13B580" w14:textId="77777777" w:rsidR="007A022C" w:rsidRPr="00FD07CF" w:rsidRDefault="008B1788" w:rsidP="007F1392">
            <w:pPr>
              <w:pStyle w:val="TableTextS5"/>
              <w:tabs>
                <w:tab w:val="clear" w:pos="2977"/>
                <w:tab w:val="left" w:pos="2986"/>
              </w:tabs>
              <w:spacing w:before="30" w:after="30"/>
              <w:rPr>
                <w:color w:val="000000"/>
              </w:rPr>
            </w:pP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  <w:t xml:space="preserve">FIXED-SATELLITE (space-to-Earth)  </w:t>
            </w:r>
            <w:r w:rsidRPr="00FD07CF">
              <w:rPr>
                <w:rStyle w:val="Artref"/>
                <w:color w:val="000000"/>
              </w:rPr>
              <w:t>5.441</w:t>
            </w:r>
          </w:p>
          <w:p w14:paraId="5B26B734" w14:textId="77777777" w:rsidR="007A022C" w:rsidRPr="00FD07CF" w:rsidRDefault="008B1788" w:rsidP="007F1392">
            <w:pPr>
              <w:pStyle w:val="TableTextS5"/>
              <w:tabs>
                <w:tab w:val="clear" w:pos="2977"/>
                <w:tab w:val="left" w:pos="2986"/>
              </w:tabs>
              <w:spacing w:before="30" w:after="30"/>
              <w:rPr>
                <w:rStyle w:val="Tablefreq"/>
                <w:color w:val="000000"/>
              </w:rPr>
            </w:pP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</w:r>
            <w:r w:rsidRPr="00FD07CF">
              <w:rPr>
                <w:color w:val="000000"/>
              </w:rPr>
              <w:tab/>
              <w:t xml:space="preserve">MOBILE  </w:t>
            </w:r>
            <w:r w:rsidRPr="00FD07CF">
              <w:rPr>
                <w:rStyle w:val="Artref"/>
              </w:rPr>
              <w:t>5.440A</w:t>
            </w:r>
          </w:p>
        </w:tc>
      </w:tr>
    </w:tbl>
    <w:p w14:paraId="3646C3A5" w14:textId="22BEDCB5" w:rsidR="0090684A" w:rsidRPr="00FD07CF" w:rsidRDefault="0090684A">
      <w:pPr>
        <w:pStyle w:val="Reasons"/>
      </w:pPr>
    </w:p>
    <w:p w14:paraId="53CC514E" w14:textId="77777777" w:rsidR="0090684A" w:rsidRPr="00FD07CF" w:rsidRDefault="008B1788">
      <w:pPr>
        <w:pStyle w:val="Proposal"/>
      </w:pPr>
      <w:r w:rsidRPr="00FD07CF">
        <w:t>SUP</w:t>
      </w:r>
      <w:r w:rsidRPr="00FD07CF">
        <w:tab/>
        <w:t>PNG/SMO/162/2</w:t>
      </w:r>
      <w:r w:rsidRPr="00FD07CF">
        <w:rPr>
          <w:vanish/>
          <w:color w:val="7F7F7F" w:themeColor="text1" w:themeTint="80"/>
          <w:vertAlign w:val="superscript"/>
        </w:rPr>
        <w:t>#1407</w:t>
      </w:r>
    </w:p>
    <w:p w14:paraId="6057F84C" w14:textId="77777777" w:rsidR="007A022C" w:rsidRPr="00FD07CF" w:rsidRDefault="008B1788" w:rsidP="002A1FC1">
      <w:pPr>
        <w:pStyle w:val="ResNo"/>
        <w:rPr>
          <w:lang w:eastAsia="nl-NL"/>
        </w:rPr>
      </w:pPr>
      <w:bookmarkStart w:id="10" w:name="_Hlk103679404"/>
      <w:r w:rsidRPr="00FD07CF">
        <w:rPr>
          <w:lang w:eastAsia="nl-NL"/>
        </w:rPr>
        <w:t xml:space="preserve">RESOLUTION </w:t>
      </w:r>
      <w:r w:rsidRPr="00FD07CF">
        <w:rPr>
          <w:rStyle w:val="href"/>
        </w:rPr>
        <w:t>246</w:t>
      </w:r>
      <w:r w:rsidRPr="00FD07CF">
        <w:t xml:space="preserve"> (WRC</w:t>
      </w:r>
      <w:r w:rsidRPr="00FD07CF">
        <w:noBreakHyphen/>
        <w:t>19)</w:t>
      </w:r>
      <w:bookmarkEnd w:id="10"/>
    </w:p>
    <w:p w14:paraId="29DD6915" w14:textId="77777777" w:rsidR="007A022C" w:rsidRPr="00FD07CF" w:rsidRDefault="008B1788" w:rsidP="002A1FC1">
      <w:pPr>
        <w:pStyle w:val="Restitle"/>
        <w:rPr>
          <w:lang w:eastAsia="nl-NL"/>
        </w:rPr>
      </w:pPr>
      <w:bookmarkStart w:id="11" w:name="_Toc39649460"/>
      <w:bookmarkStart w:id="12" w:name="_Toc35963604"/>
      <w:bookmarkStart w:id="13" w:name="_Toc35877661"/>
      <w:bookmarkStart w:id="14" w:name="_Toc35857026"/>
      <w:bookmarkStart w:id="15" w:name="_Toc35789329"/>
      <w:r w:rsidRPr="00FD07CF">
        <w:rPr>
          <w:lang w:eastAsia="nl-NL"/>
        </w:rPr>
        <w:t xml:space="preserve">Studies to consider possible allocation of the frequency band </w:t>
      </w:r>
      <w:r w:rsidRPr="00FD07CF">
        <w:rPr>
          <w:lang w:eastAsia="nl-NL"/>
        </w:rPr>
        <w:br/>
        <w:t xml:space="preserve">3 600-3 800 MHz to the mobile, </w:t>
      </w:r>
      <w:r w:rsidRPr="00FD07CF">
        <w:t>except aeronautical mobile,</w:t>
      </w:r>
      <w:r w:rsidRPr="00FD07CF">
        <w:rPr>
          <w:lang w:eastAsia="nl-NL"/>
        </w:rPr>
        <w:t xml:space="preserve"> </w:t>
      </w:r>
      <w:r w:rsidRPr="00FD07CF">
        <w:rPr>
          <w:lang w:eastAsia="nl-NL"/>
        </w:rPr>
        <w:br/>
        <w:t>service on a primary basis within Region 1</w:t>
      </w:r>
      <w:bookmarkEnd w:id="11"/>
      <w:bookmarkEnd w:id="12"/>
      <w:bookmarkEnd w:id="13"/>
      <w:bookmarkEnd w:id="14"/>
      <w:bookmarkEnd w:id="15"/>
    </w:p>
    <w:p w14:paraId="2E150C91" w14:textId="77777777" w:rsidR="0090684A" w:rsidRPr="00FD07CF" w:rsidRDefault="0090684A">
      <w:pPr>
        <w:pStyle w:val="Reasons"/>
      </w:pPr>
    </w:p>
    <w:p w14:paraId="71BF20F8" w14:textId="5675FC57" w:rsidR="002F74FE" w:rsidRPr="00984001" w:rsidRDefault="002F74FE" w:rsidP="002F74FE">
      <w:pPr>
        <w:jc w:val="center"/>
      </w:pPr>
      <w:r w:rsidRPr="00984001">
        <w:t>________________</w:t>
      </w:r>
    </w:p>
    <w:sectPr w:rsidR="002F74FE" w:rsidRPr="009840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0BAC" w14:textId="77777777" w:rsidR="00C877CF" w:rsidRDefault="00C877CF">
      <w:r>
        <w:separator/>
      </w:r>
    </w:p>
  </w:endnote>
  <w:endnote w:type="continuationSeparator" w:id="0">
    <w:p w14:paraId="5B50641F" w14:textId="77777777" w:rsidR="00C877CF" w:rsidRDefault="00C8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8E0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CA9AC6" w14:textId="390B38E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07CF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1B08" w14:textId="4BFF33E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84001">
      <w:rPr>
        <w:lang w:val="en-US"/>
      </w:rPr>
      <w:t>P:\ENG\ITU-R\CONF-R\CMR23\100\162E.docx</w:t>
    </w:r>
    <w:r>
      <w:fldChar w:fldCharType="end"/>
    </w:r>
    <w:r w:rsidR="00984001">
      <w:t xml:space="preserve"> (530445)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9CA7" w14:textId="77777777" w:rsidR="00984001" w:rsidRDefault="00984001" w:rsidP="0098400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P:\ENG\ITU-R\CONF-R\CMR23\100\162E.docx</w:t>
    </w:r>
    <w:r>
      <w:fldChar w:fldCharType="end"/>
    </w:r>
    <w:r>
      <w:t xml:space="preserve"> (530445)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620" w14:textId="77777777" w:rsidR="00C877CF" w:rsidRDefault="00C877CF">
      <w:r>
        <w:rPr>
          <w:b/>
        </w:rPr>
        <w:t>_______________</w:t>
      </w:r>
    </w:p>
  </w:footnote>
  <w:footnote w:type="continuationSeparator" w:id="0">
    <w:p w14:paraId="3E24EB3D" w14:textId="77777777" w:rsidR="00C877CF" w:rsidRDefault="00C8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0C" w14:textId="77777777" w:rsidR="00984001" w:rsidRDefault="00984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DC3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CAE505B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6" w:name="OLE_LINK1"/>
    <w:bookmarkStart w:id="17" w:name="OLE_LINK2"/>
    <w:bookmarkStart w:id="18" w:name="OLE_LINK3"/>
    <w:r w:rsidR="00EB55C6">
      <w:t>162</w:t>
    </w:r>
    <w:bookmarkEnd w:id="16"/>
    <w:bookmarkEnd w:id="17"/>
    <w:bookmarkEnd w:id="18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A748" w14:textId="77777777" w:rsidR="00984001" w:rsidRDefault="00984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3" w15:restartNumberingAfterBreak="0">
    <w:nsid w:val="706C2133"/>
    <w:multiLevelType w:val="hybridMultilevel"/>
    <w:tmpl w:val="C9D69E04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70" w:hanging="77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35602">
    <w:abstractNumId w:val="0"/>
  </w:num>
  <w:num w:numId="2" w16cid:durableId="18160197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63918922">
    <w:abstractNumId w:val="3"/>
  </w:num>
  <w:num w:numId="4" w16cid:durableId="60577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2558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041A"/>
    <w:rsid w:val="000D154B"/>
    <w:rsid w:val="000D2DAF"/>
    <w:rsid w:val="000E463E"/>
    <w:rsid w:val="000F0902"/>
    <w:rsid w:val="000F5E9D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2F74FE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3FF8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86660"/>
    <w:rsid w:val="00790D70"/>
    <w:rsid w:val="007A022C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62E53"/>
    <w:rsid w:val="00872FC8"/>
    <w:rsid w:val="008845D0"/>
    <w:rsid w:val="00884D60"/>
    <w:rsid w:val="00896E56"/>
    <w:rsid w:val="008B1788"/>
    <w:rsid w:val="008B43F2"/>
    <w:rsid w:val="008B6CFF"/>
    <w:rsid w:val="0090684A"/>
    <w:rsid w:val="009274B4"/>
    <w:rsid w:val="00934EA2"/>
    <w:rsid w:val="00944A5C"/>
    <w:rsid w:val="00952A66"/>
    <w:rsid w:val="00984001"/>
    <w:rsid w:val="009B1EA1"/>
    <w:rsid w:val="009B7C9A"/>
    <w:rsid w:val="009C56E5"/>
    <w:rsid w:val="009C7716"/>
    <w:rsid w:val="009E5FC8"/>
    <w:rsid w:val="009E687A"/>
    <w:rsid w:val="009F236F"/>
    <w:rsid w:val="009F59FD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A0375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77CF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3A1F"/>
    <w:rsid w:val="00D74898"/>
    <w:rsid w:val="00D7610D"/>
    <w:rsid w:val="00D801ED"/>
    <w:rsid w:val="00D8565E"/>
    <w:rsid w:val="00D936BC"/>
    <w:rsid w:val="00D96530"/>
    <w:rsid w:val="00DA1CB1"/>
    <w:rsid w:val="00DA563E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A454A"/>
    <w:rsid w:val="00EB0812"/>
    <w:rsid w:val="00EB54B2"/>
    <w:rsid w:val="00EB55C6"/>
    <w:rsid w:val="00EE647A"/>
    <w:rsid w:val="00EF1932"/>
    <w:rsid w:val="00EF71B6"/>
    <w:rsid w:val="00F02766"/>
    <w:rsid w:val="00F05BD4"/>
    <w:rsid w:val="00F06473"/>
    <w:rsid w:val="00F12670"/>
    <w:rsid w:val="00F320AA"/>
    <w:rsid w:val="00F6155B"/>
    <w:rsid w:val="00F65C19"/>
    <w:rsid w:val="00F822B0"/>
    <w:rsid w:val="00FD07CF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BBCB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aliases w:val="ECC Hyperlink,CEO_Hyperlink,超级链接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locked/>
    <w:rsid w:val="00862E53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D7610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9-CPM23.2-R-0001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R23-WRC23-C-0162!!MSW-E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BED6-3B9F-4C1D-AD9B-85F81BAF8E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F2BD54-2072-423A-AB5C-C0DA07EFD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3F082-1D6A-46C9-80E1-848D650C519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2ACB99E6-2242-4945-AE84-9968B3E8C5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EDE4F6-BA7F-4D7B-8408-B78193B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5297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R23-WRC23-C-0162!!MSW-E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2023-11-06T15:03:00Z</dcterms:created>
  <dcterms:modified xsi:type="dcterms:W3CDTF">2023-11-08T13:01:00Z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