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F2A52" w14:paraId="18328A34" w14:textId="77777777" w:rsidTr="0080079E">
        <w:trPr>
          <w:cantSplit/>
        </w:trPr>
        <w:tc>
          <w:tcPr>
            <w:tcW w:w="1418" w:type="dxa"/>
            <w:vAlign w:val="center"/>
          </w:tcPr>
          <w:p w14:paraId="798C36B7" w14:textId="77777777" w:rsidR="0080079E" w:rsidRPr="006F2A52" w:rsidRDefault="0080079E" w:rsidP="0080079E">
            <w:pPr>
              <w:spacing w:before="0" w:line="240" w:lineRule="atLeast"/>
              <w:rPr>
                <w:rFonts w:ascii="Verdana" w:hAnsi="Verdana"/>
                <w:position w:val="6"/>
                <w:lang w:val="es-ES"/>
              </w:rPr>
            </w:pPr>
            <w:r w:rsidRPr="006F2A52">
              <w:rPr>
                <w:noProof/>
                <w:lang w:val="es-ES" w:eastAsia="es-ES"/>
              </w:rPr>
              <w:drawing>
                <wp:inline distT="0" distB="0" distL="0" distR="0" wp14:anchorId="418F02F5" wp14:editId="2671360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31BF568" w14:textId="77777777" w:rsidR="0080079E" w:rsidRPr="006F2A52" w:rsidRDefault="0080079E" w:rsidP="00C44E9E">
            <w:pPr>
              <w:spacing w:before="400" w:after="48" w:line="240" w:lineRule="atLeast"/>
              <w:rPr>
                <w:rFonts w:ascii="Verdana" w:hAnsi="Verdana"/>
                <w:position w:val="6"/>
                <w:lang w:val="es-ES"/>
              </w:rPr>
            </w:pPr>
            <w:r w:rsidRPr="006F2A52">
              <w:rPr>
                <w:rFonts w:ascii="Verdana" w:hAnsi="Verdana" w:cs="Times"/>
                <w:b/>
                <w:position w:val="6"/>
                <w:sz w:val="20"/>
                <w:lang w:val="es-ES"/>
              </w:rPr>
              <w:t>Conferencia Mundial de Radiocomunicaciones (CMR-23)</w:t>
            </w:r>
            <w:r w:rsidRPr="006F2A52">
              <w:rPr>
                <w:rFonts w:ascii="Verdana" w:hAnsi="Verdana" w:cs="Times"/>
                <w:b/>
                <w:position w:val="6"/>
                <w:sz w:val="20"/>
                <w:lang w:val="es-ES"/>
              </w:rPr>
              <w:br/>
            </w:r>
            <w:r w:rsidRPr="006F2A52">
              <w:rPr>
                <w:rFonts w:ascii="Verdana" w:hAnsi="Verdana" w:cs="Times"/>
                <w:b/>
                <w:position w:val="6"/>
                <w:sz w:val="18"/>
                <w:szCs w:val="18"/>
                <w:lang w:val="es-ES"/>
              </w:rPr>
              <w:t>Dubái, 20 de noviembre - 15 de diciembre de 2023</w:t>
            </w:r>
          </w:p>
        </w:tc>
        <w:tc>
          <w:tcPr>
            <w:tcW w:w="1809" w:type="dxa"/>
            <w:vAlign w:val="center"/>
          </w:tcPr>
          <w:p w14:paraId="32A2520D" w14:textId="77777777" w:rsidR="0080079E" w:rsidRPr="006F2A52" w:rsidRDefault="0080079E" w:rsidP="0080079E">
            <w:pPr>
              <w:spacing w:before="0" w:line="240" w:lineRule="atLeast"/>
              <w:rPr>
                <w:lang w:val="es-ES"/>
              </w:rPr>
            </w:pPr>
            <w:bookmarkStart w:id="0" w:name="ditulogo"/>
            <w:bookmarkEnd w:id="0"/>
            <w:r w:rsidRPr="006F2A52">
              <w:rPr>
                <w:noProof/>
                <w:lang w:val="es-ES" w:eastAsia="es-ES"/>
              </w:rPr>
              <w:drawing>
                <wp:inline distT="0" distB="0" distL="0" distR="0" wp14:anchorId="6031F617" wp14:editId="77BACAD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F2A52" w14:paraId="0D4AFAF6" w14:textId="77777777" w:rsidTr="0050008E">
        <w:trPr>
          <w:cantSplit/>
        </w:trPr>
        <w:tc>
          <w:tcPr>
            <w:tcW w:w="6911" w:type="dxa"/>
            <w:gridSpan w:val="2"/>
            <w:tcBorders>
              <w:bottom w:val="single" w:sz="12" w:space="0" w:color="auto"/>
            </w:tcBorders>
          </w:tcPr>
          <w:p w14:paraId="65EC9952" w14:textId="77777777" w:rsidR="0090121B" w:rsidRPr="006F2A52"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40C2D3FA" w14:textId="77777777" w:rsidR="0090121B" w:rsidRPr="006F2A52" w:rsidRDefault="0090121B" w:rsidP="0090121B">
            <w:pPr>
              <w:spacing w:before="0" w:line="240" w:lineRule="atLeast"/>
              <w:rPr>
                <w:rFonts w:ascii="Verdana" w:hAnsi="Verdana"/>
                <w:szCs w:val="24"/>
                <w:lang w:val="es-ES"/>
              </w:rPr>
            </w:pPr>
          </w:p>
        </w:tc>
      </w:tr>
      <w:tr w:rsidR="0090121B" w:rsidRPr="006F2A52" w14:paraId="4788E2D3" w14:textId="77777777" w:rsidTr="0090121B">
        <w:trPr>
          <w:cantSplit/>
        </w:trPr>
        <w:tc>
          <w:tcPr>
            <w:tcW w:w="6911" w:type="dxa"/>
            <w:gridSpan w:val="2"/>
            <w:tcBorders>
              <w:top w:val="single" w:sz="12" w:space="0" w:color="auto"/>
            </w:tcBorders>
          </w:tcPr>
          <w:p w14:paraId="108A5A61" w14:textId="77777777" w:rsidR="0090121B" w:rsidRPr="006F2A52"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6B9F8C2" w14:textId="77777777" w:rsidR="0090121B" w:rsidRPr="006F2A52" w:rsidRDefault="0090121B" w:rsidP="0090121B">
            <w:pPr>
              <w:spacing w:before="0" w:line="240" w:lineRule="atLeast"/>
              <w:rPr>
                <w:rFonts w:ascii="Verdana" w:hAnsi="Verdana"/>
                <w:sz w:val="20"/>
                <w:lang w:val="es-ES"/>
              </w:rPr>
            </w:pPr>
          </w:p>
        </w:tc>
      </w:tr>
      <w:tr w:rsidR="0090121B" w:rsidRPr="006F2A52" w14:paraId="5FBC8E8B" w14:textId="77777777" w:rsidTr="0090121B">
        <w:trPr>
          <w:cantSplit/>
        </w:trPr>
        <w:tc>
          <w:tcPr>
            <w:tcW w:w="6911" w:type="dxa"/>
            <w:gridSpan w:val="2"/>
          </w:tcPr>
          <w:p w14:paraId="697282E7" w14:textId="77777777" w:rsidR="0090121B" w:rsidRPr="006F2A52" w:rsidRDefault="001E7D42" w:rsidP="00EA77F0">
            <w:pPr>
              <w:pStyle w:val="Committee"/>
              <w:framePr w:hSpace="0" w:wrap="auto" w:hAnchor="text" w:yAlign="inline"/>
              <w:rPr>
                <w:sz w:val="18"/>
                <w:szCs w:val="18"/>
                <w:lang w:val="es-ES"/>
              </w:rPr>
            </w:pPr>
            <w:r w:rsidRPr="006F2A52">
              <w:rPr>
                <w:sz w:val="18"/>
                <w:szCs w:val="18"/>
                <w:lang w:val="es-ES"/>
              </w:rPr>
              <w:t>SESIÓN PLENARIA</w:t>
            </w:r>
          </w:p>
        </w:tc>
        <w:tc>
          <w:tcPr>
            <w:tcW w:w="3120" w:type="dxa"/>
            <w:gridSpan w:val="2"/>
          </w:tcPr>
          <w:p w14:paraId="6914D858" w14:textId="77777777" w:rsidR="0090121B" w:rsidRPr="006F2A52" w:rsidRDefault="00AE658F" w:rsidP="0045384C">
            <w:pPr>
              <w:spacing w:before="0"/>
              <w:rPr>
                <w:rFonts w:ascii="Verdana" w:hAnsi="Verdana"/>
                <w:sz w:val="18"/>
                <w:szCs w:val="18"/>
                <w:lang w:val="es-ES"/>
              </w:rPr>
            </w:pPr>
            <w:r w:rsidRPr="006F2A52">
              <w:rPr>
                <w:rFonts w:ascii="Verdana" w:hAnsi="Verdana"/>
                <w:b/>
                <w:sz w:val="18"/>
                <w:szCs w:val="18"/>
                <w:lang w:val="es-ES"/>
              </w:rPr>
              <w:t>Addéndum 1 al</w:t>
            </w:r>
            <w:r w:rsidRPr="006F2A52">
              <w:rPr>
                <w:rFonts w:ascii="Verdana" w:hAnsi="Verdana"/>
                <w:b/>
                <w:sz w:val="18"/>
                <w:szCs w:val="18"/>
                <w:lang w:val="es-ES"/>
              </w:rPr>
              <w:br/>
              <w:t>Documento 157(Add.27)</w:t>
            </w:r>
            <w:r w:rsidR="0090121B" w:rsidRPr="006F2A52">
              <w:rPr>
                <w:rFonts w:ascii="Verdana" w:hAnsi="Verdana"/>
                <w:b/>
                <w:sz w:val="18"/>
                <w:szCs w:val="18"/>
                <w:lang w:val="es-ES"/>
              </w:rPr>
              <w:t>-</w:t>
            </w:r>
            <w:r w:rsidRPr="006F2A52">
              <w:rPr>
                <w:rFonts w:ascii="Verdana" w:hAnsi="Verdana"/>
                <w:b/>
                <w:sz w:val="18"/>
                <w:szCs w:val="18"/>
                <w:lang w:val="es-ES"/>
              </w:rPr>
              <w:t>S</w:t>
            </w:r>
          </w:p>
        </w:tc>
      </w:tr>
      <w:bookmarkEnd w:id="1"/>
      <w:tr w:rsidR="000A5B9A" w:rsidRPr="006F2A52" w14:paraId="5C8FBF1D" w14:textId="77777777" w:rsidTr="0090121B">
        <w:trPr>
          <w:cantSplit/>
        </w:trPr>
        <w:tc>
          <w:tcPr>
            <w:tcW w:w="6911" w:type="dxa"/>
            <w:gridSpan w:val="2"/>
          </w:tcPr>
          <w:p w14:paraId="5FB55DE2" w14:textId="77777777" w:rsidR="000A5B9A" w:rsidRPr="006F2A52" w:rsidRDefault="000A5B9A" w:rsidP="0045384C">
            <w:pPr>
              <w:spacing w:before="0" w:after="48"/>
              <w:rPr>
                <w:rFonts w:ascii="Verdana" w:hAnsi="Verdana"/>
                <w:b/>
                <w:smallCaps/>
                <w:sz w:val="18"/>
                <w:szCs w:val="18"/>
                <w:lang w:val="es-ES"/>
              </w:rPr>
            </w:pPr>
          </w:p>
        </w:tc>
        <w:tc>
          <w:tcPr>
            <w:tcW w:w="3120" w:type="dxa"/>
            <w:gridSpan w:val="2"/>
          </w:tcPr>
          <w:p w14:paraId="4BDF9CD0" w14:textId="77777777" w:rsidR="000A5B9A" w:rsidRPr="006F2A52" w:rsidRDefault="000A5B9A" w:rsidP="0045384C">
            <w:pPr>
              <w:spacing w:before="0"/>
              <w:rPr>
                <w:rFonts w:ascii="Verdana" w:hAnsi="Verdana"/>
                <w:b/>
                <w:sz w:val="18"/>
                <w:szCs w:val="18"/>
                <w:lang w:val="es-ES"/>
              </w:rPr>
            </w:pPr>
            <w:r w:rsidRPr="006F2A52">
              <w:rPr>
                <w:rFonts w:ascii="Verdana" w:hAnsi="Verdana"/>
                <w:b/>
                <w:sz w:val="18"/>
                <w:szCs w:val="18"/>
                <w:lang w:val="es-ES"/>
              </w:rPr>
              <w:t>30 de octubre de 2023</w:t>
            </w:r>
          </w:p>
        </w:tc>
      </w:tr>
      <w:tr w:rsidR="000A5B9A" w:rsidRPr="006F2A52" w14:paraId="4F067FB8" w14:textId="77777777" w:rsidTr="0090121B">
        <w:trPr>
          <w:cantSplit/>
        </w:trPr>
        <w:tc>
          <w:tcPr>
            <w:tcW w:w="6911" w:type="dxa"/>
            <w:gridSpan w:val="2"/>
          </w:tcPr>
          <w:p w14:paraId="11A3966D" w14:textId="77777777" w:rsidR="000A5B9A" w:rsidRPr="006F2A52" w:rsidRDefault="000A5B9A" w:rsidP="0045384C">
            <w:pPr>
              <w:spacing w:before="0" w:after="48"/>
              <w:rPr>
                <w:rFonts w:ascii="Verdana" w:hAnsi="Verdana"/>
                <w:b/>
                <w:smallCaps/>
                <w:sz w:val="18"/>
                <w:szCs w:val="18"/>
                <w:lang w:val="es-ES"/>
              </w:rPr>
            </w:pPr>
          </w:p>
        </w:tc>
        <w:tc>
          <w:tcPr>
            <w:tcW w:w="3120" w:type="dxa"/>
            <w:gridSpan w:val="2"/>
          </w:tcPr>
          <w:p w14:paraId="4BCE93BC" w14:textId="77777777" w:rsidR="000A5B9A" w:rsidRPr="006F2A52" w:rsidRDefault="000A5B9A" w:rsidP="0045384C">
            <w:pPr>
              <w:spacing w:before="0"/>
              <w:rPr>
                <w:rFonts w:ascii="Verdana" w:hAnsi="Verdana"/>
                <w:b/>
                <w:sz w:val="18"/>
                <w:szCs w:val="18"/>
                <w:lang w:val="es-ES"/>
              </w:rPr>
            </w:pPr>
            <w:r w:rsidRPr="006F2A52">
              <w:rPr>
                <w:rFonts w:ascii="Verdana" w:hAnsi="Verdana"/>
                <w:b/>
                <w:sz w:val="18"/>
                <w:szCs w:val="18"/>
                <w:lang w:val="es-ES"/>
              </w:rPr>
              <w:t>Original: inglés</w:t>
            </w:r>
          </w:p>
        </w:tc>
      </w:tr>
      <w:tr w:rsidR="000A5B9A" w:rsidRPr="006F2A52" w14:paraId="10C6A93E" w14:textId="77777777" w:rsidTr="006744FC">
        <w:trPr>
          <w:cantSplit/>
        </w:trPr>
        <w:tc>
          <w:tcPr>
            <w:tcW w:w="10031" w:type="dxa"/>
            <w:gridSpan w:val="4"/>
          </w:tcPr>
          <w:p w14:paraId="475E8950" w14:textId="77777777" w:rsidR="000A5B9A" w:rsidRPr="006F2A52" w:rsidRDefault="000A5B9A" w:rsidP="0045384C">
            <w:pPr>
              <w:spacing w:before="0"/>
              <w:rPr>
                <w:rFonts w:ascii="Verdana" w:hAnsi="Verdana"/>
                <w:b/>
                <w:sz w:val="18"/>
                <w:szCs w:val="22"/>
                <w:lang w:val="es-ES"/>
              </w:rPr>
            </w:pPr>
          </w:p>
        </w:tc>
      </w:tr>
      <w:tr w:rsidR="000A5B9A" w:rsidRPr="006F2A52" w14:paraId="242D20C9" w14:textId="77777777" w:rsidTr="0050008E">
        <w:trPr>
          <w:cantSplit/>
        </w:trPr>
        <w:tc>
          <w:tcPr>
            <w:tcW w:w="10031" w:type="dxa"/>
            <w:gridSpan w:val="4"/>
          </w:tcPr>
          <w:p w14:paraId="30576792" w14:textId="77777777" w:rsidR="000A5B9A" w:rsidRPr="006F2A52" w:rsidRDefault="000A5B9A" w:rsidP="000A5B9A">
            <w:pPr>
              <w:pStyle w:val="Source"/>
              <w:rPr>
                <w:lang w:val="es-ES"/>
              </w:rPr>
            </w:pPr>
            <w:bookmarkStart w:id="2" w:name="dsource" w:colFirst="0" w:colLast="0"/>
            <w:r w:rsidRPr="006F2A52">
              <w:rPr>
                <w:lang w:val="es-ES"/>
              </w:rPr>
              <w:t>India (República de la)</w:t>
            </w:r>
          </w:p>
        </w:tc>
      </w:tr>
      <w:tr w:rsidR="000A5B9A" w:rsidRPr="006F2A52" w14:paraId="6F6946F7" w14:textId="77777777" w:rsidTr="0050008E">
        <w:trPr>
          <w:cantSplit/>
        </w:trPr>
        <w:tc>
          <w:tcPr>
            <w:tcW w:w="10031" w:type="dxa"/>
            <w:gridSpan w:val="4"/>
          </w:tcPr>
          <w:p w14:paraId="724F8334" w14:textId="2FB5DD24" w:rsidR="000A5B9A" w:rsidRPr="006F2A52" w:rsidRDefault="009F0165" w:rsidP="000A5B9A">
            <w:pPr>
              <w:pStyle w:val="Title1"/>
              <w:rPr>
                <w:lang w:val="es-ES"/>
              </w:rPr>
            </w:pPr>
            <w:bookmarkStart w:id="3" w:name="dtitle1" w:colFirst="0" w:colLast="0"/>
            <w:bookmarkEnd w:id="2"/>
            <w:r w:rsidRPr="006F2A52">
              <w:rPr>
                <w:lang w:val="es-ES"/>
              </w:rPr>
              <w:t>PROPUESTAS PARA LOS TRABAJOS DE LA CONFERENCIA</w:t>
            </w:r>
          </w:p>
        </w:tc>
      </w:tr>
      <w:tr w:rsidR="000A5B9A" w:rsidRPr="006F2A52" w14:paraId="55576D3E" w14:textId="77777777" w:rsidTr="0050008E">
        <w:trPr>
          <w:cantSplit/>
        </w:trPr>
        <w:tc>
          <w:tcPr>
            <w:tcW w:w="10031" w:type="dxa"/>
            <w:gridSpan w:val="4"/>
          </w:tcPr>
          <w:p w14:paraId="34D47348" w14:textId="77777777" w:rsidR="000A5B9A" w:rsidRPr="006F2A52" w:rsidRDefault="000A5B9A" w:rsidP="000A5B9A">
            <w:pPr>
              <w:pStyle w:val="Title2"/>
              <w:rPr>
                <w:lang w:val="es-ES"/>
              </w:rPr>
            </w:pPr>
            <w:bookmarkStart w:id="4" w:name="dtitle2" w:colFirst="0" w:colLast="0"/>
            <w:bookmarkEnd w:id="3"/>
          </w:p>
        </w:tc>
      </w:tr>
      <w:tr w:rsidR="000A5B9A" w:rsidRPr="006F2A52" w14:paraId="1CF73AD0" w14:textId="77777777" w:rsidTr="0050008E">
        <w:trPr>
          <w:cantSplit/>
        </w:trPr>
        <w:tc>
          <w:tcPr>
            <w:tcW w:w="10031" w:type="dxa"/>
            <w:gridSpan w:val="4"/>
          </w:tcPr>
          <w:p w14:paraId="1606C66F" w14:textId="77777777" w:rsidR="000A5B9A" w:rsidRPr="006F2A52" w:rsidRDefault="000A5B9A" w:rsidP="000A5B9A">
            <w:pPr>
              <w:pStyle w:val="Agendaitem"/>
              <w:rPr>
                <w:lang w:val="es-ES"/>
              </w:rPr>
            </w:pPr>
            <w:bookmarkStart w:id="5" w:name="dtitle3" w:colFirst="0" w:colLast="0"/>
            <w:bookmarkEnd w:id="4"/>
            <w:r w:rsidRPr="006F2A52">
              <w:rPr>
                <w:lang w:val="es-ES"/>
              </w:rPr>
              <w:t>Punto 10 del orden del día</w:t>
            </w:r>
          </w:p>
        </w:tc>
      </w:tr>
    </w:tbl>
    <w:bookmarkEnd w:id="5"/>
    <w:p w14:paraId="5397F0AA" w14:textId="77777777" w:rsidR="000862E2" w:rsidRPr="006F2A52" w:rsidRDefault="000862E2" w:rsidP="00FE1831">
      <w:pPr>
        <w:pStyle w:val="Normalaftertitle"/>
      </w:pPr>
      <w:r w:rsidRPr="006F2A52">
        <w:t>10</w:t>
      </w:r>
      <w:r w:rsidRPr="006F2A52">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6F2A52">
        <w:rPr>
          <w:b/>
          <w:bCs/>
        </w:rPr>
        <w:t>804 (Rev.CMR-19)</w:t>
      </w:r>
      <w:r w:rsidRPr="006F2A52">
        <w:t>,</w:t>
      </w:r>
    </w:p>
    <w:p w14:paraId="4330B9D3" w14:textId="4C1DA2E7" w:rsidR="009F0165" w:rsidRPr="009F0165" w:rsidRDefault="009F0165" w:rsidP="009F0165">
      <w:pPr>
        <w:rPr>
          <w:lang w:val="es-ES"/>
        </w:rPr>
      </w:pPr>
      <w:bookmarkStart w:id="6" w:name="lt_pId014"/>
      <w:r w:rsidRPr="006F2A52">
        <w:rPr>
          <w:lang w:val="es-ES"/>
        </w:rPr>
        <w:t xml:space="preserve">Resolución </w:t>
      </w:r>
      <w:r w:rsidRPr="009F0165">
        <w:rPr>
          <w:b/>
          <w:bCs/>
          <w:lang w:val="es-ES"/>
        </w:rPr>
        <w:t>804 (Rev.</w:t>
      </w:r>
      <w:r w:rsidR="00EC4BD5">
        <w:rPr>
          <w:b/>
          <w:bCs/>
          <w:lang w:val="es-ES"/>
        </w:rPr>
        <w:t>CMR</w:t>
      </w:r>
      <w:r w:rsidRPr="009F0165">
        <w:rPr>
          <w:b/>
          <w:bCs/>
          <w:lang w:val="es-ES"/>
        </w:rPr>
        <w:t>-19)</w:t>
      </w:r>
      <w:r w:rsidRPr="009F0165">
        <w:rPr>
          <w:lang w:val="es-ES"/>
        </w:rPr>
        <w:t xml:space="preserve"> - </w:t>
      </w:r>
      <w:bookmarkEnd w:id="6"/>
      <w:r w:rsidRPr="006F2A52">
        <w:rPr>
          <w:lang w:val="es-ES"/>
        </w:rPr>
        <w:t>Principios para establecer el orden del día de las Conferencias Mundiales de Radiocomunicaciones</w:t>
      </w:r>
      <w:r w:rsidR="00EC4BD5">
        <w:rPr>
          <w:lang w:val="es-ES"/>
        </w:rPr>
        <w:t>.</w:t>
      </w:r>
    </w:p>
    <w:p w14:paraId="3F55B0F0" w14:textId="666462CF" w:rsidR="009F0165" w:rsidRPr="00FE1831" w:rsidRDefault="009F0165" w:rsidP="00FE1831">
      <w:pPr>
        <w:pStyle w:val="Headingb"/>
        <w:rPr>
          <w:rFonts w:eastAsia="SimSun"/>
        </w:rPr>
      </w:pPr>
      <w:r w:rsidRPr="00FE1831">
        <w:t>Introducción</w:t>
      </w:r>
    </w:p>
    <w:p w14:paraId="291C9694" w14:textId="77777777" w:rsidR="009F0165" w:rsidRPr="006F2A52" w:rsidRDefault="009F0165" w:rsidP="00FE1831">
      <w:pPr>
        <w:rPr>
          <w:lang w:val="es-ES"/>
        </w:rPr>
      </w:pPr>
      <w:r w:rsidRPr="006F2A52">
        <w:rPr>
          <w:lang w:val="es-ES"/>
        </w:rPr>
        <w:t>La India (República de) apoya la inclusión del siguiente punto en el orden del día de la CMR-27:</w:t>
      </w:r>
    </w:p>
    <w:p w14:paraId="5EF5F220" w14:textId="046C8466" w:rsidR="009F0165" w:rsidRPr="006F2A52" w:rsidRDefault="009F0165" w:rsidP="00FE1831">
      <w:pPr>
        <w:pStyle w:val="enumlev1"/>
        <w:rPr>
          <w:lang w:val="es-ES"/>
        </w:rPr>
      </w:pPr>
      <w:bookmarkStart w:id="7" w:name="lt_pId018"/>
      <w:r w:rsidRPr="006F2A52">
        <w:rPr>
          <w:lang w:val="es-ES"/>
        </w:rPr>
        <w:t>1</w:t>
      </w:r>
      <w:r w:rsidRPr="006F2A52">
        <w:rPr>
          <w:lang w:val="es-ES"/>
        </w:rPr>
        <w:tab/>
      </w:r>
      <w:proofErr w:type="gramStart"/>
      <w:r w:rsidRPr="006F2A52">
        <w:rPr>
          <w:lang w:val="es-ES"/>
        </w:rPr>
        <w:t>Estudios</w:t>
      </w:r>
      <w:proofErr w:type="gramEnd"/>
      <w:r w:rsidRPr="006F2A52">
        <w:rPr>
          <w:lang w:val="es-ES"/>
        </w:rPr>
        <w:t xml:space="preserve"> </w:t>
      </w:r>
      <w:r w:rsidR="004B6B4A" w:rsidRPr="006F2A52">
        <w:rPr>
          <w:lang w:val="es-ES"/>
        </w:rPr>
        <w:t>relativos</w:t>
      </w:r>
      <w:r w:rsidRPr="006F2A52">
        <w:rPr>
          <w:lang w:val="es-ES"/>
        </w:rPr>
        <w:t xml:space="preserve"> </w:t>
      </w:r>
      <w:r w:rsidR="004B6B4A" w:rsidRPr="006F2A52">
        <w:rPr>
          <w:lang w:val="es-ES"/>
        </w:rPr>
        <w:t>a</w:t>
      </w:r>
      <w:r w:rsidRPr="006F2A52">
        <w:rPr>
          <w:lang w:val="es-ES"/>
        </w:rPr>
        <w:t xml:space="preserve"> </w:t>
      </w:r>
      <w:r w:rsidR="00F85AD3" w:rsidRPr="006F2A52">
        <w:rPr>
          <w:lang w:val="es-ES"/>
        </w:rPr>
        <w:t>la utilización</w:t>
      </w:r>
      <w:r w:rsidRPr="006F2A52">
        <w:rPr>
          <w:lang w:val="es-ES"/>
        </w:rPr>
        <w:t xml:space="preserve"> de la banda de frecuencias 51,</w:t>
      </w:r>
      <w:r w:rsidR="004226D9">
        <w:rPr>
          <w:lang w:val="es-ES"/>
        </w:rPr>
        <w:t>4</w:t>
      </w:r>
      <w:r w:rsidRPr="006F2A52">
        <w:rPr>
          <w:lang w:val="es-ES"/>
        </w:rPr>
        <w:t xml:space="preserve">-52,4 GHz para </w:t>
      </w:r>
      <w:r w:rsidR="00AA221D" w:rsidRPr="006F2A52">
        <w:rPr>
          <w:lang w:val="es-ES"/>
        </w:rPr>
        <w:t>permitir</w:t>
      </w:r>
      <w:r w:rsidRPr="006F2A52">
        <w:rPr>
          <w:lang w:val="es-ES"/>
        </w:rPr>
        <w:t xml:space="preserve"> </w:t>
      </w:r>
      <w:r w:rsidR="00F85AD3" w:rsidRPr="006F2A52">
        <w:rPr>
          <w:lang w:val="es-ES"/>
        </w:rPr>
        <w:t>el funcionamiento de</w:t>
      </w:r>
      <w:r w:rsidRPr="006F2A52">
        <w:rPr>
          <w:lang w:val="es-ES"/>
        </w:rPr>
        <w:t xml:space="preserve"> estaciones terrenas de </w:t>
      </w:r>
      <w:r w:rsidR="00510335" w:rsidRPr="006F2A52">
        <w:rPr>
          <w:lang w:val="es-ES"/>
        </w:rPr>
        <w:t>cabecera</w:t>
      </w:r>
      <w:r w:rsidRPr="006F2A52">
        <w:rPr>
          <w:lang w:val="es-ES"/>
        </w:rPr>
        <w:t xml:space="preserve"> que transmiten a sistemas </w:t>
      </w:r>
      <w:r w:rsidR="00F85AD3" w:rsidRPr="006F2A52">
        <w:rPr>
          <w:lang w:val="es-ES"/>
        </w:rPr>
        <w:t xml:space="preserve">del </w:t>
      </w:r>
      <w:r w:rsidR="004B6B4A" w:rsidRPr="006F2A52">
        <w:rPr>
          <w:lang w:val="es-ES"/>
        </w:rPr>
        <w:t xml:space="preserve">servicio fijo por </w:t>
      </w:r>
      <w:r w:rsidR="006F2A52" w:rsidRPr="006F2A52">
        <w:rPr>
          <w:lang w:val="es-ES"/>
        </w:rPr>
        <w:t>satélite en</w:t>
      </w:r>
      <w:r w:rsidR="00F85AD3" w:rsidRPr="006F2A52">
        <w:rPr>
          <w:lang w:val="es-ES"/>
        </w:rPr>
        <w:t xml:space="preserve"> órbitas de satélites </w:t>
      </w:r>
      <w:r w:rsidRPr="006F2A52">
        <w:rPr>
          <w:lang w:val="es-ES"/>
        </w:rPr>
        <w:t>no geoestacionari</w:t>
      </w:r>
      <w:r w:rsidR="00F85AD3" w:rsidRPr="006F2A52">
        <w:rPr>
          <w:lang w:val="es-ES"/>
        </w:rPr>
        <w:t>a</w:t>
      </w:r>
      <w:r w:rsidRPr="006F2A52">
        <w:rPr>
          <w:lang w:val="es-ES"/>
        </w:rPr>
        <w:t>s</w:t>
      </w:r>
      <w:r w:rsidR="003C7EC7" w:rsidRPr="006F2A52">
        <w:rPr>
          <w:lang w:val="es-ES"/>
        </w:rPr>
        <w:t xml:space="preserve"> (Tierra-espacio)</w:t>
      </w:r>
      <w:r w:rsidR="00EC4BD5">
        <w:rPr>
          <w:lang w:val="es-ES"/>
        </w:rPr>
        <w:t>.</w:t>
      </w:r>
      <w:r w:rsidRPr="006F2A52">
        <w:rPr>
          <w:lang w:val="es-ES"/>
        </w:rPr>
        <w:t xml:space="preserve"> </w:t>
      </w:r>
    </w:p>
    <w:bookmarkEnd w:id="7"/>
    <w:p w14:paraId="00F47864" w14:textId="7EE35E71" w:rsidR="009F0165" w:rsidRPr="00FE1831" w:rsidRDefault="00F85AD3" w:rsidP="00FE1831">
      <w:pPr>
        <w:pStyle w:val="Headingb"/>
      </w:pPr>
      <w:r w:rsidRPr="00FE1831">
        <w:t>Propuesta</w:t>
      </w:r>
    </w:p>
    <w:p w14:paraId="062B1E47" w14:textId="77777777" w:rsidR="008750A8" w:rsidRPr="006F2A52" w:rsidRDefault="008750A8" w:rsidP="008750A8">
      <w:pPr>
        <w:tabs>
          <w:tab w:val="clear" w:pos="1134"/>
          <w:tab w:val="clear" w:pos="1871"/>
          <w:tab w:val="clear" w:pos="2268"/>
        </w:tabs>
        <w:overflowPunct/>
        <w:autoSpaceDE/>
        <w:autoSpaceDN/>
        <w:adjustRightInd/>
        <w:spacing w:before="0"/>
        <w:textAlignment w:val="auto"/>
        <w:rPr>
          <w:lang w:val="es-ES"/>
        </w:rPr>
      </w:pPr>
      <w:r w:rsidRPr="006F2A52">
        <w:rPr>
          <w:lang w:val="es-ES"/>
        </w:rPr>
        <w:br w:type="page"/>
      </w:r>
    </w:p>
    <w:p w14:paraId="3F352FC8" w14:textId="77777777" w:rsidR="00A10FDA" w:rsidRPr="006F2A52" w:rsidRDefault="000862E2">
      <w:pPr>
        <w:pStyle w:val="Proposal"/>
        <w:rPr>
          <w:lang w:val="es-ES"/>
        </w:rPr>
      </w:pPr>
      <w:r w:rsidRPr="006F2A52">
        <w:rPr>
          <w:lang w:val="es-ES"/>
        </w:rPr>
        <w:lastRenderedPageBreak/>
        <w:t>ADD</w:t>
      </w:r>
      <w:r w:rsidRPr="006F2A52">
        <w:rPr>
          <w:lang w:val="es-ES"/>
        </w:rPr>
        <w:tab/>
        <w:t>IND/157A27A1/1</w:t>
      </w:r>
    </w:p>
    <w:p w14:paraId="7676E904" w14:textId="7FDA6640" w:rsidR="00A10FDA" w:rsidRPr="006F2A52" w:rsidRDefault="000862E2">
      <w:pPr>
        <w:pStyle w:val="ResNo"/>
        <w:rPr>
          <w:lang w:val="es-ES"/>
        </w:rPr>
      </w:pPr>
      <w:r w:rsidRPr="006F2A52">
        <w:rPr>
          <w:lang w:val="es-ES"/>
        </w:rPr>
        <w:t>Proyecto de nueva Resolución [</w:t>
      </w:r>
      <w:r w:rsidR="00F85AD3" w:rsidRPr="006F2A52">
        <w:rPr>
          <w:lang w:val="es-ES"/>
        </w:rPr>
        <w:t>AI 10_WRC-27_Agenda] (</w:t>
      </w:r>
      <w:r w:rsidR="00547617">
        <w:rPr>
          <w:lang w:val="es-ES"/>
        </w:rPr>
        <w:t>CMR</w:t>
      </w:r>
      <w:r w:rsidR="00F85AD3" w:rsidRPr="006F2A52">
        <w:rPr>
          <w:lang w:val="es-ES"/>
        </w:rPr>
        <w:t>-23)</w:t>
      </w:r>
    </w:p>
    <w:p w14:paraId="1FB06BDC" w14:textId="23595B2C" w:rsidR="00AA221D" w:rsidRPr="006F2A52" w:rsidRDefault="00AA221D" w:rsidP="00AA221D">
      <w:pPr>
        <w:pStyle w:val="Restitle"/>
        <w:rPr>
          <w:lang w:val="es-ES"/>
        </w:rPr>
      </w:pPr>
      <w:r w:rsidRPr="006F2A52">
        <w:rPr>
          <w:lang w:val="es-ES"/>
        </w:rPr>
        <w:t>Orden del día de la Conferencia Mundial de Radiocomunicaciones de 2027</w:t>
      </w:r>
    </w:p>
    <w:p w14:paraId="4E269017" w14:textId="77777777" w:rsidR="00AA221D" w:rsidRPr="006F2A52" w:rsidRDefault="00AA221D" w:rsidP="00AA221D">
      <w:pPr>
        <w:pStyle w:val="Normalaftertitle"/>
        <w:rPr>
          <w:szCs w:val="24"/>
          <w:lang w:val="es-ES"/>
        </w:rPr>
      </w:pPr>
      <w:r w:rsidRPr="006F2A52">
        <w:rPr>
          <w:szCs w:val="24"/>
          <w:lang w:val="es-ES"/>
        </w:rPr>
        <w:t>La Conferencia Mundial de Radiocomunicaciones (Dubái, 2023)</w:t>
      </w:r>
    </w:p>
    <w:p w14:paraId="144BF187" w14:textId="321513B7" w:rsidR="00A10FDA" w:rsidRPr="006F2A52" w:rsidRDefault="00AA221D">
      <w:pPr>
        <w:pStyle w:val="Normalaftertitle"/>
        <w:rPr>
          <w:lang w:val="es-ES"/>
        </w:rPr>
      </w:pPr>
      <w:r w:rsidRPr="006F2A52">
        <w:rPr>
          <w:lang w:val="es-ES"/>
        </w:rPr>
        <w:t>…</w:t>
      </w:r>
    </w:p>
    <w:p w14:paraId="7AE5DF13" w14:textId="77777777" w:rsidR="00AA221D" w:rsidRPr="006F2A52" w:rsidRDefault="00AA221D" w:rsidP="00AA221D">
      <w:pPr>
        <w:pStyle w:val="Call"/>
        <w:rPr>
          <w:i w:val="0"/>
          <w:szCs w:val="24"/>
          <w:lang w:val="es-ES"/>
        </w:rPr>
      </w:pPr>
      <w:bookmarkStart w:id="8" w:name="_Hlk150240956"/>
      <w:r w:rsidRPr="006F2A52">
        <w:rPr>
          <w:lang w:val="es-ES"/>
        </w:rPr>
        <w:t>resuelve</w:t>
      </w:r>
      <w:bookmarkEnd w:id="8"/>
    </w:p>
    <w:p w14:paraId="5FABDF06" w14:textId="77777777" w:rsidR="00AA221D" w:rsidRPr="006F2A52" w:rsidRDefault="00AA221D" w:rsidP="00AA221D">
      <w:pPr>
        <w:rPr>
          <w:lang w:val="es-ES"/>
        </w:rPr>
      </w:pPr>
      <w:r w:rsidRPr="006F2A52">
        <w:rPr>
          <w:lang w:val="es-ES"/>
        </w:rPr>
        <w:t>recomendar al Consejo la celebración de una CMR en 2027 con una duración de cuatro semanas, con el siguiente orden del día:</w:t>
      </w:r>
    </w:p>
    <w:p w14:paraId="5F97E496" w14:textId="362BCEE0" w:rsidR="00AA221D" w:rsidRDefault="00AA221D" w:rsidP="00AA221D">
      <w:pPr>
        <w:rPr>
          <w:lang w:val="es-ES"/>
        </w:rPr>
      </w:pPr>
      <w:r w:rsidRPr="006F2A52">
        <w:rPr>
          <w:lang w:val="es-ES"/>
        </w:rPr>
        <w:t>1</w:t>
      </w:r>
      <w:r w:rsidRPr="006F2A52">
        <w:rPr>
          <w:lang w:val="es-ES"/>
        </w:rPr>
        <w:tab/>
        <w:t>sobre la base de las propuestas de las administraciones, teniendo en cuenta los resultados de la CMR-23 y del Informe de la Reunión Preparatoria de la Conferencia, y con la debida consideración a las necesidades de los servicios existentes y futuros en las bandas de frecuencias examinadas, considerar y tomar las medidas adecuadas con respecto a los temas siguientes:</w:t>
      </w:r>
    </w:p>
    <w:p w14:paraId="49AC4350" w14:textId="2701557B" w:rsidR="00E737AD" w:rsidRPr="006F2A52" w:rsidRDefault="00BC08A2" w:rsidP="00AA221D">
      <w:pPr>
        <w:rPr>
          <w:lang w:val="es-ES"/>
        </w:rPr>
      </w:pPr>
      <w:r w:rsidRPr="006F2A52">
        <w:rPr>
          <w:lang w:val="es-ES"/>
        </w:rPr>
        <w:t>…</w:t>
      </w:r>
    </w:p>
    <w:p w14:paraId="31F24A2A" w14:textId="5E90215B" w:rsidR="00AA221D" w:rsidRPr="006F2A52" w:rsidRDefault="00AA221D" w:rsidP="004B6B4A">
      <w:pPr>
        <w:rPr>
          <w:szCs w:val="24"/>
          <w:lang w:val="es-ES"/>
        </w:rPr>
      </w:pPr>
      <w:r w:rsidRPr="006F2A52">
        <w:rPr>
          <w:szCs w:val="24"/>
          <w:lang w:val="es-ES"/>
        </w:rPr>
        <w:t>1.y</w:t>
      </w:r>
      <w:r w:rsidRPr="006F2A52">
        <w:rPr>
          <w:szCs w:val="24"/>
          <w:lang w:val="es-ES"/>
        </w:rPr>
        <w:tab/>
      </w:r>
      <w:r w:rsidR="004B6B4A" w:rsidRPr="006F2A52">
        <w:rPr>
          <w:szCs w:val="24"/>
          <w:lang w:val="es-ES"/>
        </w:rPr>
        <w:t xml:space="preserve">llevar a cabo estudios relativos a </w:t>
      </w:r>
      <w:r w:rsidRPr="006F2A52">
        <w:rPr>
          <w:szCs w:val="24"/>
          <w:lang w:val="es-ES"/>
        </w:rPr>
        <w:t>la utilización de la banda de frecuencias 51,</w:t>
      </w:r>
      <w:r w:rsidR="009626FC">
        <w:rPr>
          <w:szCs w:val="24"/>
          <w:lang w:val="es-ES"/>
        </w:rPr>
        <w:t>4</w:t>
      </w:r>
      <w:r w:rsidRPr="006F2A52">
        <w:rPr>
          <w:szCs w:val="24"/>
          <w:lang w:val="es-ES"/>
        </w:rPr>
        <w:t xml:space="preserve">-52,4 GHz para </w:t>
      </w:r>
      <w:r w:rsidR="004B6B4A" w:rsidRPr="006F2A52">
        <w:rPr>
          <w:szCs w:val="24"/>
          <w:lang w:val="es-ES"/>
        </w:rPr>
        <w:t>permitir</w:t>
      </w:r>
      <w:r w:rsidRPr="006F2A52">
        <w:rPr>
          <w:szCs w:val="24"/>
          <w:lang w:val="es-ES"/>
        </w:rPr>
        <w:t xml:space="preserve"> el funcionamiento de estaciones terrenas de </w:t>
      </w:r>
      <w:r w:rsidR="00CA0E38" w:rsidRPr="006F2A52">
        <w:rPr>
          <w:szCs w:val="24"/>
          <w:lang w:val="es-ES"/>
        </w:rPr>
        <w:t>cabecera</w:t>
      </w:r>
      <w:r w:rsidRPr="006F2A52">
        <w:rPr>
          <w:szCs w:val="24"/>
          <w:lang w:val="es-ES"/>
        </w:rPr>
        <w:t xml:space="preserve"> que transmiten </w:t>
      </w:r>
      <w:r w:rsidR="004B6B4A" w:rsidRPr="006F2A52">
        <w:rPr>
          <w:szCs w:val="24"/>
          <w:lang w:val="es-ES"/>
        </w:rPr>
        <w:t>a sistemas del servicio fijo por satélite</w:t>
      </w:r>
      <w:r w:rsidRPr="006F2A52">
        <w:rPr>
          <w:szCs w:val="24"/>
          <w:lang w:val="es-ES"/>
        </w:rPr>
        <w:t xml:space="preserve"> en órbitas de satélites no geoestacionarias </w:t>
      </w:r>
      <w:r w:rsidR="003C7EC7" w:rsidRPr="006F2A52">
        <w:rPr>
          <w:szCs w:val="24"/>
          <w:lang w:val="es-ES"/>
        </w:rPr>
        <w:t xml:space="preserve">(Tierra-espacio) </w:t>
      </w:r>
      <w:r w:rsidRPr="006F2A52">
        <w:rPr>
          <w:szCs w:val="24"/>
          <w:lang w:val="es-ES"/>
        </w:rPr>
        <w:t xml:space="preserve">de conformidad con la Resolución </w:t>
      </w:r>
      <w:r w:rsidRPr="006F2A52">
        <w:rPr>
          <w:b/>
          <w:szCs w:val="24"/>
          <w:lang w:val="es-ES"/>
        </w:rPr>
        <w:t>[</w:t>
      </w:r>
      <w:r w:rsidRPr="006F2A52">
        <w:rPr>
          <w:b/>
          <w:bCs/>
          <w:szCs w:val="24"/>
          <w:lang w:val="es-ES"/>
        </w:rPr>
        <w:t>AI-10-51,</w:t>
      </w:r>
      <w:r w:rsidR="009626FC">
        <w:rPr>
          <w:b/>
          <w:bCs/>
          <w:szCs w:val="24"/>
          <w:lang w:val="es-ES"/>
        </w:rPr>
        <w:t>4</w:t>
      </w:r>
      <w:r w:rsidRPr="006F2A52">
        <w:rPr>
          <w:b/>
          <w:bCs/>
          <w:szCs w:val="24"/>
          <w:lang w:val="es-ES"/>
        </w:rPr>
        <w:t>-52,4 GHz Non-GSO FSS</w:t>
      </w:r>
      <w:r w:rsidRPr="006F2A52">
        <w:rPr>
          <w:b/>
          <w:szCs w:val="24"/>
          <w:lang w:val="es-ES"/>
        </w:rPr>
        <w:t xml:space="preserve">] </w:t>
      </w:r>
      <w:r w:rsidRPr="006F2A52">
        <w:rPr>
          <w:b/>
          <w:bCs/>
          <w:szCs w:val="24"/>
          <w:lang w:val="es-ES"/>
        </w:rPr>
        <w:t>(CMR-23)</w:t>
      </w:r>
      <w:r w:rsidRPr="006F2A52">
        <w:rPr>
          <w:szCs w:val="24"/>
          <w:lang w:val="es-ES"/>
        </w:rPr>
        <w:t>;</w:t>
      </w:r>
    </w:p>
    <w:p w14:paraId="4777C2F3" w14:textId="776F8162" w:rsidR="00AA221D" w:rsidRPr="006F2A52" w:rsidRDefault="004B6B4A" w:rsidP="00E737AD">
      <w:pPr>
        <w:rPr>
          <w:lang w:val="es-ES"/>
        </w:rPr>
      </w:pPr>
      <w:r w:rsidRPr="006F2A52">
        <w:rPr>
          <w:lang w:val="es-ES"/>
        </w:rPr>
        <w:t>…</w:t>
      </w:r>
    </w:p>
    <w:p w14:paraId="0BC37C40" w14:textId="77777777" w:rsidR="004B6B4A" w:rsidRPr="006F2A52" w:rsidRDefault="004B6B4A">
      <w:pPr>
        <w:pStyle w:val="Reasons"/>
        <w:rPr>
          <w:lang w:val="es-ES"/>
        </w:rPr>
      </w:pPr>
    </w:p>
    <w:p w14:paraId="2AE9B89E" w14:textId="77777777" w:rsidR="00A10FDA" w:rsidRPr="006F2A52" w:rsidRDefault="000862E2">
      <w:pPr>
        <w:pStyle w:val="Proposal"/>
        <w:rPr>
          <w:lang w:val="es-ES"/>
        </w:rPr>
      </w:pPr>
      <w:r w:rsidRPr="006F2A52">
        <w:rPr>
          <w:lang w:val="es-ES"/>
        </w:rPr>
        <w:t>ADD</w:t>
      </w:r>
      <w:r w:rsidRPr="006F2A52">
        <w:rPr>
          <w:lang w:val="es-ES"/>
        </w:rPr>
        <w:tab/>
        <w:t>IND/157A27A1/2</w:t>
      </w:r>
    </w:p>
    <w:p w14:paraId="635C4862" w14:textId="4D71FD5E" w:rsidR="00A10FDA" w:rsidRPr="006F2A52" w:rsidRDefault="000862E2">
      <w:pPr>
        <w:pStyle w:val="ResNo"/>
        <w:rPr>
          <w:lang w:val="es-ES"/>
        </w:rPr>
      </w:pPr>
      <w:r w:rsidRPr="006F2A52">
        <w:rPr>
          <w:lang w:val="es-ES"/>
        </w:rPr>
        <w:t>Proyecto de nueva Resolución [</w:t>
      </w:r>
      <w:r w:rsidR="004B6B4A" w:rsidRPr="006F2A52">
        <w:rPr>
          <w:lang w:val="es-ES"/>
        </w:rPr>
        <w:t>AI 10-51.4-52.4 NON-GSO FSS] (</w:t>
      </w:r>
      <w:r w:rsidR="007D125A">
        <w:rPr>
          <w:lang w:val="es-ES"/>
        </w:rPr>
        <w:t>CMR</w:t>
      </w:r>
      <w:r w:rsidR="007D125A">
        <w:rPr>
          <w:lang w:val="es-ES"/>
        </w:rPr>
        <w:noBreakHyphen/>
      </w:r>
      <w:r w:rsidR="004B6B4A" w:rsidRPr="006F2A52">
        <w:rPr>
          <w:lang w:val="es-ES"/>
        </w:rPr>
        <w:t>23)</w:t>
      </w:r>
    </w:p>
    <w:p w14:paraId="3E5552AA" w14:textId="29F0D064" w:rsidR="004B6B4A" w:rsidRPr="006F2A52" w:rsidRDefault="004B6B4A" w:rsidP="004B6B4A">
      <w:pPr>
        <w:pStyle w:val="Restitle"/>
        <w:rPr>
          <w:lang w:val="es-ES"/>
        </w:rPr>
      </w:pPr>
      <w:r w:rsidRPr="006F2A52">
        <w:rPr>
          <w:rFonts w:ascii="Times New Roman"/>
          <w:lang w:val="es-ES"/>
        </w:rPr>
        <w:t xml:space="preserve">Estudios relacionados con </w:t>
      </w:r>
      <w:r w:rsidR="003C7EC7" w:rsidRPr="006F2A52">
        <w:rPr>
          <w:rFonts w:ascii="Times New Roman"/>
          <w:lang w:val="es-ES"/>
        </w:rPr>
        <w:t>la utilizaci</w:t>
      </w:r>
      <w:r w:rsidR="003C7EC7" w:rsidRPr="006F2A52">
        <w:rPr>
          <w:rFonts w:ascii="Times New Roman"/>
          <w:lang w:val="es-ES"/>
        </w:rPr>
        <w:t>ó</w:t>
      </w:r>
      <w:r w:rsidR="003C7EC7" w:rsidRPr="006F2A52">
        <w:rPr>
          <w:rFonts w:ascii="Times New Roman"/>
          <w:lang w:val="es-ES"/>
        </w:rPr>
        <w:t>n</w:t>
      </w:r>
      <w:r w:rsidRPr="006F2A52">
        <w:rPr>
          <w:rFonts w:ascii="Times New Roman"/>
          <w:lang w:val="es-ES"/>
        </w:rPr>
        <w:t xml:space="preserve"> de la banda de frecuencias 51,</w:t>
      </w:r>
      <w:r w:rsidR="009626FC">
        <w:rPr>
          <w:rFonts w:ascii="Times New Roman"/>
          <w:lang w:val="es-ES"/>
        </w:rPr>
        <w:t>4</w:t>
      </w:r>
      <w:r w:rsidRPr="006F2A52">
        <w:rPr>
          <w:rFonts w:ascii="Times New Roman"/>
          <w:lang w:val="es-ES"/>
        </w:rPr>
        <w:t>-52,4 GHz</w:t>
      </w:r>
      <w:r w:rsidR="003C7EC7" w:rsidRPr="006F2A52">
        <w:rPr>
          <w:rFonts w:ascii="Times New Roman"/>
          <w:lang w:val="es-ES"/>
        </w:rPr>
        <w:t xml:space="preserve"> </w:t>
      </w:r>
      <w:r w:rsidRPr="006F2A52">
        <w:rPr>
          <w:rFonts w:ascii="Times New Roman"/>
          <w:lang w:val="es-ES"/>
        </w:rPr>
        <w:t xml:space="preserve">para </w:t>
      </w:r>
      <w:r w:rsidR="003C7EC7" w:rsidRPr="006F2A52">
        <w:rPr>
          <w:rFonts w:ascii="Times New Roman"/>
          <w:lang w:val="es-ES"/>
        </w:rPr>
        <w:t>permitir</w:t>
      </w:r>
      <w:r w:rsidRPr="006F2A52">
        <w:rPr>
          <w:rFonts w:ascii="Times New Roman"/>
          <w:lang w:val="es-ES"/>
        </w:rPr>
        <w:t xml:space="preserve"> el </w:t>
      </w:r>
      <w:r w:rsidR="003C7EC7" w:rsidRPr="006F2A52">
        <w:rPr>
          <w:rFonts w:ascii="Times New Roman"/>
          <w:lang w:val="es-ES"/>
        </w:rPr>
        <w:t>funcionamiento</w:t>
      </w:r>
      <w:r w:rsidRPr="006F2A52">
        <w:rPr>
          <w:rFonts w:ascii="Times New Roman"/>
          <w:lang w:val="es-ES"/>
        </w:rPr>
        <w:t xml:space="preserve"> de estaciones terrenas </w:t>
      </w:r>
      <w:r w:rsidR="003C7EC7" w:rsidRPr="006F2A52">
        <w:rPr>
          <w:rFonts w:ascii="Times New Roman"/>
          <w:lang w:val="es-ES"/>
        </w:rPr>
        <w:t xml:space="preserve">de </w:t>
      </w:r>
      <w:r w:rsidR="00CA0E38" w:rsidRPr="006F2A52">
        <w:rPr>
          <w:rFonts w:ascii="Times New Roman"/>
          <w:lang w:val="es-ES"/>
        </w:rPr>
        <w:t>cabecera</w:t>
      </w:r>
      <w:r w:rsidRPr="006F2A52">
        <w:rPr>
          <w:rFonts w:ascii="Times New Roman"/>
          <w:lang w:val="es-ES"/>
        </w:rPr>
        <w:t xml:space="preserve"> </w:t>
      </w:r>
      <w:r w:rsidR="003C7EC7" w:rsidRPr="006F2A52">
        <w:rPr>
          <w:rFonts w:ascii="Times New Roman"/>
          <w:lang w:val="es-ES"/>
        </w:rPr>
        <w:t xml:space="preserve">que transmiten </w:t>
      </w:r>
      <w:r w:rsidRPr="006F2A52">
        <w:rPr>
          <w:rFonts w:ascii="Times New Roman"/>
          <w:lang w:val="es-ES"/>
        </w:rPr>
        <w:t xml:space="preserve">a sistemas del SFS </w:t>
      </w:r>
      <w:r w:rsidR="003C7EC7" w:rsidRPr="006F2A52">
        <w:rPr>
          <w:rFonts w:ascii="Times New Roman"/>
          <w:lang w:val="es-ES"/>
        </w:rPr>
        <w:t xml:space="preserve">en </w:t>
      </w:r>
      <w:r w:rsidR="003C7EC7" w:rsidRPr="006F2A52">
        <w:rPr>
          <w:rFonts w:ascii="Times New Roman"/>
          <w:lang w:val="es-ES"/>
        </w:rPr>
        <w:t>ó</w:t>
      </w:r>
      <w:r w:rsidR="003C7EC7" w:rsidRPr="006F2A52">
        <w:rPr>
          <w:rFonts w:ascii="Times New Roman"/>
          <w:lang w:val="es-ES"/>
        </w:rPr>
        <w:t xml:space="preserve">rbitas no </w:t>
      </w:r>
      <w:r w:rsidR="006F2A52" w:rsidRPr="006F2A52">
        <w:rPr>
          <w:rFonts w:ascii="Times New Roman"/>
          <w:lang w:val="es-ES"/>
        </w:rPr>
        <w:t>geoestacionarias</w:t>
      </w:r>
      <w:r w:rsidR="003C7EC7" w:rsidRPr="006F2A52">
        <w:rPr>
          <w:rFonts w:ascii="Times New Roman"/>
          <w:lang w:val="es-ES"/>
        </w:rPr>
        <w:t xml:space="preserve"> </w:t>
      </w:r>
      <w:r w:rsidRPr="006F2A52">
        <w:rPr>
          <w:rFonts w:ascii="Times New Roman"/>
          <w:lang w:val="es-ES"/>
        </w:rPr>
        <w:t>(Tierra-espacio)</w:t>
      </w:r>
    </w:p>
    <w:p w14:paraId="6A511E92" w14:textId="77777777" w:rsidR="004B6B4A" w:rsidRPr="006F2A52" w:rsidRDefault="004B6B4A" w:rsidP="004B6B4A">
      <w:pPr>
        <w:pStyle w:val="Normalaftertitle"/>
        <w:rPr>
          <w:lang w:val="es-ES"/>
        </w:rPr>
      </w:pPr>
      <w:r w:rsidRPr="006F2A52">
        <w:rPr>
          <w:lang w:val="es-ES"/>
        </w:rPr>
        <w:t>La Conferencia Mundial de Radiocomunicaciones (Dubái, 2023),</w:t>
      </w:r>
    </w:p>
    <w:p w14:paraId="450EA693" w14:textId="77777777" w:rsidR="004B6B4A" w:rsidRPr="006F2A52" w:rsidRDefault="004B6B4A" w:rsidP="004B6B4A">
      <w:pPr>
        <w:pStyle w:val="Call"/>
        <w:rPr>
          <w:i w:val="0"/>
          <w:iCs/>
          <w:szCs w:val="24"/>
          <w:lang w:val="es-ES"/>
        </w:rPr>
      </w:pPr>
      <w:r w:rsidRPr="006F2A52">
        <w:rPr>
          <w:szCs w:val="24"/>
          <w:lang w:val="es-ES"/>
        </w:rPr>
        <w:t>considerando</w:t>
      </w:r>
    </w:p>
    <w:p w14:paraId="5E191F94" w14:textId="77777777" w:rsidR="004B6B4A" w:rsidRPr="006F2A52" w:rsidRDefault="004B6B4A" w:rsidP="004B6B4A">
      <w:pPr>
        <w:rPr>
          <w:szCs w:val="24"/>
          <w:lang w:val="es-ES"/>
        </w:rPr>
      </w:pPr>
      <w:r w:rsidRPr="006F2A52">
        <w:rPr>
          <w:i/>
          <w:szCs w:val="24"/>
          <w:lang w:val="es-ES"/>
        </w:rPr>
        <w:t>a)</w:t>
      </w:r>
      <w:r w:rsidRPr="006F2A52">
        <w:rPr>
          <w:szCs w:val="24"/>
          <w:lang w:val="es-ES"/>
        </w:rPr>
        <w:tab/>
        <w:t>que los sistemas de satélite se utilizan cada vez más para prestar servicios de banda ancha y pueden ayudar a habilitar el acceso universal a la banda ancha;</w:t>
      </w:r>
    </w:p>
    <w:p w14:paraId="04DD6A3A" w14:textId="13774EBF" w:rsidR="004B6B4A" w:rsidRPr="006F2A52" w:rsidRDefault="004B6B4A" w:rsidP="004B6B4A">
      <w:pPr>
        <w:rPr>
          <w:szCs w:val="24"/>
          <w:lang w:val="es-ES"/>
        </w:rPr>
      </w:pPr>
      <w:r w:rsidRPr="006F2A52">
        <w:rPr>
          <w:i/>
          <w:szCs w:val="24"/>
          <w:lang w:val="es-ES"/>
        </w:rPr>
        <w:t>b)</w:t>
      </w:r>
      <w:r w:rsidRPr="006F2A52">
        <w:rPr>
          <w:szCs w:val="24"/>
          <w:lang w:val="es-ES"/>
        </w:rPr>
        <w:tab/>
        <w:t xml:space="preserve">que las tecnologías de servicio fijo por satélite </w:t>
      </w:r>
      <w:r w:rsidR="003C7EC7" w:rsidRPr="006F2A52">
        <w:rPr>
          <w:szCs w:val="24"/>
          <w:lang w:val="es-ES"/>
        </w:rPr>
        <w:t xml:space="preserve">(SFS) </w:t>
      </w:r>
      <w:r w:rsidRPr="006F2A52">
        <w:rPr>
          <w:szCs w:val="24"/>
          <w:lang w:val="es-ES"/>
        </w:rPr>
        <w:t>de próxima generación para banda ancha aumentarán las velocidades y se esperan velocidades más rápidas en un futuro próximo;</w:t>
      </w:r>
    </w:p>
    <w:p w14:paraId="68C959AC" w14:textId="77777777" w:rsidR="00FE37FE" w:rsidRPr="006F2A52" w:rsidRDefault="004B6B4A" w:rsidP="004B6B4A">
      <w:pPr>
        <w:rPr>
          <w:lang w:val="es-ES"/>
        </w:rPr>
      </w:pPr>
      <w:r w:rsidRPr="006F2A52">
        <w:rPr>
          <w:i/>
          <w:szCs w:val="24"/>
          <w:lang w:val="es-ES"/>
        </w:rPr>
        <w:t>c)</w:t>
      </w:r>
      <w:r w:rsidRPr="006F2A52">
        <w:rPr>
          <w:szCs w:val="24"/>
          <w:lang w:val="es-ES"/>
        </w:rPr>
        <w:tab/>
        <w:t>que los desarrollos tecnológicos, como los avances en las tecnologías de haces puntuales y la reutilización de frecuencias, son utilizados por el SFS en el espectro por encima de 30 GHz para aumentar el uso eficiente del espectro;</w:t>
      </w:r>
      <w:r w:rsidR="003C7EC7" w:rsidRPr="006F2A52">
        <w:rPr>
          <w:lang w:val="es-ES"/>
        </w:rPr>
        <w:t xml:space="preserve"> </w:t>
      </w:r>
    </w:p>
    <w:p w14:paraId="3D40F768" w14:textId="48709870" w:rsidR="004B6B4A" w:rsidRPr="006F2A52" w:rsidRDefault="00FE37FE" w:rsidP="004B6B4A">
      <w:pPr>
        <w:rPr>
          <w:lang w:val="es-ES"/>
        </w:rPr>
      </w:pPr>
      <w:r w:rsidRPr="006F2A52">
        <w:rPr>
          <w:i/>
          <w:szCs w:val="24"/>
          <w:lang w:val="es-ES"/>
        </w:rPr>
        <w:lastRenderedPageBreak/>
        <w:t>d)</w:t>
      </w:r>
      <w:r w:rsidRPr="006F2A52">
        <w:rPr>
          <w:szCs w:val="24"/>
          <w:lang w:val="es-ES"/>
        </w:rPr>
        <w:tab/>
      </w:r>
      <w:r w:rsidR="003C7EC7" w:rsidRPr="006F2A52">
        <w:rPr>
          <w:lang w:val="es-ES"/>
        </w:rPr>
        <w:t xml:space="preserve">que </w:t>
      </w:r>
      <w:r w:rsidR="00547617">
        <w:rPr>
          <w:lang w:val="es-ES"/>
        </w:rPr>
        <w:t xml:space="preserve">las </w:t>
      </w:r>
      <w:r w:rsidR="003C7EC7" w:rsidRPr="006F2A52">
        <w:rPr>
          <w:lang w:val="es-ES"/>
        </w:rPr>
        <w:t xml:space="preserve">aplicaciones fijas por satélite en el espectro por encima de 30 GHz, como </w:t>
      </w:r>
      <w:r w:rsidR="00CA0E38" w:rsidRPr="006F2A52">
        <w:rPr>
          <w:lang w:val="es-ES"/>
        </w:rPr>
        <w:t>los enlaces de conexión</w:t>
      </w:r>
      <w:r w:rsidR="003C7EC7" w:rsidRPr="006F2A52">
        <w:rPr>
          <w:lang w:val="es-ES"/>
        </w:rPr>
        <w:t xml:space="preserve">, </w:t>
      </w:r>
      <w:r w:rsidR="00547617">
        <w:rPr>
          <w:lang w:val="es-ES"/>
        </w:rPr>
        <w:t>deben ser</w:t>
      </w:r>
      <w:r w:rsidR="003C7EC7" w:rsidRPr="006F2A52">
        <w:rPr>
          <w:lang w:val="es-ES"/>
        </w:rPr>
        <w:t xml:space="preserve"> más fáciles de compartir con otros servicios de radiocomunicaciones que las aplicaciones de alta densidad del servicio fijo por satélite (HDFSS)</w:t>
      </w:r>
      <w:r w:rsidRPr="006F2A52">
        <w:rPr>
          <w:lang w:val="es-ES"/>
        </w:rPr>
        <w:t>,</w:t>
      </w:r>
    </w:p>
    <w:p w14:paraId="00601D70" w14:textId="77777777" w:rsidR="004B6B4A" w:rsidRPr="006F2A52" w:rsidRDefault="004B6B4A" w:rsidP="004B6B4A">
      <w:pPr>
        <w:pStyle w:val="Call"/>
        <w:rPr>
          <w:i w:val="0"/>
          <w:iCs/>
          <w:szCs w:val="24"/>
          <w:lang w:val="es-ES"/>
        </w:rPr>
      </w:pPr>
      <w:r w:rsidRPr="006F2A52">
        <w:rPr>
          <w:szCs w:val="24"/>
          <w:lang w:val="es-ES"/>
        </w:rPr>
        <w:t>reconociendo</w:t>
      </w:r>
    </w:p>
    <w:p w14:paraId="0255FE33" w14:textId="77777777" w:rsidR="004B6B4A" w:rsidRPr="006F2A52" w:rsidRDefault="004B6B4A" w:rsidP="004B6B4A">
      <w:pPr>
        <w:rPr>
          <w:szCs w:val="24"/>
          <w:lang w:val="es-ES"/>
        </w:rPr>
      </w:pPr>
      <w:r w:rsidRPr="006F2A52">
        <w:rPr>
          <w:i/>
          <w:szCs w:val="24"/>
          <w:lang w:val="es-ES"/>
        </w:rPr>
        <w:t>a)</w:t>
      </w:r>
      <w:r w:rsidRPr="006F2A52">
        <w:rPr>
          <w:szCs w:val="24"/>
          <w:lang w:val="es-ES"/>
        </w:rPr>
        <w:tab/>
        <w:t>la necesidad de proteger los servicios existentes al considerar las bandas de frecuencia para posibles atribuciones adicionales a cualquier servicio;</w:t>
      </w:r>
    </w:p>
    <w:p w14:paraId="380599F6" w14:textId="77777777" w:rsidR="004B6B4A" w:rsidRPr="006F2A52" w:rsidRDefault="004B6B4A" w:rsidP="004B6B4A">
      <w:pPr>
        <w:rPr>
          <w:szCs w:val="24"/>
          <w:lang w:val="es-ES"/>
        </w:rPr>
      </w:pPr>
      <w:r w:rsidRPr="006F2A52">
        <w:rPr>
          <w:i/>
          <w:szCs w:val="24"/>
          <w:lang w:val="es-ES"/>
        </w:rPr>
        <w:t>b)</w:t>
      </w:r>
      <w:r w:rsidRPr="006F2A52">
        <w:rPr>
          <w:szCs w:val="24"/>
          <w:lang w:val="es-ES"/>
        </w:rPr>
        <w:tab/>
        <w:t xml:space="preserve">que la banda de frecuencias 51,4-52,4 GHz está atribuida a los servicios fijo y móvil, que deberán protegerse, y está disponible para aplicaciones de alta densidad en el servicio fijo como se indica en el número </w:t>
      </w:r>
      <w:r w:rsidRPr="006F2A52">
        <w:rPr>
          <w:b/>
          <w:szCs w:val="24"/>
          <w:lang w:val="es-ES"/>
        </w:rPr>
        <w:t>5.547</w:t>
      </w:r>
      <w:r w:rsidRPr="006F2A52">
        <w:rPr>
          <w:szCs w:val="24"/>
          <w:lang w:val="es-ES"/>
        </w:rPr>
        <w:t>;</w:t>
      </w:r>
    </w:p>
    <w:p w14:paraId="6700216F" w14:textId="26E1FB12" w:rsidR="00FE37FE" w:rsidRPr="006F2A52" w:rsidRDefault="004B6B4A" w:rsidP="004B6B4A">
      <w:pPr>
        <w:rPr>
          <w:szCs w:val="24"/>
          <w:lang w:val="es-ES"/>
        </w:rPr>
      </w:pPr>
      <w:r w:rsidRPr="006F2A52">
        <w:rPr>
          <w:i/>
          <w:szCs w:val="24"/>
          <w:lang w:val="es-ES"/>
        </w:rPr>
        <w:t>c)</w:t>
      </w:r>
      <w:r w:rsidRPr="006F2A52">
        <w:rPr>
          <w:i/>
          <w:szCs w:val="24"/>
          <w:lang w:val="es-ES"/>
        </w:rPr>
        <w:tab/>
      </w:r>
      <w:r w:rsidR="00FE37FE" w:rsidRPr="006F2A52">
        <w:rPr>
          <w:szCs w:val="24"/>
          <w:lang w:val="es-ES"/>
        </w:rPr>
        <w:t xml:space="preserve">que, aunque la banda de frecuencias 51,4-52,4 GHz no está atribuida al servicio de radioastronomía, en el número </w:t>
      </w:r>
      <w:r w:rsidR="00FE37FE" w:rsidRPr="006F2A52">
        <w:rPr>
          <w:b/>
          <w:szCs w:val="24"/>
          <w:lang w:val="es-ES"/>
        </w:rPr>
        <w:t>5.556</w:t>
      </w:r>
      <w:r w:rsidR="00FE37FE" w:rsidRPr="006F2A52">
        <w:rPr>
          <w:szCs w:val="24"/>
          <w:lang w:val="es-ES"/>
        </w:rPr>
        <w:t xml:space="preserve"> se indica que en la banda de frecuencias 51,4-54,25 GHz se llevan a cabo observaciones de radioastronomía y que es posible que deban definirse medidas apropiadas para proteger el servicio de radioastronomía;</w:t>
      </w:r>
    </w:p>
    <w:p w14:paraId="6CC07A95" w14:textId="15A498A4" w:rsidR="004B6B4A" w:rsidRPr="006F2A52" w:rsidRDefault="00FE37FE" w:rsidP="004B6B4A">
      <w:pPr>
        <w:rPr>
          <w:szCs w:val="24"/>
          <w:lang w:val="es-ES"/>
        </w:rPr>
      </w:pPr>
      <w:r w:rsidRPr="006F2A52">
        <w:rPr>
          <w:i/>
          <w:szCs w:val="24"/>
          <w:lang w:val="es-ES"/>
        </w:rPr>
        <w:t>d</w:t>
      </w:r>
      <w:r w:rsidR="004B6B4A" w:rsidRPr="006F2A52">
        <w:rPr>
          <w:i/>
          <w:szCs w:val="24"/>
          <w:lang w:val="es-ES"/>
        </w:rPr>
        <w:t>)</w:t>
      </w:r>
      <w:r w:rsidR="004B6B4A" w:rsidRPr="006F2A52">
        <w:rPr>
          <w:szCs w:val="24"/>
          <w:lang w:val="es-ES"/>
        </w:rPr>
        <w:tab/>
        <w:t xml:space="preserve">que </w:t>
      </w:r>
      <w:r w:rsidRPr="006F2A52">
        <w:rPr>
          <w:szCs w:val="24"/>
          <w:lang w:val="es-ES"/>
        </w:rPr>
        <w:t xml:space="preserve">en </w:t>
      </w:r>
      <w:r w:rsidR="004B6B4A" w:rsidRPr="006F2A52">
        <w:rPr>
          <w:szCs w:val="24"/>
          <w:lang w:val="es-ES"/>
        </w:rPr>
        <w:t xml:space="preserve">el Informe UIT-R S.2461 </w:t>
      </w:r>
      <w:r w:rsidRPr="006F2A52">
        <w:rPr>
          <w:szCs w:val="24"/>
          <w:lang w:val="es-ES"/>
        </w:rPr>
        <w:t>se dem</w:t>
      </w:r>
      <w:r w:rsidR="00547617">
        <w:rPr>
          <w:szCs w:val="24"/>
          <w:lang w:val="es-ES"/>
        </w:rPr>
        <w:t>o</w:t>
      </w:r>
      <w:r w:rsidRPr="006F2A52">
        <w:rPr>
          <w:szCs w:val="24"/>
          <w:lang w:val="es-ES"/>
        </w:rPr>
        <w:t>str</w:t>
      </w:r>
      <w:r w:rsidR="00547617">
        <w:rPr>
          <w:szCs w:val="24"/>
          <w:lang w:val="es-ES"/>
        </w:rPr>
        <w:t>ó</w:t>
      </w:r>
      <w:r w:rsidRPr="006F2A52">
        <w:rPr>
          <w:szCs w:val="24"/>
          <w:lang w:val="es-ES"/>
        </w:rPr>
        <w:t xml:space="preserve"> la necesidad </w:t>
      </w:r>
      <w:r w:rsidR="004B6B4A" w:rsidRPr="006F2A52">
        <w:rPr>
          <w:szCs w:val="24"/>
          <w:lang w:val="es-ES"/>
        </w:rPr>
        <w:t xml:space="preserve">de espectro adicional de SFS en el sentido Tierra-espacio </w:t>
      </w:r>
      <w:r w:rsidRPr="006F2A52">
        <w:rPr>
          <w:szCs w:val="24"/>
          <w:lang w:val="es-ES"/>
        </w:rPr>
        <w:t xml:space="preserve">tanto </w:t>
      </w:r>
      <w:r w:rsidR="004B6B4A" w:rsidRPr="006F2A52">
        <w:rPr>
          <w:szCs w:val="24"/>
          <w:lang w:val="es-ES"/>
        </w:rPr>
        <w:t xml:space="preserve">para </w:t>
      </w:r>
      <w:r w:rsidR="00547617">
        <w:rPr>
          <w:szCs w:val="24"/>
          <w:lang w:val="es-ES"/>
        </w:rPr>
        <w:t xml:space="preserve">las </w:t>
      </w:r>
      <w:r w:rsidR="004B6B4A" w:rsidRPr="006F2A52">
        <w:rPr>
          <w:szCs w:val="24"/>
          <w:lang w:val="es-ES"/>
        </w:rPr>
        <w:t xml:space="preserve">redes del SFS de satélites geoestacionarios (OSG) </w:t>
      </w:r>
      <w:r w:rsidRPr="006F2A52">
        <w:rPr>
          <w:szCs w:val="24"/>
          <w:lang w:val="es-ES"/>
        </w:rPr>
        <w:t xml:space="preserve">como </w:t>
      </w:r>
      <w:r w:rsidR="006F2A52" w:rsidRPr="006F2A52">
        <w:rPr>
          <w:szCs w:val="24"/>
          <w:lang w:val="es-ES"/>
        </w:rPr>
        <w:t xml:space="preserve">para </w:t>
      </w:r>
      <w:r w:rsidR="00547617">
        <w:rPr>
          <w:szCs w:val="24"/>
          <w:lang w:val="es-ES"/>
        </w:rPr>
        <w:t xml:space="preserve">las </w:t>
      </w:r>
      <w:r w:rsidR="006F2A52" w:rsidRPr="006F2A52">
        <w:rPr>
          <w:szCs w:val="24"/>
          <w:lang w:val="es-ES"/>
        </w:rPr>
        <w:t>redes</w:t>
      </w:r>
      <w:r w:rsidR="004B6B4A" w:rsidRPr="006F2A52">
        <w:rPr>
          <w:szCs w:val="24"/>
          <w:lang w:val="es-ES"/>
        </w:rPr>
        <w:t xml:space="preserve"> del SFS no OSG en la banda de frecuencias 51.4 -52,4 GHz;</w:t>
      </w:r>
    </w:p>
    <w:p w14:paraId="4ED17722" w14:textId="100DE4A4" w:rsidR="00FE37FE" w:rsidRPr="006F2A52" w:rsidRDefault="00FE37FE" w:rsidP="004B6B4A">
      <w:pPr>
        <w:rPr>
          <w:szCs w:val="24"/>
          <w:lang w:val="es-ES"/>
        </w:rPr>
      </w:pPr>
      <w:r w:rsidRPr="006F2A52">
        <w:rPr>
          <w:i/>
          <w:szCs w:val="24"/>
          <w:lang w:val="es-ES"/>
        </w:rPr>
        <w:t>e)</w:t>
      </w:r>
      <w:r w:rsidRPr="006F2A52">
        <w:rPr>
          <w:szCs w:val="24"/>
          <w:lang w:val="es-ES"/>
        </w:rPr>
        <w:tab/>
        <w:t xml:space="preserve">que en el Informe UIT-R S.2462 se </w:t>
      </w:r>
      <w:r w:rsidR="006F2A52" w:rsidRPr="006F2A52">
        <w:rPr>
          <w:szCs w:val="24"/>
          <w:lang w:val="es-ES"/>
        </w:rPr>
        <w:t>presentan los</w:t>
      </w:r>
      <w:r w:rsidRPr="006F2A52">
        <w:rPr>
          <w:szCs w:val="24"/>
          <w:lang w:val="es-ES"/>
        </w:rPr>
        <w:t xml:space="preserve"> estudios de compartición y compatibilidad entre las redes del SFS OSG y los sistemas del SFS no OSG en la gama de frecuencias 50/40 GHz;</w:t>
      </w:r>
    </w:p>
    <w:p w14:paraId="2F2B8CA2" w14:textId="6836C220" w:rsidR="004B6B4A" w:rsidRPr="006F2A52" w:rsidRDefault="00510335" w:rsidP="004B6B4A">
      <w:pPr>
        <w:rPr>
          <w:szCs w:val="24"/>
          <w:lang w:val="es-ES"/>
        </w:rPr>
      </w:pPr>
      <w:r w:rsidRPr="006F2A52">
        <w:rPr>
          <w:i/>
          <w:szCs w:val="24"/>
          <w:lang w:val="es-ES"/>
        </w:rPr>
        <w:t>f</w:t>
      </w:r>
      <w:r w:rsidR="004B6B4A" w:rsidRPr="006F2A52">
        <w:rPr>
          <w:i/>
          <w:szCs w:val="24"/>
          <w:lang w:val="es-ES"/>
        </w:rPr>
        <w:t>)</w:t>
      </w:r>
      <w:r w:rsidR="004B6B4A" w:rsidRPr="006F2A52">
        <w:rPr>
          <w:szCs w:val="24"/>
          <w:lang w:val="es-ES"/>
        </w:rPr>
        <w:tab/>
        <w:t xml:space="preserve">que la CMR-19, de conformidad con la Resolución </w:t>
      </w:r>
      <w:r w:rsidR="004B6B4A" w:rsidRPr="006F2A52">
        <w:rPr>
          <w:b/>
          <w:bCs/>
          <w:szCs w:val="24"/>
          <w:lang w:val="es-ES"/>
        </w:rPr>
        <w:t>162 (CMR-15)</w:t>
      </w:r>
      <w:r w:rsidR="004B6B4A" w:rsidRPr="006F2A52">
        <w:rPr>
          <w:szCs w:val="24"/>
          <w:lang w:val="es-ES"/>
        </w:rPr>
        <w:t xml:space="preserve">, </w:t>
      </w:r>
      <w:r w:rsidRPr="006F2A52">
        <w:rPr>
          <w:szCs w:val="24"/>
          <w:lang w:val="es-ES"/>
        </w:rPr>
        <w:t>atribuyó</w:t>
      </w:r>
      <w:r w:rsidR="004B6B4A" w:rsidRPr="006F2A52">
        <w:rPr>
          <w:szCs w:val="24"/>
          <w:lang w:val="es-ES"/>
        </w:rPr>
        <w:t xml:space="preserve"> la banda de frecuencias 51,4-52,4 GHz al SFS (Tierra-espacio) a título primario, y también adoptó el número </w:t>
      </w:r>
      <w:r w:rsidR="004B6B4A" w:rsidRPr="006F2A52">
        <w:rPr>
          <w:b/>
          <w:bCs/>
          <w:szCs w:val="24"/>
          <w:lang w:val="es-ES"/>
        </w:rPr>
        <w:t>5.555C</w:t>
      </w:r>
      <w:r w:rsidR="004B6B4A" w:rsidRPr="006F2A52">
        <w:rPr>
          <w:szCs w:val="24"/>
          <w:lang w:val="es-ES"/>
        </w:rPr>
        <w:t xml:space="preserve"> que limita el uso de</w:t>
      </w:r>
      <w:r w:rsidRPr="006F2A52">
        <w:rPr>
          <w:szCs w:val="24"/>
          <w:lang w:val="es-ES"/>
        </w:rPr>
        <w:t xml:space="preserve"> la atribución a</w:t>
      </w:r>
      <w:r w:rsidR="004B6B4A" w:rsidRPr="006F2A52">
        <w:rPr>
          <w:szCs w:val="24"/>
          <w:lang w:val="es-ES"/>
        </w:rPr>
        <w:t xml:space="preserve">l SFS a </w:t>
      </w:r>
      <w:r w:rsidRPr="006F2A52">
        <w:rPr>
          <w:szCs w:val="24"/>
          <w:lang w:val="es-ES"/>
        </w:rPr>
        <w:t xml:space="preserve">redes OSG y las estaciones terrenas de cabecera </w:t>
      </w:r>
      <w:r w:rsidR="008C467B" w:rsidRPr="006F2A52">
        <w:rPr>
          <w:szCs w:val="24"/>
          <w:lang w:val="es-ES"/>
        </w:rPr>
        <w:t>asociadas</w:t>
      </w:r>
      <w:r w:rsidRPr="006F2A52">
        <w:rPr>
          <w:szCs w:val="24"/>
          <w:lang w:val="es-ES"/>
        </w:rPr>
        <w:t xml:space="preserve"> con un diámetro de antena mínimo de 2,4 metros;</w:t>
      </w:r>
    </w:p>
    <w:p w14:paraId="1AFA061E" w14:textId="02DA6060" w:rsidR="004B6B4A" w:rsidRPr="006F2A52" w:rsidRDefault="00CA0E38" w:rsidP="004B6B4A">
      <w:pPr>
        <w:rPr>
          <w:szCs w:val="24"/>
          <w:lang w:val="es-ES"/>
        </w:rPr>
      </w:pPr>
      <w:r w:rsidRPr="006F2A52">
        <w:rPr>
          <w:i/>
          <w:szCs w:val="24"/>
          <w:lang w:val="es-ES"/>
        </w:rPr>
        <w:t>g</w:t>
      </w:r>
      <w:r w:rsidR="004B6B4A" w:rsidRPr="006F2A52">
        <w:rPr>
          <w:i/>
          <w:szCs w:val="24"/>
          <w:lang w:val="es-ES"/>
        </w:rPr>
        <w:t>)</w:t>
      </w:r>
      <w:r w:rsidR="004B6B4A" w:rsidRPr="006F2A52">
        <w:rPr>
          <w:szCs w:val="24"/>
          <w:lang w:val="es-ES"/>
        </w:rPr>
        <w:tab/>
        <w:t xml:space="preserve">que continúa la necesidad de espectro de enlace ascendente adicional en la gama de 50 GHz para el uso de estaciones terrenas </w:t>
      </w:r>
      <w:r w:rsidRPr="006F2A52">
        <w:rPr>
          <w:szCs w:val="24"/>
          <w:lang w:val="es-ES"/>
        </w:rPr>
        <w:t>de cabecera</w:t>
      </w:r>
      <w:r w:rsidR="004B6B4A" w:rsidRPr="006F2A52">
        <w:rPr>
          <w:szCs w:val="24"/>
          <w:lang w:val="es-ES"/>
        </w:rPr>
        <w:t xml:space="preserve"> del SFS no OSG,</w:t>
      </w:r>
    </w:p>
    <w:p w14:paraId="3E82BD87" w14:textId="26188062" w:rsidR="004B6B4A" w:rsidRPr="006F2A52" w:rsidRDefault="004B6B4A" w:rsidP="00CA0E38">
      <w:pPr>
        <w:pStyle w:val="Call"/>
        <w:rPr>
          <w:szCs w:val="24"/>
          <w:lang w:val="es-ES"/>
        </w:rPr>
      </w:pPr>
      <w:r w:rsidRPr="006F2A52">
        <w:rPr>
          <w:iCs/>
          <w:szCs w:val="24"/>
          <w:lang w:val="es-ES"/>
        </w:rPr>
        <w:t xml:space="preserve">resuelve invitar </w:t>
      </w:r>
      <w:r w:rsidRPr="006F2A52">
        <w:rPr>
          <w:szCs w:val="24"/>
          <w:lang w:val="es-ES"/>
        </w:rPr>
        <w:t>al</w:t>
      </w:r>
      <w:r w:rsidRPr="006F2A52">
        <w:rPr>
          <w:iCs/>
          <w:szCs w:val="24"/>
          <w:lang w:val="es-ES"/>
        </w:rPr>
        <w:t xml:space="preserve"> Sector de Radiocomunicaciones de la UIT</w:t>
      </w:r>
      <w:r w:rsidR="00CA0E38" w:rsidRPr="006F2A52">
        <w:rPr>
          <w:iCs/>
          <w:szCs w:val="24"/>
          <w:lang w:val="es-ES"/>
        </w:rPr>
        <w:t xml:space="preserve"> </w:t>
      </w:r>
      <w:r w:rsidRPr="006F2A52">
        <w:rPr>
          <w:szCs w:val="24"/>
          <w:lang w:val="es-ES"/>
        </w:rPr>
        <w:t>a conducir y completar a tiempo para la CMR-27:</w:t>
      </w:r>
    </w:p>
    <w:p w14:paraId="38ADB8CA" w14:textId="06BAC1FA" w:rsidR="004B6B4A" w:rsidRPr="006F2A52" w:rsidRDefault="004B6B4A" w:rsidP="004B6B4A">
      <w:pPr>
        <w:rPr>
          <w:szCs w:val="24"/>
          <w:lang w:val="es-ES"/>
        </w:rPr>
      </w:pPr>
      <w:r w:rsidRPr="006F2A52">
        <w:rPr>
          <w:szCs w:val="24"/>
          <w:lang w:val="es-ES"/>
        </w:rPr>
        <w:t>1</w:t>
      </w:r>
      <w:r w:rsidRPr="006F2A52">
        <w:rPr>
          <w:szCs w:val="24"/>
          <w:lang w:val="es-ES"/>
        </w:rPr>
        <w:tab/>
        <w:t xml:space="preserve">estudios de compartición y compatibilidad con estaciones actuales y previstas de los servicios primarios existentes, incluso en bandas adyacentes, incluida la protección de los servicios fijos y móviles, </w:t>
      </w:r>
      <w:r w:rsidR="00CA0E38" w:rsidRPr="006F2A52">
        <w:rPr>
          <w:szCs w:val="24"/>
          <w:lang w:val="es-ES"/>
        </w:rPr>
        <w:t>estudios relacionados con</w:t>
      </w:r>
      <w:r w:rsidRPr="006F2A52">
        <w:rPr>
          <w:szCs w:val="24"/>
          <w:lang w:val="es-ES"/>
        </w:rPr>
        <w:t xml:space="preserve"> la viabilidad de revisar las </w:t>
      </w:r>
      <w:r w:rsidR="00CA0E38" w:rsidRPr="006F2A52">
        <w:rPr>
          <w:szCs w:val="24"/>
          <w:lang w:val="es-ES"/>
        </w:rPr>
        <w:t xml:space="preserve">condiciones asociadas con las </w:t>
      </w:r>
      <w:r w:rsidRPr="006F2A52">
        <w:rPr>
          <w:szCs w:val="24"/>
          <w:lang w:val="es-ES"/>
        </w:rPr>
        <w:t xml:space="preserve">atribuciones primarias al SFS en la banda de frecuencias 51,4-52,4 GHz </w:t>
      </w:r>
      <w:r w:rsidR="00CA0E38" w:rsidRPr="006F2A52">
        <w:rPr>
          <w:szCs w:val="24"/>
          <w:lang w:val="es-ES"/>
        </w:rPr>
        <w:t xml:space="preserve">(Tierra-espacio) </w:t>
      </w:r>
      <w:r w:rsidRPr="006F2A52">
        <w:rPr>
          <w:szCs w:val="24"/>
          <w:lang w:val="es-ES"/>
        </w:rPr>
        <w:t xml:space="preserve">para permitir que las estaciones terrenas </w:t>
      </w:r>
      <w:r w:rsidR="00CA0E38" w:rsidRPr="006F2A52">
        <w:rPr>
          <w:szCs w:val="24"/>
          <w:lang w:val="es-ES"/>
        </w:rPr>
        <w:t>de cabecera</w:t>
      </w:r>
      <w:r w:rsidRPr="006F2A52">
        <w:rPr>
          <w:szCs w:val="24"/>
          <w:lang w:val="es-ES"/>
        </w:rPr>
        <w:t xml:space="preserve"> utilicen sistemas del SFS no OSG (Tierra-espacio)</w:t>
      </w:r>
      <w:r w:rsidR="00CA0E38" w:rsidRPr="006F2A52">
        <w:rPr>
          <w:szCs w:val="24"/>
          <w:lang w:val="es-ES"/>
        </w:rPr>
        <w:t xml:space="preserve"> y los estudios reglamentarios pertinentes</w:t>
      </w:r>
      <w:r w:rsidRPr="006F2A52">
        <w:rPr>
          <w:szCs w:val="24"/>
          <w:lang w:val="es-ES"/>
        </w:rPr>
        <w:t>;</w:t>
      </w:r>
    </w:p>
    <w:p w14:paraId="7B96E190" w14:textId="74B10CA5" w:rsidR="004B6B4A" w:rsidRPr="006F2A52" w:rsidRDefault="004B6B4A" w:rsidP="004B6B4A">
      <w:pPr>
        <w:rPr>
          <w:szCs w:val="24"/>
          <w:lang w:val="es-ES"/>
        </w:rPr>
      </w:pPr>
      <w:r w:rsidRPr="006F2A52">
        <w:rPr>
          <w:szCs w:val="24"/>
          <w:lang w:val="es-ES"/>
        </w:rPr>
        <w:t>2</w:t>
      </w:r>
      <w:r w:rsidRPr="006F2A52">
        <w:rPr>
          <w:szCs w:val="24"/>
          <w:lang w:val="es-ES"/>
        </w:rPr>
        <w:tab/>
        <w:t xml:space="preserve">Estudios de compatibilidad entre </w:t>
      </w:r>
      <w:r w:rsidR="00CA0E38" w:rsidRPr="006F2A52">
        <w:rPr>
          <w:szCs w:val="24"/>
          <w:lang w:val="es-ES"/>
        </w:rPr>
        <w:t xml:space="preserve">las </w:t>
      </w:r>
      <w:r w:rsidRPr="006F2A52">
        <w:rPr>
          <w:szCs w:val="24"/>
          <w:lang w:val="es-ES"/>
        </w:rPr>
        <w:t xml:space="preserve">estaciones </w:t>
      </w:r>
      <w:r w:rsidR="00CA0E38" w:rsidRPr="006F2A52">
        <w:rPr>
          <w:szCs w:val="24"/>
          <w:lang w:val="es-ES"/>
        </w:rPr>
        <w:t xml:space="preserve">de cabecera </w:t>
      </w:r>
      <w:r w:rsidRPr="006F2A52">
        <w:rPr>
          <w:szCs w:val="24"/>
          <w:lang w:val="es-ES"/>
        </w:rPr>
        <w:t>de</w:t>
      </w:r>
      <w:r w:rsidR="00CA0E38" w:rsidRPr="006F2A52">
        <w:rPr>
          <w:szCs w:val="24"/>
          <w:lang w:val="es-ES"/>
        </w:rPr>
        <w:t>l SFS no OSG</w:t>
      </w:r>
      <w:r w:rsidRPr="006F2A52">
        <w:rPr>
          <w:szCs w:val="24"/>
          <w:lang w:val="es-ES"/>
        </w:rPr>
        <w:t xml:space="preserve"> (Tierra</w:t>
      </w:r>
      <w:r w:rsidR="00D9718E">
        <w:rPr>
          <w:szCs w:val="24"/>
          <w:lang w:val="es-ES"/>
        </w:rPr>
        <w:noBreakHyphen/>
      </w:r>
      <w:r w:rsidRPr="006F2A52">
        <w:rPr>
          <w:szCs w:val="24"/>
          <w:lang w:val="es-ES"/>
        </w:rPr>
        <w:t xml:space="preserve">espacio) </w:t>
      </w:r>
      <w:r w:rsidR="00CA0E38" w:rsidRPr="006F2A52">
        <w:rPr>
          <w:szCs w:val="24"/>
          <w:lang w:val="es-ES"/>
        </w:rPr>
        <w:t>y los sistemas que funcionan</w:t>
      </w:r>
      <w:r w:rsidRPr="006F2A52">
        <w:rPr>
          <w:szCs w:val="24"/>
          <w:lang w:val="es-ES"/>
        </w:rPr>
        <w:t xml:space="preserve"> en la banda de frecuencia </w:t>
      </w:r>
      <w:r w:rsidR="00CA0E38" w:rsidRPr="006F2A52">
        <w:rPr>
          <w:szCs w:val="24"/>
          <w:lang w:val="es-ES"/>
        </w:rPr>
        <w:t xml:space="preserve">pasiva </w:t>
      </w:r>
      <w:r w:rsidRPr="006F2A52">
        <w:rPr>
          <w:szCs w:val="24"/>
          <w:lang w:val="es-ES"/>
        </w:rPr>
        <w:t>de 52,6-54,25 GHz</w:t>
      </w:r>
    </w:p>
    <w:p w14:paraId="66585CC1" w14:textId="5D5D334A" w:rsidR="004B6B4A" w:rsidRPr="006F2A52" w:rsidRDefault="004B6B4A" w:rsidP="004B6B4A">
      <w:pPr>
        <w:rPr>
          <w:szCs w:val="24"/>
          <w:lang w:val="es-ES"/>
        </w:rPr>
      </w:pPr>
      <w:r w:rsidRPr="006F2A52">
        <w:rPr>
          <w:szCs w:val="24"/>
          <w:lang w:val="es-ES"/>
        </w:rPr>
        <w:t>3</w:t>
      </w:r>
      <w:r w:rsidRPr="006F2A52">
        <w:rPr>
          <w:szCs w:val="24"/>
          <w:lang w:val="es-ES"/>
        </w:rPr>
        <w:tab/>
        <w:t xml:space="preserve">estudios sobre la protección de las redes del SFS OSG y las estaciones terrenas </w:t>
      </w:r>
      <w:r w:rsidR="008C467B" w:rsidRPr="006F2A52">
        <w:rPr>
          <w:szCs w:val="24"/>
          <w:lang w:val="es-ES"/>
        </w:rPr>
        <w:t>de cabecera</w:t>
      </w:r>
      <w:r w:rsidRPr="006F2A52">
        <w:rPr>
          <w:szCs w:val="24"/>
          <w:lang w:val="es-ES"/>
        </w:rPr>
        <w:t xml:space="preserve"> asociadas </w:t>
      </w:r>
      <w:r w:rsidR="008C467B" w:rsidRPr="006F2A52">
        <w:rPr>
          <w:szCs w:val="24"/>
          <w:lang w:val="es-ES"/>
        </w:rPr>
        <w:t>frente a</w:t>
      </w:r>
      <w:r w:rsidRPr="006F2A52">
        <w:rPr>
          <w:szCs w:val="24"/>
          <w:lang w:val="es-ES"/>
        </w:rPr>
        <w:t xml:space="preserve"> las emisiones de los sistemas del SFS no OSG y las estaciones terrenas </w:t>
      </w:r>
      <w:r w:rsidR="008C467B" w:rsidRPr="006F2A52">
        <w:rPr>
          <w:szCs w:val="24"/>
          <w:lang w:val="es-ES"/>
        </w:rPr>
        <w:t>de cabecera</w:t>
      </w:r>
      <w:r w:rsidRPr="006F2A52">
        <w:rPr>
          <w:szCs w:val="24"/>
          <w:lang w:val="es-ES"/>
        </w:rPr>
        <w:t xml:space="preserve"> asociadas,</w:t>
      </w:r>
      <w:r w:rsidR="008C467B" w:rsidRPr="006F2A52">
        <w:rPr>
          <w:szCs w:val="24"/>
          <w:lang w:val="es-ES"/>
        </w:rPr>
        <w:t xml:space="preserve"> incluyendo las </w:t>
      </w:r>
      <w:r w:rsidR="006F2A52" w:rsidRPr="006F2A52">
        <w:rPr>
          <w:szCs w:val="24"/>
          <w:lang w:val="es-ES"/>
        </w:rPr>
        <w:t>posibles medidas reglamentarias conexas</w:t>
      </w:r>
      <w:r w:rsidR="008C467B" w:rsidRPr="006F2A52">
        <w:rPr>
          <w:szCs w:val="24"/>
          <w:lang w:val="es-ES"/>
        </w:rPr>
        <w:t xml:space="preserve"> y </w:t>
      </w:r>
      <w:r w:rsidR="008C467B" w:rsidRPr="00547617">
        <w:rPr>
          <w:szCs w:val="24"/>
          <w:lang w:val="es-ES"/>
        </w:rPr>
        <w:t>la posible inclusión de la banda de frecuencias 51,4-52,4 GHz en el alcance de las Resoluciones</w:t>
      </w:r>
      <w:r w:rsidR="008C467B" w:rsidRPr="006F2A52">
        <w:rPr>
          <w:b/>
          <w:szCs w:val="24"/>
          <w:lang w:val="es-ES"/>
        </w:rPr>
        <w:t xml:space="preserve"> </w:t>
      </w:r>
      <w:r w:rsidR="008C467B" w:rsidRPr="006F2A52">
        <w:rPr>
          <w:b/>
          <w:bCs/>
          <w:szCs w:val="24"/>
          <w:lang w:val="es-ES"/>
        </w:rPr>
        <w:t>769</w:t>
      </w:r>
      <w:r w:rsidR="00D9718E">
        <w:rPr>
          <w:b/>
          <w:bCs/>
          <w:szCs w:val="24"/>
          <w:lang w:val="es-ES"/>
        </w:rPr>
        <w:t> </w:t>
      </w:r>
      <w:r w:rsidR="008C467B" w:rsidRPr="006F2A52">
        <w:rPr>
          <w:b/>
          <w:bCs/>
          <w:szCs w:val="24"/>
          <w:lang w:val="es-ES"/>
        </w:rPr>
        <w:t>(CMR</w:t>
      </w:r>
      <w:r w:rsidR="00D9718E">
        <w:rPr>
          <w:b/>
          <w:bCs/>
          <w:szCs w:val="24"/>
          <w:lang w:val="es-ES"/>
        </w:rPr>
        <w:noBreakHyphen/>
      </w:r>
      <w:r w:rsidR="008C467B" w:rsidRPr="006F2A52">
        <w:rPr>
          <w:b/>
          <w:bCs/>
          <w:szCs w:val="24"/>
          <w:lang w:val="es-ES"/>
        </w:rPr>
        <w:t>19)</w:t>
      </w:r>
      <w:r w:rsidR="008C467B" w:rsidRPr="006F2A52">
        <w:rPr>
          <w:szCs w:val="24"/>
          <w:lang w:val="es-ES"/>
        </w:rPr>
        <w:t xml:space="preserve"> </w:t>
      </w:r>
      <w:r w:rsidR="00547617">
        <w:rPr>
          <w:szCs w:val="24"/>
          <w:lang w:val="es-ES"/>
        </w:rPr>
        <w:t>y</w:t>
      </w:r>
      <w:r w:rsidR="008C467B" w:rsidRPr="006F2A52">
        <w:rPr>
          <w:szCs w:val="24"/>
          <w:lang w:val="es-ES"/>
        </w:rPr>
        <w:t xml:space="preserve"> </w:t>
      </w:r>
      <w:r w:rsidR="008C467B" w:rsidRPr="006F2A52">
        <w:rPr>
          <w:b/>
          <w:bCs/>
          <w:szCs w:val="24"/>
          <w:lang w:val="es-ES"/>
        </w:rPr>
        <w:t>770 (CMR-19)</w:t>
      </w:r>
      <w:r w:rsidR="008C467B" w:rsidRPr="006F2A52">
        <w:rPr>
          <w:szCs w:val="24"/>
          <w:lang w:val="es-ES"/>
        </w:rPr>
        <w:t>,</w:t>
      </w:r>
    </w:p>
    <w:p w14:paraId="66EB334D" w14:textId="77777777" w:rsidR="004B6B4A" w:rsidRPr="006F2A52" w:rsidRDefault="004B6B4A" w:rsidP="004B6B4A">
      <w:pPr>
        <w:pStyle w:val="Call"/>
        <w:rPr>
          <w:iCs/>
          <w:szCs w:val="24"/>
          <w:lang w:val="es-ES"/>
        </w:rPr>
      </w:pPr>
      <w:r w:rsidRPr="006F2A52">
        <w:rPr>
          <w:iCs/>
          <w:szCs w:val="24"/>
          <w:lang w:val="es-ES"/>
        </w:rPr>
        <w:t>instruye al Director de la Oficina de Radiocomunicaciones</w:t>
      </w:r>
    </w:p>
    <w:p w14:paraId="681BECFC" w14:textId="7940CB6D" w:rsidR="004B6B4A" w:rsidRPr="006F2A52" w:rsidRDefault="004B6B4A" w:rsidP="004B6B4A">
      <w:pPr>
        <w:rPr>
          <w:szCs w:val="24"/>
          <w:lang w:val="es-ES"/>
        </w:rPr>
      </w:pPr>
      <w:r w:rsidRPr="006F2A52">
        <w:rPr>
          <w:szCs w:val="24"/>
          <w:lang w:val="es-ES"/>
        </w:rPr>
        <w:t>a reportar los resultados de los estudios del UIT-R para la CMR-27</w:t>
      </w:r>
      <w:r w:rsidR="00083DD4">
        <w:rPr>
          <w:szCs w:val="24"/>
          <w:lang w:val="es-ES"/>
        </w:rPr>
        <w:t>,</w:t>
      </w:r>
    </w:p>
    <w:p w14:paraId="125F5B7D" w14:textId="77777777" w:rsidR="004B6B4A" w:rsidRPr="006F2A52" w:rsidRDefault="004B6B4A" w:rsidP="004B6B4A">
      <w:pPr>
        <w:pStyle w:val="Call"/>
        <w:rPr>
          <w:i w:val="0"/>
          <w:iCs/>
          <w:szCs w:val="24"/>
          <w:lang w:val="es-ES"/>
        </w:rPr>
      </w:pPr>
      <w:r w:rsidRPr="006F2A52">
        <w:rPr>
          <w:iCs/>
          <w:szCs w:val="24"/>
          <w:lang w:val="es-ES"/>
        </w:rPr>
        <w:lastRenderedPageBreak/>
        <w:t>invita a las Administraciones</w:t>
      </w:r>
    </w:p>
    <w:p w14:paraId="6F457903" w14:textId="77777777" w:rsidR="004B6B4A" w:rsidRPr="006F2A52" w:rsidRDefault="004B6B4A" w:rsidP="004B6B4A">
      <w:pPr>
        <w:rPr>
          <w:szCs w:val="24"/>
          <w:lang w:val="es-ES"/>
        </w:rPr>
      </w:pPr>
      <w:r w:rsidRPr="006F2A52">
        <w:rPr>
          <w:szCs w:val="24"/>
          <w:lang w:val="es-ES"/>
        </w:rPr>
        <w:t>a participar activamente en los estudios enviando contribuciones al UIT-R.</w:t>
      </w:r>
    </w:p>
    <w:p w14:paraId="5EBE31F2" w14:textId="27F77442" w:rsidR="00A10FDA" w:rsidRPr="006F2A52" w:rsidRDefault="000862E2">
      <w:pPr>
        <w:pStyle w:val="Reasons"/>
        <w:rPr>
          <w:lang w:val="es-ES"/>
        </w:rPr>
      </w:pPr>
      <w:r w:rsidRPr="006F2A52">
        <w:rPr>
          <w:b/>
          <w:lang w:val="es-ES"/>
        </w:rPr>
        <w:t>Motivos:</w:t>
      </w:r>
      <w:r w:rsidRPr="006F2A52">
        <w:rPr>
          <w:lang w:val="es-ES"/>
        </w:rPr>
        <w:tab/>
      </w:r>
      <w:r w:rsidR="002A0AA1" w:rsidRPr="006F2A52">
        <w:rPr>
          <w:lang w:val="es-ES"/>
        </w:rPr>
        <w:t xml:space="preserve">Véase el cuadro siguiente, preparado con la plantilla del Anexo 2 a la Resolución </w:t>
      </w:r>
      <w:r w:rsidR="002A0AA1" w:rsidRPr="006F2A52">
        <w:rPr>
          <w:b/>
          <w:lang w:val="es-ES"/>
        </w:rPr>
        <w:t>804 (Rev.CMR-19)</w:t>
      </w:r>
      <w:r w:rsidR="002A0AA1" w:rsidRPr="006F2A52">
        <w:rPr>
          <w:lang w:val="es-ES"/>
        </w:rPr>
        <w:t>.</w:t>
      </w:r>
    </w:p>
    <w:p w14:paraId="121C5AC3" w14:textId="4DC2DADD" w:rsidR="002A0AA1" w:rsidRPr="006F2A52" w:rsidRDefault="002A0AA1" w:rsidP="002A0AA1">
      <w:pPr>
        <w:pStyle w:val="AnnexNo"/>
        <w:rPr>
          <w:lang w:val="es-ES"/>
        </w:rPr>
      </w:pPr>
      <w:r w:rsidRPr="006F2A52">
        <w:rPr>
          <w:lang w:val="es-ES"/>
        </w:rPr>
        <w:t>ANEXO</w:t>
      </w:r>
    </w:p>
    <w:p w14:paraId="64D29ACB" w14:textId="7EC6A24E" w:rsidR="002A0AA1" w:rsidRPr="006F2A52" w:rsidRDefault="002A0AA1" w:rsidP="002A0AA1">
      <w:pPr>
        <w:pStyle w:val="Annextitle"/>
        <w:rPr>
          <w:lang w:val="es-ES"/>
        </w:rPr>
      </w:pPr>
      <w:r w:rsidRPr="006F2A52">
        <w:rPr>
          <w:lang w:val="es-ES"/>
        </w:rPr>
        <w:t>Presentación de propuestas de puntos del orden del día</w:t>
      </w:r>
    </w:p>
    <w:tbl>
      <w:tblPr>
        <w:tblpPr w:leftFromText="180" w:rightFromText="180" w:vertAnchor="text" w:tblpX="-84" w:tblpY="1"/>
        <w:tblOverlap w:val="never"/>
        <w:tblW w:w="5000" w:type="pct"/>
        <w:tblLayout w:type="fixed"/>
        <w:tblLook w:val="04A0" w:firstRow="1" w:lastRow="0" w:firstColumn="1" w:lastColumn="0" w:noHBand="0" w:noVBand="1"/>
      </w:tblPr>
      <w:tblGrid>
        <w:gridCol w:w="4368"/>
        <w:gridCol w:w="5271"/>
      </w:tblGrid>
      <w:tr w:rsidR="002A0AA1" w:rsidRPr="006F2A52" w14:paraId="11A47844" w14:textId="77777777" w:rsidTr="007C1CAE">
        <w:trPr>
          <w:cantSplit/>
        </w:trPr>
        <w:tc>
          <w:tcPr>
            <w:tcW w:w="9072" w:type="dxa"/>
            <w:gridSpan w:val="2"/>
          </w:tcPr>
          <w:p w14:paraId="643CF589" w14:textId="04DA14CF" w:rsidR="002A0AA1" w:rsidRPr="006F2A52" w:rsidRDefault="002A0AA1" w:rsidP="007C1CAE">
            <w:pPr>
              <w:pStyle w:val="NormalAfter6pt"/>
              <w:framePr w:hSpace="0" w:wrap="auto" w:vAnchor="margin" w:xAlign="left" w:yAlign="inline"/>
              <w:suppressOverlap w:val="0"/>
              <w:rPr>
                <w:lang w:val="es-ES"/>
              </w:rPr>
            </w:pPr>
            <w:r w:rsidRPr="006F2A52">
              <w:rPr>
                <w:b/>
                <w:lang w:val="es-ES"/>
              </w:rPr>
              <w:t>Asunto:</w:t>
            </w:r>
            <w:r w:rsidRPr="006F2A52">
              <w:rPr>
                <w:lang w:val="es-ES"/>
              </w:rPr>
              <w:t xml:space="preserve"> Utilización de la banda de frecuencias 51,</w:t>
            </w:r>
            <w:r w:rsidR="00083DD4">
              <w:rPr>
                <w:lang w:val="es-ES"/>
              </w:rPr>
              <w:t>4</w:t>
            </w:r>
            <w:r w:rsidRPr="006F2A52">
              <w:rPr>
                <w:lang w:val="es-ES"/>
              </w:rPr>
              <w:t xml:space="preserve">-52,4 por las estaciones terrenas de cabecera que transmiten a sistemas del servicio fijo por satélite (SFS) en órbitas de satélites no geoestacionarias (no OSG) (Tierra-espacio) </w:t>
            </w:r>
          </w:p>
        </w:tc>
      </w:tr>
      <w:tr w:rsidR="002A0AA1" w:rsidRPr="006F2A52" w14:paraId="2894AFC3" w14:textId="77777777" w:rsidTr="007C1CAE">
        <w:trPr>
          <w:cantSplit/>
        </w:trPr>
        <w:tc>
          <w:tcPr>
            <w:tcW w:w="9072" w:type="dxa"/>
            <w:gridSpan w:val="2"/>
            <w:tcBorders>
              <w:top w:val="nil"/>
              <w:left w:val="nil"/>
              <w:bottom w:val="single" w:sz="4" w:space="0" w:color="auto"/>
              <w:right w:val="nil"/>
            </w:tcBorders>
          </w:tcPr>
          <w:p w14:paraId="6DA686F7" w14:textId="21D401F8" w:rsidR="002A0AA1" w:rsidRPr="006F2A52" w:rsidRDefault="002A0AA1" w:rsidP="002A0AA1">
            <w:pPr>
              <w:keepNext/>
              <w:spacing w:after="120"/>
              <w:rPr>
                <w:rFonts w:eastAsia="SimSun"/>
                <w:b/>
                <w:i/>
                <w:color w:val="000000"/>
                <w:lang w:val="es-ES" w:eastAsia="zh-CN"/>
              </w:rPr>
            </w:pPr>
            <w:r w:rsidRPr="006F2A52">
              <w:rPr>
                <w:b/>
                <w:bCs/>
                <w:lang w:val="es-ES"/>
              </w:rPr>
              <w:t>Origen:</w:t>
            </w:r>
            <w:r w:rsidRPr="006F2A52">
              <w:rPr>
                <w:rFonts w:eastAsia="SimSun"/>
                <w:b/>
                <w:bCs/>
                <w:lang w:val="es-ES" w:eastAsia="zh-CN"/>
              </w:rPr>
              <w:t xml:space="preserve"> </w:t>
            </w:r>
            <w:r w:rsidRPr="006F2A52">
              <w:rPr>
                <w:szCs w:val="24"/>
                <w:lang w:val="es-ES"/>
              </w:rPr>
              <w:t>India (República de)</w:t>
            </w:r>
          </w:p>
        </w:tc>
      </w:tr>
      <w:tr w:rsidR="002A0AA1" w:rsidRPr="006F2A52" w14:paraId="24FC2B52" w14:textId="77777777" w:rsidTr="007C1CAE">
        <w:trPr>
          <w:cantSplit/>
        </w:trPr>
        <w:tc>
          <w:tcPr>
            <w:tcW w:w="9072" w:type="dxa"/>
            <w:gridSpan w:val="2"/>
            <w:tcBorders>
              <w:top w:val="single" w:sz="4" w:space="0" w:color="auto"/>
              <w:left w:val="nil"/>
              <w:bottom w:val="single" w:sz="4" w:space="0" w:color="auto"/>
              <w:right w:val="nil"/>
            </w:tcBorders>
          </w:tcPr>
          <w:p w14:paraId="6B279365" w14:textId="77777777" w:rsidR="002A0AA1" w:rsidRPr="006F2A52" w:rsidRDefault="002A0AA1" w:rsidP="007C1CAE">
            <w:pPr>
              <w:keepNext/>
              <w:spacing w:after="120"/>
              <w:rPr>
                <w:b/>
                <w:i/>
                <w:color w:val="000000"/>
                <w:lang w:val="es-ES"/>
              </w:rPr>
            </w:pPr>
            <w:r w:rsidRPr="006F2A52">
              <w:rPr>
                <w:b/>
                <w:i/>
                <w:color w:val="000000"/>
                <w:lang w:val="es-ES"/>
              </w:rPr>
              <w:t>Propuesta</w:t>
            </w:r>
            <w:r w:rsidRPr="006F2A52">
              <w:rPr>
                <w:b/>
                <w:iCs/>
                <w:color w:val="000000"/>
                <w:lang w:val="es-ES"/>
              </w:rPr>
              <w:t>:</w:t>
            </w:r>
          </w:p>
          <w:p w14:paraId="684E7570" w14:textId="701A8C54" w:rsidR="002A0AA1" w:rsidRPr="008F7315" w:rsidRDefault="002A0AA1" w:rsidP="007C1CAE">
            <w:pPr>
              <w:keepNext/>
              <w:spacing w:after="120"/>
              <w:rPr>
                <w:color w:val="000000" w:themeColor="text1"/>
                <w:szCs w:val="22"/>
                <w:lang w:val="es-ES"/>
              </w:rPr>
            </w:pPr>
            <w:r w:rsidRPr="006F2A52">
              <w:rPr>
                <w:color w:val="000000" w:themeColor="text1"/>
                <w:szCs w:val="22"/>
                <w:lang w:val="es-ES"/>
              </w:rPr>
              <w:t>llevar a cabo estudios relativos a la utilización de la banda de frecuencias 51,</w:t>
            </w:r>
            <w:r w:rsidR="00083DD4">
              <w:rPr>
                <w:color w:val="000000" w:themeColor="text1"/>
                <w:szCs w:val="22"/>
                <w:lang w:val="es-ES"/>
              </w:rPr>
              <w:t>4</w:t>
            </w:r>
            <w:r w:rsidRPr="006F2A52">
              <w:rPr>
                <w:color w:val="000000" w:themeColor="text1"/>
                <w:szCs w:val="22"/>
                <w:lang w:val="es-ES"/>
              </w:rPr>
              <w:t>-52,4 GHz para permitir el funcionamiento de estaciones terrenas de cabecera que transmiten a sistemas del SFS no OSG (Tierra-espacio)</w:t>
            </w:r>
          </w:p>
        </w:tc>
      </w:tr>
      <w:tr w:rsidR="002A0AA1" w:rsidRPr="006F2A52" w14:paraId="5232FF3C" w14:textId="77777777" w:rsidTr="007C1CAE">
        <w:trPr>
          <w:cantSplit/>
        </w:trPr>
        <w:tc>
          <w:tcPr>
            <w:tcW w:w="9072" w:type="dxa"/>
            <w:gridSpan w:val="2"/>
            <w:tcBorders>
              <w:top w:val="single" w:sz="4" w:space="0" w:color="auto"/>
              <w:left w:val="nil"/>
              <w:bottom w:val="single" w:sz="4" w:space="0" w:color="auto"/>
              <w:right w:val="nil"/>
            </w:tcBorders>
          </w:tcPr>
          <w:p w14:paraId="7916B643" w14:textId="77777777" w:rsidR="002A0AA1" w:rsidRPr="006F2A52" w:rsidRDefault="002A0AA1" w:rsidP="00A2630D">
            <w:pPr>
              <w:keepNext/>
              <w:spacing w:after="120"/>
              <w:rPr>
                <w:i/>
                <w:iCs/>
                <w:lang w:val="es-ES"/>
              </w:rPr>
            </w:pPr>
            <w:r w:rsidRPr="006F2A52">
              <w:rPr>
                <w:b/>
                <w:bCs/>
                <w:i/>
                <w:lang w:val="es-ES"/>
              </w:rPr>
              <w:t>Antecedentes/</w:t>
            </w:r>
            <w:r w:rsidRPr="006F2A52">
              <w:rPr>
                <w:b/>
                <w:i/>
                <w:szCs w:val="22"/>
                <w:lang w:val="es-ES"/>
              </w:rPr>
              <w:t xml:space="preserve"> razones</w:t>
            </w:r>
            <w:r w:rsidRPr="006F2A52">
              <w:rPr>
                <w:i/>
                <w:iCs/>
                <w:lang w:val="es-ES"/>
              </w:rPr>
              <w:t>:</w:t>
            </w:r>
          </w:p>
          <w:p w14:paraId="000EBD5C" w14:textId="600DB084" w:rsidR="00E1003E" w:rsidRPr="006F2A52" w:rsidRDefault="00E1003E" w:rsidP="007C1CAE">
            <w:pPr>
              <w:rPr>
                <w:bCs/>
                <w:szCs w:val="22"/>
                <w:lang w:val="es-ES"/>
              </w:rPr>
            </w:pPr>
            <w:r w:rsidRPr="006F2A52">
              <w:rPr>
                <w:bCs/>
                <w:szCs w:val="22"/>
                <w:lang w:val="es-ES"/>
              </w:rPr>
              <w:t xml:space="preserve">La necesidad de espectro SFS adicional en la gama de frecuencias de 50 GHz para los enlaces ascendentes de las cabeceras del SFS no OSG se estableció en una respuesta parcial al tema 9.1.9 del punto 9.1 del orden del día de la CMR-19 en el Informe </w:t>
            </w:r>
            <w:hyperlink r:id="rId14" w:history="1">
              <w:r w:rsidR="00571A7D">
                <w:rPr>
                  <w:rStyle w:val="Hyperlink"/>
                </w:rPr>
                <w:t>UIT-R S.2461</w:t>
              </w:r>
            </w:hyperlink>
            <w:r w:rsidRPr="006F2A52">
              <w:rPr>
                <w:bCs/>
                <w:szCs w:val="22"/>
                <w:lang w:val="es-ES"/>
              </w:rPr>
              <w:t>. Estos estudios incluyeron la necesidad de espectro para las redes del SFS OSG y no OSG.</w:t>
            </w:r>
          </w:p>
          <w:p w14:paraId="72042CD8" w14:textId="3D5CFEC6" w:rsidR="00E1003E" w:rsidRPr="006F2A52" w:rsidRDefault="00E1003E" w:rsidP="007C1CAE">
            <w:pPr>
              <w:rPr>
                <w:bCs/>
                <w:szCs w:val="22"/>
                <w:lang w:val="es-ES"/>
              </w:rPr>
            </w:pPr>
            <w:r w:rsidRPr="006F2A52">
              <w:rPr>
                <w:bCs/>
                <w:szCs w:val="22"/>
                <w:lang w:val="es-ES"/>
              </w:rPr>
              <w:t xml:space="preserve">Las necesidades de espectro </w:t>
            </w:r>
            <w:r w:rsidR="00547617">
              <w:rPr>
                <w:bCs/>
                <w:szCs w:val="22"/>
                <w:lang w:val="es-ES"/>
              </w:rPr>
              <w:t>para los sistemas</w:t>
            </w:r>
            <w:r w:rsidRPr="006F2A52">
              <w:rPr>
                <w:bCs/>
                <w:szCs w:val="22"/>
                <w:lang w:val="es-ES"/>
              </w:rPr>
              <w:t xml:space="preserve"> OSG se solucionaron con la atribución de los enlaces de conexión</w:t>
            </w:r>
            <w:r w:rsidR="00547617">
              <w:rPr>
                <w:bCs/>
                <w:szCs w:val="22"/>
                <w:lang w:val="es-ES"/>
              </w:rPr>
              <w:t xml:space="preserve"> de los sistemas</w:t>
            </w:r>
            <w:r w:rsidRPr="006F2A52">
              <w:rPr>
                <w:bCs/>
                <w:szCs w:val="22"/>
                <w:lang w:val="es-ES"/>
              </w:rPr>
              <w:t xml:space="preserve"> OSG por la CMR-19.</w:t>
            </w:r>
            <w:r w:rsidRPr="006F2A52">
              <w:rPr>
                <w:lang w:val="es-ES"/>
              </w:rPr>
              <w:t xml:space="preserve"> </w:t>
            </w:r>
            <w:r w:rsidRPr="006F2A52">
              <w:rPr>
                <w:bCs/>
                <w:szCs w:val="22"/>
                <w:lang w:val="es-ES"/>
              </w:rPr>
              <w:t xml:space="preserve">En el tema 9.1.9 del punto 9.1 del orden del día, la CMR-19 añadió el SFS (Tierra-espacio) como atribución primaria en la banda de frecuencias 51,4-52,4 </w:t>
            </w:r>
            <w:r w:rsidR="00D95A3A" w:rsidRPr="006F2A52">
              <w:rPr>
                <w:bCs/>
                <w:szCs w:val="22"/>
                <w:lang w:val="es-ES"/>
              </w:rPr>
              <w:t>GHz</w:t>
            </w:r>
            <w:r w:rsidR="00D95A3A">
              <w:rPr>
                <w:bCs/>
                <w:szCs w:val="22"/>
                <w:lang w:val="es-ES"/>
              </w:rPr>
              <w:t xml:space="preserve">, </w:t>
            </w:r>
            <w:r w:rsidR="00D95A3A" w:rsidRPr="006F2A52">
              <w:rPr>
                <w:bCs/>
                <w:szCs w:val="22"/>
                <w:lang w:val="es-ES"/>
              </w:rPr>
              <w:t>limitada</w:t>
            </w:r>
            <w:r w:rsidRPr="006F2A52">
              <w:rPr>
                <w:bCs/>
                <w:szCs w:val="22"/>
                <w:lang w:val="es-ES"/>
              </w:rPr>
              <w:t xml:space="preserve"> a los enlaces de conexión de las redes OSG con un tamaño de antena mínimo de la estación terrena de 2,4 m con arreglo al número </w:t>
            </w:r>
            <w:r w:rsidRPr="006F2A52">
              <w:rPr>
                <w:b/>
                <w:bCs/>
                <w:szCs w:val="22"/>
                <w:lang w:val="es-ES"/>
              </w:rPr>
              <w:t>5.555C</w:t>
            </w:r>
            <w:r w:rsidRPr="006F2A52">
              <w:rPr>
                <w:bCs/>
                <w:szCs w:val="22"/>
                <w:lang w:val="es-ES"/>
              </w:rPr>
              <w:t xml:space="preserve"> del RR.</w:t>
            </w:r>
          </w:p>
          <w:p w14:paraId="7E20FA65" w14:textId="071F8EFF" w:rsidR="002A0AA1" w:rsidRPr="006F2A52" w:rsidRDefault="00B9029A" w:rsidP="00B9029A">
            <w:pPr>
              <w:pStyle w:val="NormalAfter6pt"/>
              <w:framePr w:hSpace="0" w:wrap="auto" w:vAnchor="margin" w:xAlign="left" w:yAlign="inline"/>
              <w:suppressOverlap w:val="0"/>
              <w:rPr>
                <w:b/>
                <w:iCs/>
                <w:lang w:val="es-ES"/>
              </w:rPr>
            </w:pPr>
            <w:r w:rsidRPr="006F2A52">
              <w:rPr>
                <w:rFonts w:eastAsia="Times New Roman"/>
                <w:bCs/>
                <w:color w:val="auto"/>
                <w:szCs w:val="22"/>
                <w:lang w:val="es-ES"/>
              </w:rPr>
              <w:t xml:space="preserve">Ha llegado el momento de que el UIT-R considere la posibilidad de ampliar la utilización de la banda del SFS (Tierra-espacio) en la banda de frecuencias 51,4-52,4 GHz para atender las necesidades de espectro de los sistemas del SFS no OSG, de acuerdo con las necesidades de espectro identificadas en el Informe </w:t>
            </w:r>
            <w:hyperlink r:id="rId15" w:history="1">
              <w:r w:rsidR="00571A7D" w:rsidRPr="00571A7D">
                <w:rPr>
                  <w:rStyle w:val="Hyperlink"/>
                  <w:lang w:val="es-ES"/>
                </w:rPr>
                <w:t>UIT-R S.2461</w:t>
              </w:r>
            </w:hyperlink>
            <w:r w:rsidRPr="006F2A52">
              <w:rPr>
                <w:rFonts w:eastAsia="Times New Roman"/>
                <w:bCs/>
                <w:color w:val="auto"/>
                <w:szCs w:val="22"/>
                <w:lang w:val="es-ES"/>
              </w:rPr>
              <w:t xml:space="preserve">. Será necesario revisar el número </w:t>
            </w:r>
            <w:r w:rsidRPr="005C5974">
              <w:rPr>
                <w:rFonts w:eastAsia="Times New Roman"/>
                <w:b/>
                <w:bCs/>
                <w:color w:val="auto"/>
                <w:szCs w:val="22"/>
                <w:lang w:val="es-ES"/>
              </w:rPr>
              <w:t>5.555C</w:t>
            </w:r>
            <w:r w:rsidRPr="006F2A52">
              <w:rPr>
                <w:rFonts w:eastAsia="Times New Roman"/>
                <w:bCs/>
                <w:color w:val="auto"/>
                <w:szCs w:val="22"/>
                <w:lang w:val="es-ES"/>
              </w:rPr>
              <w:t xml:space="preserve"> del RR para tener en cuenta las disposiciones reglamentarias conexas para dar cabida a la utilización del SFS no OSG (Tierra-espacio) en la banda de frecuencias 51,4-52,4 GHz para las estaciones terrenas de cabecera.</w:t>
            </w:r>
            <w:r w:rsidRPr="006F2A52">
              <w:rPr>
                <w:lang w:val="es-ES"/>
              </w:rPr>
              <w:t xml:space="preserve"> </w:t>
            </w:r>
            <w:r w:rsidRPr="006F2A52">
              <w:rPr>
                <w:rFonts w:eastAsia="Times New Roman"/>
                <w:bCs/>
                <w:color w:val="auto"/>
                <w:szCs w:val="22"/>
                <w:lang w:val="es-ES"/>
              </w:rPr>
              <w:t xml:space="preserve">En los estudios se tendrán en cuenta otros servicios, incluidos los enlaces ascendentes de cabecera del SFS OSG, y el análisis tendrá en cuenta la posibilidad de compartición con las utilizaciones existentes de la banda. También podría considerarse la posible inclusión de la banda de frecuencias 51,4-52,4 GHz en el alcance de las Resoluciones </w:t>
            </w:r>
            <w:r w:rsidRPr="005C5974">
              <w:rPr>
                <w:rFonts w:eastAsia="Times New Roman"/>
                <w:b/>
                <w:bCs/>
                <w:color w:val="auto"/>
                <w:szCs w:val="22"/>
                <w:lang w:val="es-ES"/>
              </w:rPr>
              <w:t>769</w:t>
            </w:r>
            <w:r w:rsidR="00571A7D">
              <w:rPr>
                <w:rFonts w:eastAsia="Times New Roman"/>
                <w:b/>
                <w:bCs/>
                <w:color w:val="auto"/>
                <w:szCs w:val="22"/>
                <w:lang w:val="es-ES"/>
              </w:rPr>
              <w:t> </w:t>
            </w:r>
            <w:r w:rsidRPr="005C5974">
              <w:rPr>
                <w:rFonts w:eastAsia="Times New Roman"/>
                <w:b/>
                <w:bCs/>
                <w:color w:val="auto"/>
                <w:szCs w:val="22"/>
                <w:lang w:val="es-ES"/>
              </w:rPr>
              <w:t>(CMR-19)</w:t>
            </w:r>
            <w:r w:rsidRPr="006F2A52">
              <w:rPr>
                <w:rFonts w:eastAsia="Times New Roman"/>
                <w:bCs/>
                <w:color w:val="auto"/>
                <w:szCs w:val="22"/>
                <w:lang w:val="es-ES"/>
              </w:rPr>
              <w:t xml:space="preserve"> y </w:t>
            </w:r>
            <w:r w:rsidRPr="005C5974">
              <w:rPr>
                <w:rFonts w:eastAsia="Times New Roman"/>
                <w:b/>
                <w:bCs/>
                <w:color w:val="auto"/>
                <w:szCs w:val="22"/>
                <w:lang w:val="es-ES"/>
              </w:rPr>
              <w:t>770 (CMR-19)</w:t>
            </w:r>
            <w:r w:rsidRPr="006F2A52">
              <w:rPr>
                <w:rFonts w:eastAsia="Times New Roman"/>
                <w:bCs/>
                <w:color w:val="auto"/>
                <w:szCs w:val="22"/>
                <w:lang w:val="es-ES"/>
              </w:rPr>
              <w:t xml:space="preserve"> para garantizar la protección de las redes de satélites </w:t>
            </w:r>
            <w:r w:rsidR="00D95A3A" w:rsidRPr="006F2A52">
              <w:rPr>
                <w:rFonts w:eastAsia="Times New Roman"/>
                <w:bCs/>
                <w:color w:val="auto"/>
                <w:szCs w:val="22"/>
                <w:lang w:val="es-ES"/>
              </w:rPr>
              <w:t>geoestacionarios.</w:t>
            </w:r>
          </w:p>
        </w:tc>
      </w:tr>
      <w:tr w:rsidR="002A0AA1" w:rsidRPr="006F2A52" w14:paraId="0AA791F3" w14:textId="77777777" w:rsidTr="007C1CAE">
        <w:trPr>
          <w:cantSplit/>
        </w:trPr>
        <w:tc>
          <w:tcPr>
            <w:tcW w:w="9072" w:type="dxa"/>
            <w:gridSpan w:val="2"/>
            <w:tcBorders>
              <w:top w:val="single" w:sz="4" w:space="0" w:color="auto"/>
              <w:left w:val="nil"/>
              <w:bottom w:val="single" w:sz="4" w:space="0" w:color="auto"/>
              <w:right w:val="nil"/>
            </w:tcBorders>
          </w:tcPr>
          <w:p w14:paraId="48D0A877" w14:textId="7A1E27B8" w:rsidR="008F7315" w:rsidRPr="006F2A52" w:rsidRDefault="008F7315" w:rsidP="007C1CAE">
            <w:pPr>
              <w:keepNext/>
              <w:spacing w:after="120"/>
              <w:rPr>
                <w:rFonts w:eastAsia="Calibri"/>
                <w:b/>
                <w:bCs/>
                <w:i/>
                <w:iCs/>
                <w:color w:val="000000"/>
                <w:szCs w:val="24"/>
                <w:lang w:val="es-ES"/>
              </w:rPr>
            </w:pPr>
            <w:r w:rsidRPr="006F2A52">
              <w:rPr>
                <w:b/>
                <w:i/>
                <w:color w:val="000000"/>
                <w:szCs w:val="24"/>
                <w:lang w:val="es-ES"/>
              </w:rPr>
              <w:t xml:space="preserve">Servicios de radiocomunicaciones </w:t>
            </w:r>
            <w:r w:rsidRPr="006F2A52">
              <w:rPr>
                <w:b/>
                <w:i/>
                <w:color w:val="000000"/>
                <w:szCs w:val="22"/>
                <w:lang w:val="es-ES"/>
              </w:rPr>
              <w:t>involucrados</w:t>
            </w:r>
            <w:r w:rsidRPr="006F2A52">
              <w:rPr>
                <w:rFonts w:eastAsia="Calibri"/>
                <w:i/>
                <w:iCs/>
                <w:color w:val="000000"/>
                <w:szCs w:val="24"/>
                <w:lang w:val="es-ES"/>
              </w:rPr>
              <w:t>:</w:t>
            </w:r>
          </w:p>
          <w:p w14:paraId="2076DA76" w14:textId="3723B89D" w:rsidR="002A0AA1" w:rsidRPr="006F2A52" w:rsidRDefault="00B9029A" w:rsidP="007C1CAE">
            <w:pPr>
              <w:keepNext/>
              <w:spacing w:after="120"/>
              <w:rPr>
                <w:b/>
                <w:iCs/>
                <w:lang w:val="es-ES"/>
              </w:rPr>
            </w:pPr>
            <w:r w:rsidRPr="006F2A52">
              <w:rPr>
                <w:bCs/>
                <w:iCs/>
                <w:color w:val="000000"/>
                <w:szCs w:val="22"/>
                <w:lang w:val="es-ES"/>
              </w:rPr>
              <w:t>Los servicios de radiocomunicaciones afectados en la banda de frecuencias 51,4-52,4 GHz.</w:t>
            </w:r>
          </w:p>
        </w:tc>
      </w:tr>
      <w:tr w:rsidR="002A0AA1" w:rsidRPr="006F2A52" w14:paraId="08C7C178" w14:textId="77777777" w:rsidTr="007C1CAE">
        <w:trPr>
          <w:cantSplit/>
        </w:trPr>
        <w:tc>
          <w:tcPr>
            <w:tcW w:w="9072" w:type="dxa"/>
            <w:gridSpan w:val="2"/>
            <w:tcBorders>
              <w:top w:val="single" w:sz="4" w:space="0" w:color="auto"/>
              <w:left w:val="nil"/>
              <w:bottom w:val="single" w:sz="4" w:space="0" w:color="auto"/>
              <w:right w:val="nil"/>
            </w:tcBorders>
          </w:tcPr>
          <w:p w14:paraId="17C13923" w14:textId="77777777" w:rsidR="002A0AA1" w:rsidRPr="006F2A52" w:rsidRDefault="002A0AA1" w:rsidP="00B9029A">
            <w:pPr>
              <w:keepNext/>
              <w:spacing w:after="120"/>
              <w:rPr>
                <w:rFonts w:eastAsia="Calibri"/>
                <w:bCs/>
                <w:iCs/>
                <w:color w:val="000000"/>
                <w:szCs w:val="24"/>
                <w:lang w:val="es-ES"/>
              </w:rPr>
            </w:pPr>
            <w:r w:rsidRPr="006F2A52">
              <w:rPr>
                <w:b/>
                <w:i/>
                <w:color w:val="000000"/>
                <w:szCs w:val="24"/>
                <w:lang w:val="es-ES"/>
              </w:rPr>
              <w:lastRenderedPageBreak/>
              <w:t>Indicación de posibles dificultades</w:t>
            </w:r>
            <w:r w:rsidRPr="006F2A52">
              <w:rPr>
                <w:rFonts w:eastAsia="Calibri"/>
                <w:i/>
                <w:iCs/>
                <w:color w:val="000000"/>
                <w:szCs w:val="24"/>
                <w:lang w:val="es-ES"/>
              </w:rPr>
              <w:t>:</w:t>
            </w:r>
            <w:r w:rsidRPr="006F2A52">
              <w:rPr>
                <w:rFonts w:eastAsia="Calibri"/>
                <w:bCs/>
                <w:iCs/>
                <w:color w:val="000000"/>
                <w:szCs w:val="24"/>
                <w:lang w:val="es-ES"/>
              </w:rPr>
              <w:t xml:space="preserve"> </w:t>
            </w:r>
          </w:p>
          <w:p w14:paraId="5996C9C7" w14:textId="532902AB" w:rsidR="00B9029A" w:rsidRPr="006F2A52" w:rsidRDefault="00B9029A" w:rsidP="00B9029A">
            <w:pPr>
              <w:keepNext/>
              <w:spacing w:after="120"/>
              <w:rPr>
                <w:rFonts w:eastAsia="Calibri"/>
                <w:bCs/>
                <w:iCs/>
                <w:color w:val="000000"/>
                <w:szCs w:val="24"/>
                <w:lang w:val="es-ES"/>
              </w:rPr>
            </w:pPr>
            <w:r w:rsidRPr="006F2A52">
              <w:rPr>
                <w:rFonts w:eastAsia="Calibri"/>
                <w:bCs/>
                <w:iCs/>
                <w:color w:val="000000"/>
                <w:szCs w:val="24"/>
                <w:lang w:val="es-ES"/>
              </w:rPr>
              <w:t>Por definir</w:t>
            </w:r>
          </w:p>
        </w:tc>
      </w:tr>
      <w:tr w:rsidR="002A0AA1" w:rsidRPr="006F2A52" w14:paraId="62B8E6BB" w14:textId="77777777" w:rsidTr="007C1CAE">
        <w:trPr>
          <w:cantSplit/>
        </w:trPr>
        <w:tc>
          <w:tcPr>
            <w:tcW w:w="9072" w:type="dxa"/>
            <w:gridSpan w:val="2"/>
            <w:tcBorders>
              <w:top w:val="single" w:sz="4" w:space="0" w:color="auto"/>
              <w:left w:val="nil"/>
              <w:bottom w:val="single" w:sz="4" w:space="0" w:color="auto"/>
              <w:right w:val="nil"/>
            </w:tcBorders>
          </w:tcPr>
          <w:p w14:paraId="4301E664" w14:textId="77777777" w:rsidR="002A0AA1" w:rsidRPr="006F2A52" w:rsidRDefault="002A0AA1" w:rsidP="00B9029A">
            <w:pPr>
              <w:pStyle w:val="NormalAfter6pt"/>
              <w:framePr w:hSpace="0" w:wrap="auto" w:vAnchor="margin" w:xAlign="left" w:yAlign="inline"/>
              <w:suppressOverlap w:val="0"/>
              <w:rPr>
                <w:bCs/>
                <w:iCs/>
                <w:lang w:val="es-ES"/>
              </w:rPr>
            </w:pPr>
            <w:r w:rsidRPr="006F2A52">
              <w:rPr>
                <w:b/>
                <w:bCs/>
                <w:i/>
                <w:lang w:val="es-ES"/>
              </w:rPr>
              <w:t>Estudios previos/en curso sobre este asunto</w:t>
            </w:r>
            <w:r w:rsidRPr="006F2A52">
              <w:rPr>
                <w:i/>
                <w:iCs/>
                <w:lang w:val="es-ES"/>
              </w:rPr>
              <w:t>:</w:t>
            </w:r>
            <w:r w:rsidRPr="006F2A52">
              <w:rPr>
                <w:bCs/>
                <w:iCs/>
                <w:lang w:val="es-ES"/>
              </w:rPr>
              <w:t xml:space="preserve"> </w:t>
            </w:r>
          </w:p>
          <w:p w14:paraId="7255DAD4" w14:textId="0F64361E" w:rsidR="00B9029A" w:rsidRPr="006F2A52" w:rsidRDefault="00B9029A" w:rsidP="00B9029A">
            <w:pPr>
              <w:pStyle w:val="NormalAfter6pt"/>
              <w:framePr w:hSpace="0" w:wrap="auto" w:vAnchor="margin" w:xAlign="left" w:yAlign="inline"/>
              <w:suppressOverlap w:val="0"/>
              <w:rPr>
                <w:bCs/>
                <w:iCs/>
                <w:lang w:val="es-ES"/>
              </w:rPr>
            </w:pPr>
            <w:r w:rsidRPr="006F2A52">
              <w:rPr>
                <w:bCs/>
                <w:iCs/>
                <w:lang w:val="es-ES"/>
              </w:rPr>
              <w:t>Tema 9.1.9 del punto 9.1 del orden del día de la CMR-19</w:t>
            </w:r>
          </w:p>
        </w:tc>
      </w:tr>
      <w:tr w:rsidR="002A0AA1" w:rsidRPr="006F2A52" w14:paraId="26F54BCD" w14:textId="77777777" w:rsidTr="007C1CAE">
        <w:trPr>
          <w:cantSplit/>
        </w:trPr>
        <w:tc>
          <w:tcPr>
            <w:tcW w:w="4111" w:type="dxa"/>
            <w:tcBorders>
              <w:top w:val="single" w:sz="4" w:space="0" w:color="auto"/>
              <w:left w:val="nil"/>
              <w:bottom w:val="single" w:sz="4" w:space="0" w:color="auto"/>
              <w:right w:val="single" w:sz="4" w:space="0" w:color="auto"/>
            </w:tcBorders>
          </w:tcPr>
          <w:p w14:paraId="6A788D8A" w14:textId="77777777" w:rsidR="002A0AA1" w:rsidRPr="006F2A52" w:rsidRDefault="002A0AA1" w:rsidP="007C1CAE">
            <w:pPr>
              <w:keepNext/>
              <w:spacing w:after="120"/>
              <w:rPr>
                <w:b/>
                <w:i/>
                <w:color w:val="000000"/>
                <w:szCs w:val="24"/>
                <w:lang w:val="es-ES"/>
              </w:rPr>
            </w:pPr>
            <w:r w:rsidRPr="006F2A52">
              <w:rPr>
                <w:b/>
                <w:i/>
                <w:color w:val="000000"/>
                <w:szCs w:val="24"/>
                <w:lang w:val="es-ES"/>
              </w:rPr>
              <w:t>Estudios a realizar por:</w:t>
            </w:r>
          </w:p>
          <w:p w14:paraId="2DDADFC5" w14:textId="0365F65A" w:rsidR="002A0AA1" w:rsidRPr="006F2A52" w:rsidRDefault="00B9029A" w:rsidP="007C1CAE">
            <w:pPr>
              <w:keepNext/>
              <w:spacing w:after="120"/>
              <w:rPr>
                <w:iCs/>
                <w:color w:val="000000"/>
                <w:lang w:val="es-ES"/>
              </w:rPr>
            </w:pPr>
            <w:r w:rsidRPr="006F2A52">
              <w:rPr>
                <w:color w:val="000000"/>
                <w:szCs w:val="24"/>
                <w:lang w:val="es-ES"/>
              </w:rPr>
              <w:t xml:space="preserve">Grupo de </w:t>
            </w:r>
            <w:r w:rsidR="006F2A52" w:rsidRPr="006F2A52">
              <w:rPr>
                <w:color w:val="000000"/>
                <w:szCs w:val="24"/>
                <w:lang w:val="es-ES"/>
              </w:rPr>
              <w:t>Trabajo</w:t>
            </w:r>
            <w:r w:rsidRPr="006F2A52">
              <w:rPr>
                <w:color w:val="000000"/>
                <w:szCs w:val="24"/>
                <w:lang w:val="es-ES"/>
              </w:rPr>
              <w:t xml:space="preserve"> </w:t>
            </w:r>
            <w:r w:rsidR="002A0AA1" w:rsidRPr="006F2A52">
              <w:rPr>
                <w:color w:val="000000"/>
                <w:szCs w:val="24"/>
                <w:lang w:val="es-ES"/>
              </w:rPr>
              <w:t>4A</w:t>
            </w:r>
            <w:r w:rsidRPr="006F2A52">
              <w:rPr>
                <w:color w:val="000000"/>
                <w:szCs w:val="24"/>
                <w:lang w:val="es-ES"/>
              </w:rPr>
              <w:t xml:space="preserve"> del UIT-R</w:t>
            </w:r>
          </w:p>
        </w:tc>
        <w:tc>
          <w:tcPr>
            <w:tcW w:w="4961" w:type="dxa"/>
            <w:tcBorders>
              <w:top w:val="single" w:sz="4" w:space="0" w:color="auto"/>
              <w:left w:val="single" w:sz="4" w:space="0" w:color="auto"/>
              <w:bottom w:val="single" w:sz="4" w:space="0" w:color="auto"/>
              <w:right w:val="nil"/>
            </w:tcBorders>
          </w:tcPr>
          <w:p w14:paraId="40C74CFA" w14:textId="77777777" w:rsidR="002A0AA1" w:rsidRPr="006F2A52" w:rsidRDefault="002A0AA1" w:rsidP="007C1CAE">
            <w:pPr>
              <w:keepNext/>
              <w:spacing w:after="120"/>
              <w:rPr>
                <w:b/>
                <w:i/>
                <w:color w:val="000000"/>
                <w:szCs w:val="24"/>
                <w:lang w:val="es-ES"/>
              </w:rPr>
            </w:pPr>
            <w:r w:rsidRPr="006F2A52">
              <w:rPr>
                <w:b/>
                <w:i/>
                <w:color w:val="000000"/>
                <w:szCs w:val="24"/>
                <w:lang w:val="es-ES"/>
              </w:rPr>
              <w:t>con la participación de:</w:t>
            </w:r>
          </w:p>
          <w:p w14:paraId="38E0E671" w14:textId="3D9B1E03" w:rsidR="002A0AA1" w:rsidRPr="006F2A52" w:rsidRDefault="00B9029A" w:rsidP="005C5974">
            <w:pPr>
              <w:keepNext/>
              <w:spacing w:after="120"/>
              <w:rPr>
                <w:b/>
                <w:iCs/>
                <w:color w:val="000000"/>
                <w:lang w:val="es-ES"/>
              </w:rPr>
            </w:pPr>
            <w:r w:rsidRPr="006F2A52">
              <w:rPr>
                <w:szCs w:val="24"/>
                <w:lang w:val="es-ES"/>
              </w:rPr>
              <w:t>Otros Grupos de Trabajo, las a</w:t>
            </w:r>
            <w:r w:rsidR="002A0AA1" w:rsidRPr="006F2A52">
              <w:rPr>
                <w:szCs w:val="24"/>
                <w:lang w:val="es-ES"/>
              </w:rPr>
              <w:t xml:space="preserve">dministraciones y </w:t>
            </w:r>
            <w:r w:rsidRPr="006F2A52">
              <w:rPr>
                <w:szCs w:val="24"/>
                <w:lang w:val="es-ES"/>
              </w:rPr>
              <w:t xml:space="preserve">los Miembros de Sector </w:t>
            </w:r>
            <w:r w:rsidR="002A0AA1" w:rsidRPr="006F2A52">
              <w:rPr>
                <w:szCs w:val="24"/>
                <w:lang w:val="es-ES"/>
              </w:rPr>
              <w:t>del UIT-R</w:t>
            </w:r>
            <w:r w:rsidRPr="006F2A52">
              <w:rPr>
                <w:szCs w:val="24"/>
                <w:lang w:val="es-ES"/>
              </w:rPr>
              <w:t xml:space="preserve"> pertinentes</w:t>
            </w:r>
          </w:p>
        </w:tc>
      </w:tr>
      <w:tr w:rsidR="002A0AA1" w:rsidRPr="006F2A52" w14:paraId="2AA7B00C" w14:textId="77777777" w:rsidTr="007C1CAE">
        <w:trPr>
          <w:cantSplit/>
        </w:trPr>
        <w:tc>
          <w:tcPr>
            <w:tcW w:w="9072" w:type="dxa"/>
            <w:gridSpan w:val="2"/>
            <w:tcBorders>
              <w:top w:val="single" w:sz="4" w:space="0" w:color="auto"/>
              <w:left w:val="nil"/>
              <w:bottom w:val="single" w:sz="4" w:space="0" w:color="auto"/>
              <w:right w:val="nil"/>
            </w:tcBorders>
          </w:tcPr>
          <w:p w14:paraId="2B69CDA4" w14:textId="77777777" w:rsidR="002A0AA1" w:rsidRPr="006F2A52" w:rsidRDefault="002A0AA1" w:rsidP="007C1CAE">
            <w:pPr>
              <w:keepNext/>
              <w:spacing w:after="120"/>
              <w:rPr>
                <w:b/>
                <w:i/>
                <w:color w:val="000000"/>
                <w:szCs w:val="24"/>
                <w:lang w:val="es-ES"/>
              </w:rPr>
            </w:pPr>
            <w:r w:rsidRPr="006F2A52">
              <w:rPr>
                <w:b/>
                <w:i/>
                <w:color w:val="000000"/>
                <w:szCs w:val="24"/>
                <w:lang w:val="es-ES"/>
              </w:rPr>
              <w:t>Comisiones de Estudio del UIT-R involucradas:</w:t>
            </w:r>
          </w:p>
          <w:p w14:paraId="1502E213" w14:textId="6B9FCE02" w:rsidR="002A0AA1" w:rsidRPr="006F2A52" w:rsidRDefault="00B9029A" w:rsidP="007C1CAE">
            <w:pPr>
              <w:keepNext/>
              <w:spacing w:after="120"/>
              <w:rPr>
                <w:b/>
                <w:iCs/>
                <w:lang w:val="es-ES"/>
              </w:rPr>
            </w:pPr>
            <w:r w:rsidRPr="006F2A52">
              <w:rPr>
                <w:color w:val="000000"/>
                <w:szCs w:val="24"/>
                <w:lang w:val="es-ES"/>
              </w:rPr>
              <w:t>Comisiones de Estudio 4, 5 y 7 del UIT-R</w:t>
            </w:r>
          </w:p>
        </w:tc>
      </w:tr>
      <w:tr w:rsidR="002A0AA1" w:rsidRPr="006F2A52" w14:paraId="7CD6ADCC" w14:textId="77777777" w:rsidTr="007C1CAE">
        <w:trPr>
          <w:cantSplit/>
        </w:trPr>
        <w:tc>
          <w:tcPr>
            <w:tcW w:w="9072" w:type="dxa"/>
            <w:gridSpan w:val="2"/>
            <w:tcBorders>
              <w:top w:val="single" w:sz="4" w:space="0" w:color="auto"/>
              <w:left w:val="nil"/>
              <w:bottom w:val="single" w:sz="4" w:space="0" w:color="auto"/>
              <w:right w:val="nil"/>
            </w:tcBorders>
          </w:tcPr>
          <w:p w14:paraId="7E197839" w14:textId="77777777" w:rsidR="002A0AA1" w:rsidRPr="006F2A52" w:rsidRDefault="002A0AA1" w:rsidP="007C1CAE">
            <w:pPr>
              <w:keepNext/>
              <w:spacing w:after="120"/>
              <w:rPr>
                <w:b/>
                <w:lang w:val="es-ES"/>
              </w:rPr>
            </w:pPr>
            <w:r w:rsidRPr="006F2A52">
              <w:rPr>
                <w:b/>
                <w:bCs/>
                <w:i/>
                <w:color w:val="000000"/>
                <w:szCs w:val="22"/>
                <w:lang w:val="es-ES" w:eastAsia="x-none"/>
              </w:rPr>
              <w:t>Implicaciones de recursos de la UIT, incluyendo implicaciones financieras (ver CV126)</w:t>
            </w:r>
            <w:r w:rsidRPr="006F2A52">
              <w:rPr>
                <w:b/>
                <w:i/>
                <w:iCs/>
                <w:color w:val="000000"/>
                <w:szCs w:val="22"/>
                <w:lang w:val="es-ES" w:eastAsia="x-none"/>
              </w:rPr>
              <w:t>:</w:t>
            </w:r>
          </w:p>
          <w:p w14:paraId="322627EE" w14:textId="1BA98044" w:rsidR="002A0AA1" w:rsidRPr="006F2A52" w:rsidRDefault="00B9029A" w:rsidP="007C1CAE">
            <w:pPr>
              <w:keepNext/>
              <w:spacing w:after="120"/>
              <w:rPr>
                <w:b/>
                <w:iCs/>
                <w:lang w:val="es-ES"/>
              </w:rPr>
            </w:pPr>
            <w:r w:rsidRPr="006F2A52">
              <w:rPr>
                <w:iCs/>
                <w:color w:val="000000"/>
                <w:szCs w:val="22"/>
                <w:lang w:val="es-ES" w:eastAsia="x-none"/>
              </w:rPr>
              <w:t>No se han identificado hasta la fecha implicaciones financieras directas</w:t>
            </w:r>
            <w:r w:rsidR="002A0AA1" w:rsidRPr="006F2A52">
              <w:rPr>
                <w:iCs/>
                <w:color w:val="000000"/>
                <w:szCs w:val="22"/>
                <w:lang w:val="es-ES" w:eastAsia="x-none"/>
              </w:rPr>
              <w:t>.</w:t>
            </w:r>
          </w:p>
        </w:tc>
      </w:tr>
      <w:tr w:rsidR="002A0AA1" w:rsidRPr="006F2A52" w14:paraId="0C3D67F7" w14:textId="77777777" w:rsidTr="007C1CAE">
        <w:trPr>
          <w:cantSplit/>
        </w:trPr>
        <w:tc>
          <w:tcPr>
            <w:tcW w:w="4111" w:type="dxa"/>
            <w:tcBorders>
              <w:top w:val="single" w:sz="4" w:space="0" w:color="auto"/>
              <w:left w:val="nil"/>
              <w:bottom w:val="single" w:sz="4" w:space="0" w:color="auto"/>
              <w:right w:val="nil"/>
            </w:tcBorders>
          </w:tcPr>
          <w:p w14:paraId="52D6713B" w14:textId="7E50DF96" w:rsidR="002A0AA1" w:rsidRPr="006F2A52" w:rsidRDefault="002A0AA1" w:rsidP="00B9029A">
            <w:pPr>
              <w:keepNext/>
              <w:keepLines/>
              <w:spacing w:after="120"/>
              <w:rPr>
                <w:b/>
                <w:iCs/>
                <w:lang w:val="es-ES"/>
              </w:rPr>
            </w:pPr>
            <w:r w:rsidRPr="006F2A52">
              <w:rPr>
                <w:b/>
                <w:i/>
                <w:color w:val="000000"/>
                <w:szCs w:val="22"/>
                <w:lang w:val="es-ES"/>
              </w:rPr>
              <w:t>Propuestas regionales</w:t>
            </w:r>
            <w:r w:rsidRPr="006F2A52">
              <w:rPr>
                <w:b/>
                <w:bCs/>
                <w:i/>
                <w:iCs/>
                <w:color w:val="000000"/>
                <w:szCs w:val="22"/>
                <w:lang w:val="es-ES"/>
              </w:rPr>
              <w:t>:</w:t>
            </w:r>
            <w:r w:rsidRPr="006F2A52">
              <w:rPr>
                <w:color w:val="000000"/>
                <w:szCs w:val="22"/>
                <w:lang w:val="es-ES"/>
              </w:rPr>
              <w:t xml:space="preserve"> No</w:t>
            </w:r>
          </w:p>
        </w:tc>
        <w:tc>
          <w:tcPr>
            <w:tcW w:w="4961" w:type="dxa"/>
            <w:tcBorders>
              <w:top w:val="single" w:sz="4" w:space="0" w:color="auto"/>
              <w:left w:val="nil"/>
              <w:bottom w:val="single" w:sz="4" w:space="0" w:color="auto"/>
              <w:right w:val="nil"/>
            </w:tcBorders>
          </w:tcPr>
          <w:p w14:paraId="07C2C3AC" w14:textId="45A753F9" w:rsidR="002A0AA1" w:rsidRPr="006F2A52" w:rsidRDefault="002A0AA1" w:rsidP="007C1CAE">
            <w:pPr>
              <w:keepNext/>
              <w:keepLines/>
              <w:spacing w:after="120"/>
              <w:rPr>
                <w:b/>
                <w:iCs/>
                <w:lang w:val="es-ES"/>
              </w:rPr>
            </w:pPr>
            <w:r w:rsidRPr="006F2A52">
              <w:rPr>
                <w:b/>
                <w:i/>
                <w:color w:val="000000"/>
                <w:szCs w:val="22"/>
                <w:lang w:val="es-ES"/>
              </w:rPr>
              <w:t>Propuesta multipaís</w:t>
            </w:r>
            <w:r w:rsidRPr="006F2A52">
              <w:rPr>
                <w:b/>
                <w:bCs/>
                <w:i/>
                <w:iCs/>
                <w:color w:val="000000"/>
                <w:szCs w:val="22"/>
                <w:lang w:val="es-ES"/>
              </w:rPr>
              <w:t>:</w:t>
            </w:r>
          </w:p>
          <w:p w14:paraId="55D94BCA" w14:textId="77777777" w:rsidR="002A0AA1" w:rsidRPr="006F2A52" w:rsidRDefault="002A0AA1" w:rsidP="007C1CAE">
            <w:pPr>
              <w:keepNext/>
              <w:keepLines/>
              <w:spacing w:after="120"/>
              <w:rPr>
                <w:b/>
                <w:i/>
                <w:lang w:val="es-ES"/>
              </w:rPr>
            </w:pPr>
            <w:r w:rsidRPr="006F2A52">
              <w:rPr>
                <w:b/>
                <w:i/>
                <w:color w:val="000000"/>
                <w:szCs w:val="24"/>
                <w:lang w:val="es-ES"/>
              </w:rPr>
              <w:t>Número de países:</w:t>
            </w:r>
          </w:p>
        </w:tc>
      </w:tr>
      <w:tr w:rsidR="002A0AA1" w:rsidRPr="006F2A52" w14:paraId="29DC626A" w14:textId="77777777" w:rsidTr="007C1CAE">
        <w:trPr>
          <w:cantSplit/>
        </w:trPr>
        <w:tc>
          <w:tcPr>
            <w:tcW w:w="9072" w:type="dxa"/>
            <w:gridSpan w:val="2"/>
            <w:tcBorders>
              <w:top w:val="single" w:sz="4" w:space="0" w:color="auto"/>
              <w:left w:val="nil"/>
              <w:bottom w:val="nil"/>
              <w:right w:val="nil"/>
            </w:tcBorders>
          </w:tcPr>
          <w:p w14:paraId="2ACA3191" w14:textId="77777777" w:rsidR="002A0AA1" w:rsidRPr="006F2A52" w:rsidRDefault="002A0AA1" w:rsidP="007C1CAE">
            <w:pPr>
              <w:keepNext/>
              <w:keepLines/>
              <w:spacing w:after="120"/>
              <w:rPr>
                <w:b/>
                <w:i/>
                <w:lang w:val="es-ES"/>
              </w:rPr>
            </w:pPr>
            <w:r w:rsidRPr="006F2A52">
              <w:rPr>
                <w:b/>
                <w:i/>
                <w:color w:val="000000"/>
                <w:szCs w:val="24"/>
                <w:lang w:val="es-ES"/>
              </w:rPr>
              <w:t>Comentarios</w:t>
            </w:r>
          </w:p>
        </w:tc>
      </w:tr>
    </w:tbl>
    <w:p w14:paraId="1739EFEA" w14:textId="77777777" w:rsidR="009B5353" w:rsidRDefault="009B5353" w:rsidP="009B5353"/>
    <w:p w14:paraId="24B5AFFD" w14:textId="77777777" w:rsidR="009B5353" w:rsidRDefault="009B5353">
      <w:pPr>
        <w:jc w:val="center"/>
      </w:pPr>
      <w:r>
        <w:t>______________</w:t>
      </w:r>
    </w:p>
    <w:sectPr w:rsidR="009B5353">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90A5" w14:textId="77777777" w:rsidR="00666B37" w:rsidRDefault="00666B37">
      <w:r>
        <w:separator/>
      </w:r>
    </w:p>
  </w:endnote>
  <w:endnote w:type="continuationSeparator" w:id="0">
    <w:p w14:paraId="4FDD3A4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488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F528E0" w14:textId="4EC941B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737AD">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C382" w14:textId="2F30B598" w:rsidR="0077084A" w:rsidRDefault="007D125A" w:rsidP="00FE1831">
    <w:pPr>
      <w:pStyle w:val="Footer"/>
      <w:rPr>
        <w:lang w:val="en-US"/>
      </w:rPr>
    </w:pPr>
    <w:fldSimple w:instr=" FILENAME \p  \* MERGEFORMAT ">
      <w:r w:rsidR="00FE1831">
        <w:t>P:\ESP\ITU-R\CONF-R\CMR23\100\157ADD27ADD01S.docx</w:t>
      </w:r>
    </w:fldSimple>
    <w:r w:rsidR="00FE1831">
      <w:t xml:space="preserve"> </w:t>
    </w:r>
    <w:r w:rsidR="000862E2">
      <w:rPr>
        <w:lang w:val="en-US"/>
      </w:rPr>
      <w:t>(530437)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1C3" w14:textId="19673DA6" w:rsidR="0077084A" w:rsidRPr="000862E2" w:rsidRDefault="007D125A" w:rsidP="00FE1831">
    <w:pPr>
      <w:pStyle w:val="Footer"/>
      <w:rPr>
        <w:lang w:val="en-US"/>
      </w:rPr>
    </w:pPr>
    <w:fldSimple w:instr=" FILENAME \p  \* MERGEFORMAT ">
      <w:r w:rsidR="00FE1831">
        <w:t>P:\ESP\ITU-R\CONF-R\CMR23\100\157ADD27ADD01S.docx</w:t>
      </w:r>
    </w:fldSimple>
    <w:r w:rsidR="000862E2" w:rsidRPr="000862E2">
      <w:rPr>
        <w:lang w:val="en-US"/>
      </w:rPr>
      <w:t xml:space="preserve"> </w:t>
    </w:r>
    <w:r w:rsidR="000862E2">
      <w:rPr>
        <w:lang w:val="en-US"/>
      </w:rPr>
      <w:t>(530437)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5973" w14:textId="77777777" w:rsidR="00666B37" w:rsidRDefault="00666B37">
      <w:r>
        <w:rPr>
          <w:b/>
        </w:rPr>
        <w:t>_______________</w:t>
      </w:r>
    </w:p>
  </w:footnote>
  <w:footnote w:type="continuationSeparator" w:id="0">
    <w:p w14:paraId="3EFDF6BA"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A7EB" w14:textId="579CC05B"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5B63">
      <w:rPr>
        <w:rStyle w:val="PageNumber"/>
        <w:noProof/>
      </w:rPr>
      <w:t>2</w:t>
    </w:r>
    <w:r>
      <w:rPr>
        <w:rStyle w:val="PageNumber"/>
      </w:rPr>
      <w:fldChar w:fldCharType="end"/>
    </w:r>
  </w:p>
  <w:p w14:paraId="6113C23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157(Add.27)(Add.1)-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FB55691"/>
    <w:multiLevelType w:val="hybridMultilevel"/>
    <w:tmpl w:val="40C2D0B6"/>
    <w:lvl w:ilvl="0" w:tplc="D3DE8830">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21163080">
    <w:abstractNumId w:val="8"/>
  </w:num>
  <w:num w:numId="2" w16cid:durableId="152724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1291320">
    <w:abstractNumId w:val="9"/>
  </w:num>
  <w:num w:numId="4" w16cid:durableId="55932949">
    <w:abstractNumId w:val="7"/>
  </w:num>
  <w:num w:numId="5" w16cid:durableId="1903565258">
    <w:abstractNumId w:val="6"/>
  </w:num>
  <w:num w:numId="6" w16cid:durableId="236013235">
    <w:abstractNumId w:val="5"/>
  </w:num>
  <w:num w:numId="7" w16cid:durableId="624581284">
    <w:abstractNumId w:val="4"/>
  </w:num>
  <w:num w:numId="8" w16cid:durableId="1575701270">
    <w:abstractNumId w:val="3"/>
  </w:num>
  <w:num w:numId="9" w16cid:durableId="1596397121">
    <w:abstractNumId w:val="2"/>
  </w:num>
  <w:num w:numId="10" w16cid:durableId="661276755">
    <w:abstractNumId w:val="1"/>
  </w:num>
  <w:num w:numId="11" w16cid:durableId="1215778245">
    <w:abstractNumId w:val="0"/>
  </w:num>
  <w:num w:numId="12" w16cid:durableId="457994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3DD4"/>
    <w:rsid w:val="000862E2"/>
    <w:rsid w:val="00087AE8"/>
    <w:rsid w:val="00091054"/>
    <w:rsid w:val="000A2A7D"/>
    <w:rsid w:val="000A5B9A"/>
    <w:rsid w:val="000E5BF9"/>
    <w:rsid w:val="000F0E6D"/>
    <w:rsid w:val="00121170"/>
    <w:rsid w:val="00123CC5"/>
    <w:rsid w:val="001447F4"/>
    <w:rsid w:val="0015142D"/>
    <w:rsid w:val="001616DC"/>
    <w:rsid w:val="00163962"/>
    <w:rsid w:val="00191A97"/>
    <w:rsid w:val="0019729C"/>
    <w:rsid w:val="001A083F"/>
    <w:rsid w:val="001C41FA"/>
    <w:rsid w:val="001D6A1F"/>
    <w:rsid w:val="001E2B52"/>
    <w:rsid w:val="001E3F27"/>
    <w:rsid w:val="001E7D42"/>
    <w:rsid w:val="0023659C"/>
    <w:rsid w:val="00236D2A"/>
    <w:rsid w:val="0024569E"/>
    <w:rsid w:val="00255F12"/>
    <w:rsid w:val="00262C09"/>
    <w:rsid w:val="002A0AA1"/>
    <w:rsid w:val="002A791F"/>
    <w:rsid w:val="002C1A52"/>
    <w:rsid w:val="002C1B26"/>
    <w:rsid w:val="002C5D6C"/>
    <w:rsid w:val="002E701F"/>
    <w:rsid w:val="003248A9"/>
    <w:rsid w:val="00324FFA"/>
    <w:rsid w:val="0032680B"/>
    <w:rsid w:val="003455F4"/>
    <w:rsid w:val="00363A65"/>
    <w:rsid w:val="003B1E8C"/>
    <w:rsid w:val="003C0613"/>
    <w:rsid w:val="003C2508"/>
    <w:rsid w:val="003C7EC7"/>
    <w:rsid w:val="003D0AA3"/>
    <w:rsid w:val="003E2086"/>
    <w:rsid w:val="003F7F66"/>
    <w:rsid w:val="004226D9"/>
    <w:rsid w:val="00440B3A"/>
    <w:rsid w:val="0044375A"/>
    <w:rsid w:val="0045384C"/>
    <w:rsid w:val="00454553"/>
    <w:rsid w:val="00472A86"/>
    <w:rsid w:val="00496A0C"/>
    <w:rsid w:val="004B124A"/>
    <w:rsid w:val="004B3095"/>
    <w:rsid w:val="004B6B4A"/>
    <w:rsid w:val="004D2749"/>
    <w:rsid w:val="004D2C7C"/>
    <w:rsid w:val="00510335"/>
    <w:rsid w:val="005133B5"/>
    <w:rsid w:val="00524392"/>
    <w:rsid w:val="00532097"/>
    <w:rsid w:val="00547617"/>
    <w:rsid w:val="00571A7D"/>
    <w:rsid w:val="0058350F"/>
    <w:rsid w:val="00583C7E"/>
    <w:rsid w:val="0059098E"/>
    <w:rsid w:val="005C5974"/>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F2A52"/>
    <w:rsid w:val="00701C20"/>
    <w:rsid w:val="00702F3D"/>
    <w:rsid w:val="0070518E"/>
    <w:rsid w:val="007354E9"/>
    <w:rsid w:val="007424E8"/>
    <w:rsid w:val="0074579D"/>
    <w:rsid w:val="00765578"/>
    <w:rsid w:val="00766333"/>
    <w:rsid w:val="0077084A"/>
    <w:rsid w:val="007952C7"/>
    <w:rsid w:val="007C0B95"/>
    <w:rsid w:val="007C2317"/>
    <w:rsid w:val="007D125A"/>
    <w:rsid w:val="007D330A"/>
    <w:rsid w:val="0080079E"/>
    <w:rsid w:val="008504C2"/>
    <w:rsid w:val="00866AE6"/>
    <w:rsid w:val="008750A8"/>
    <w:rsid w:val="008C467B"/>
    <w:rsid w:val="008D3316"/>
    <w:rsid w:val="008E5AF2"/>
    <w:rsid w:val="008F7315"/>
    <w:rsid w:val="0090121B"/>
    <w:rsid w:val="009144C9"/>
    <w:rsid w:val="0094091F"/>
    <w:rsid w:val="00962171"/>
    <w:rsid w:val="009626FC"/>
    <w:rsid w:val="00973754"/>
    <w:rsid w:val="009B5353"/>
    <w:rsid w:val="009C0BED"/>
    <w:rsid w:val="009C5B63"/>
    <w:rsid w:val="009E11EC"/>
    <w:rsid w:val="009F0165"/>
    <w:rsid w:val="00A021CC"/>
    <w:rsid w:val="00A10FDA"/>
    <w:rsid w:val="00A118DB"/>
    <w:rsid w:val="00A2630D"/>
    <w:rsid w:val="00A4450C"/>
    <w:rsid w:val="00AA221D"/>
    <w:rsid w:val="00AA5E6C"/>
    <w:rsid w:val="00AC49B1"/>
    <w:rsid w:val="00AE5677"/>
    <w:rsid w:val="00AE658F"/>
    <w:rsid w:val="00AF2F78"/>
    <w:rsid w:val="00B239FA"/>
    <w:rsid w:val="00B372AB"/>
    <w:rsid w:val="00B47331"/>
    <w:rsid w:val="00B52D55"/>
    <w:rsid w:val="00B8288C"/>
    <w:rsid w:val="00B86034"/>
    <w:rsid w:val="00B9029A"/>
    <w:rsid w:val="00BC08A2"/>
    <w:rsid w:val="00BE2E80"/>
    <w:rsid w:val="00BE5EDD"/>
    <w:rsid w:val="00BE6A1F"/>
    <w:rsid w:val="00C126C4"/>
    <w:rsid w:val="00C44E9E"/>
    <w:rsid w:val="00C63EB5"/>
    <w:rsid w:val="00C64F59"/>
    <w:rsid w:val="00C87DA7"/>
    <w:rsid w:val="00CA0E38"/>
    <w:rsid w:val="00CA4945"/>
    <w:rsid w:val="00CC01E0"/>
    <w:rsid w:val="00CD5FEE"/>
    <w:rsid w:val="00CE60D2"/>
    <w:rsid w:val="00CE7431"/>
    <w:rsid w:val="00D00CA8"/>
    <w:rsid w:val="00D0288A"/>
    <w:rsid w:val="00D72A5D"/>
    <w:rsid w:val="00D95A3A"/>
    <w:rsid w:val="00D9718E"/>
    <w:rsid w:val="00DA71A3"/>
    <w:rsid w:val="00DC1922"/>
    <w:rsid w:val="00DC629B"/>
    <w:rsid w:val="00DE1C31"/>
    <w:rsid w:val="00E05BFF"/>
    <w:rsid w:val="00E1003E"/>
    <w:rsid w:val="00E262F1"/>
    <w:rsid w:val="00E3176A"/>
    <w:rsid w:val="00E36CE4"/>
    <w:rsid w:val="00E54754"/>
    <w:rsid w:val="00E56BD3"/>
    <w:rsid w:val="00E71D14"/>
    <w:rsid w:val="00E737AD"/>
    <w:rsid w:val="00EA77F0"/>
    <w:rsid w:val="00EC4BD5"/>
    <w:rsid w:val="00F32316"/>
    <w:rsid w:val="00F66597"/>
    <w:rsid w:val="00F675D0"/>
    <w:rsid w:val="00F8150C"/>
    <w:rsid w:val="00F85AD3"/>
    <w:rsid w:val="00FC4A13"/>
    <w:rsid w:val="00FD03C4"/>
    <w:rsid w:val="00FE1831"/>
    <w:rsid w:val="00FE37F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403A1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9F0165"/>
    <w:pPr>
      <w:ind w:left="720"/>
      <w:contextualSpacing/>
    </w:pPr>
  </w:style>
  <w:style w:type="character" w:customStyle="1" w:styleId="NormalaftertitleChar">
    <w:name w:val="Normal after title Char"/>
    <w:basedOn w:val="DefaultParagraphFont"/>
    <w:link w:val="Normalaftertitle"/>
    <w:qFormat/>
    <w:locked/>
    <w:rsid w:val="00AA221D"/>
    <w:rPr>
      <w:rFonts w:ascii="Times New Roman" w:hAnsi="Times New Roman"/>
      <w:sz w:val="24"/>
      <w:lang w:val="es-ES_tradnl" w:eastAsia="en-US"/>
    </w:rPr>
  </w:style>
  <w:style w:type="paragraph" w:customStyle="1" w:styleId="NormalAfter6pt">
    <w:name w:val="Normal + After:  6 pt"/>
    <w:basedOn w:val="Normal"/>
    <w:rsid w:val="002A0AA1"/>
    <w:pPr>
      <w:keepNext/>
      <w:framePr w:hSpace="180" w:wrap="around" w:vAnchor="text" w:hAnchor="text" w:x="-84" w:y="1"/>
      <w:spacing w:after="120"/>
      <w:suppressOverlap/>
    </w:pPr>
    <w:rPr>
      <w:rFonts w:eastAsia="Calibri"/>
      <w:color w:val="000000"/>
      <w:szCs w:val="24"/>
      <w:lang w:val="en-GB"/>
    </w:rPr>
  </w:style>
  <w:style w:type="character" w:styleId="FollowedHyperlink">
    <w:name w:val="FollowedHyperlink"/>
    <w:basedOn w:val="DefaultParagraphFont"/>
    <w:semiHidden/>
    <w:unhideWhenUsed/>
    <w:rsid w:val="00A26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pub/R-REP-S.2461-2019/e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R-REP-S.2461-2019/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R23-WRC23-C-0157!A27-A1!MSW-S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2F887-D029-432B-A5D9-06ACD2E56D01}">
  <ds:schemaRefs>
    <ds:schemaRef ds:uri="http://schemas.openxmlformats.org/officeDocument/2006/bibliography"/>
  </ds:schemaRefs>
</ds:datastoreItem>
</file>

<file path=customXml/itemProps2.xml><?xml version="1.0" encoding="utf-8"?>
<ds:datastoreItem xmlns:ds="http://schemas.openxmlformats.org/officeDocument/2006/customXml" ds:itemID="{5971BD0C-B827-4569-82DB-8DE6A3FA039B}">
  <ds:schemaRefs>
    <ds:schemaRef ds:uri="http://schemas.microsoft.com/sharepoint/events"/>
  </ds:schemaRefs>
</ds:datastoreItem>
</file>

<file path=customXml/itemProps3.xml><?xml version="1.0" encoding="utf-8"?>
<ds:datastoreItem xmlns:ds="http://schemas.openxmlformats.org/officeDocument/2006/customXml" ds:itemID="{88768FCF-6A41-42D4-B1CC-0E5BF4EACC2E}">
  <ds:schemaRefs>
    <ds:schemaRef ds:uri="http://schemas.microsoft.com/sharepoint/v3/contenttype/forms"/>
  </ds:schemaRefs>
</ds:datastoreItem>
</file>

<file path=customXml/itemProps4.xml><?xml version="1.0" encoding="utf-8"?>
<ds:datastoreItem xmlns:ds="http://schemas.openxmlformats.org/officeDocument/2006/customXml" ds:itemID="{807258F4-E5FA-4B1F-97A0-A958895F45A5}">
  <ds:schemaRefs>
    <ds:schemaRef ds:uri="http://schemas.microsoft.com/office/2006/documentManagement/types"/>
    <ds:schemaRef ds:uri="http://purl.org/dc/dcmitype/"/>
    <ds:schemaRef ds:uri="http://purl.org/dc/elements/1.1/"/>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 ds:uri="32a1a8c5-2265-4ebc-b7a0-2071e2c5c9bb"/>
    <ds:schemaRef ds:uri="http://www.w3.org/XML/1998/namespace"/>
    <ds:schemaRef ds:uri="http://purl.org/dc/terms/"/>
  </ds:schemaRefs>
</ds:datastoreItem>
</file>

<file path=customXml/itemProps5.xml><?xml version="1.0" encoding="utf-8"?>
<ds:datastoreItem xmlns:ds="http://schemas.openxmlformats.org/officeDocument/2006/customXml" ds:itemID="{3CECE66F-F1E1-450A-A709-5B2773912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1553</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R23-WRC23-C-0157!A27-A1!MSW-S</vt:lpstr>
    </vt:vector>
  </TitlesOfParts>
  <Manager>Secretaría General - Pool</Manager>
  <Company>Unión Internacional de Telecomunicaciones (UIT)</Company>
  <LinksUpToDate>false</LinksUpToDate>
  <CharactersWithSpaces>9986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R23-WRC23-C-0157!A27-A1!MSW-S</dc:title>
  <dc:subject>Conferencia Mundial de Radiocomunicaciones - 2019</dc:subject>
  <dc:creator>Documents Proposals Manager (DPM)</dc:creator>
  <cp:keywords>DPM_v2023.8.1.1_prod</cp:keywords>
  <dc:description/>
  <cp:lastModifiedBy>Spanish</cp:lastModifiedBy>
  <cp:revision>17</cp:revision>
  <cp:lastPrinted>2003-02-19T20:20:00Z</cp:lastPrinted>
  <dcterms:created xsi:type="dcterms:W3CDTF">2023-11-07T07:56:00Z</dcterms:created>
  <dcterms:modified xsi:type="dcterms:W3CDTF">2023-11-07T09:23:00Z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