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66CE6119" w14:textId="77777777" w:rsidTr="0080079E">
        <w:trPr>
          <w:cantSplit/>
        </w:trPr>
        <w:tc>
          <w:tcPr>
            <w:tcW w:w="1418" w:type="dxa"/>
            <w:vAlign w:val="center"/>
          </w:tcPr>
          <w:p w14:paraId="61BC396B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F3C4C5" wp14:editId="55D0AC0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CF3B862" w14:textId="63AF3FAB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Dubái, 20 de noviembre </w:t>
            </w:r>
            <w:r w:rsidR="00394BDC" w:rsidRPr="00394BDC">
              <w:rPr>
                <w:rFonts w:ascii="Verdana" w:hAnsi="Verdana" w:cs="Times"/>
                <w:b/>
                <w:position w:val="6"/>
                <w:sz w:val="18"/>
                <w:szCs w:val="18"/>
              </w:rPr>
              <w:t>–</w:t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 15 de diciembre de 2023</w:t>
            </w:r>
          </w:p>
        </w:tc>
        <w:tc>
          <w:tcPr>
            <w:tcW w:w="1809" w:type="dxa"/>
            <w:vAlign w:val="center"/>
          </w:tcPr>
          <w:p w14:paraId="7CF53A66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6583E8" wp14:editId="6E82278E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4E6D6D9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66FFAA4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0EF1109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2A2260A6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7124C90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410232D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85C60" w14:paraId="7BBB46C7" w14:textId="77777777" w:rsidTr="0090121B">
        <w:trPr>
          <w:cantSplit/>
        </w:trPr>
        <w:tc>
          <w:tcPr>
            <w:tcW w:w="6911" w:type="dxa"/>
            <w:gridSpan w:val="2"/>
          </w:tcPr>
          <w:p w14:paraId="03E277FB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2218A17" w14:textId="77777777" w:rsidR="0090121B" w:rsidRPr="00085C60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it-IT"/>
              </w:rPr>
            </w:pPr>
            <w:r w:rsidRPr="00085C60">
              <w:rPr>
                <w:rFonts w:ascii="Verdana" w:hAnsi="Verdana"/>
                <w:b/>
                <w:sz w:val="18"/>
                <w:szCs w:val="18"/>
                <w:lang w:val="it-IT"/>
              </w:rPr>
              <w:t>Addéndum 2 al</w:t>
            </w:r>
            <w:r w:rsidRPr="00085C60">
              <w:rPr>
                <w:rFonts w:ascii="Verdana" w:hAnsi="Verdana"/>
                <w:b/>
                <w:sz w:val="18"/>
                <w:szCs w:val="18"/>
                <w:lang w:val="it-IT"/>
              </w:rPr>
              <w:br/>
              <w:t>Documento 157(Add.22)</w:t>
            </w:r>
            <w:r w:rsidR="0090121B" w:rsidRPr="00085C60">
              <w:rPr>
                <w:rFonts w:ascii="Verdana" w:hAnsi="Verdana"/>
                <w:b/>
                <w:sz w:val="18"/>
                <w:szCs w:val="18"/>
                <w:lang w:val="it-IT"/>
              </w:rPr>
              <w:t>-</w:t>
            </w:r>
            <w:r w:rsidRPr="00085C60">
              <w:rPr>
                <w:rFonts w:ascii="Verdana" w:hAnsi="Verdana"/>
                <w:b/>
                <w:sz w:val="18"/>
                <w:szCs w:val="18"/>
                <w:lang w:val="it-IT"/>
              </w:rPr>
              <w:t>S</w:t>
            </w:r>
          </w:p>
        </w:tc>
      </w:tr>
      <w:bookmarkEnd w:id="0"/>
      <w:tr w:rsidR="000A5B9A" w:rsidRPr="0002785D" w14:paraId="1356A7ED" w14:textId="77777777" w:rsidTr="0090121B">
        <w:trPr>
          <w:cantSplit/>
        </w:trPr>
        <w:tc>
          <w:tcPr>
            <w:tcW w:w="6911" w:type="dxa"/>
            <w:gridSpan w:val="2"/>
          </w:tcPr>
          <w:p w14:paraId="5A9749DC" w14:textId="77777777" w:rsidR="000A5B9A" w:rsidRPr="00085C6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3120" w:type="dxa"/>
            <w:gridSpan w:val="2"/>
          </w:tcPr>
          <w:p w14:paraId="78F969A4" w14:textId="77777777" w:rsidR="000A5B9A" w:rsidRPr="00394BD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394BDC">
              <w:rPr>
                <w:rFonts w:ascii="Verdana" w:hAnsi="Verdana"/>
                <w:b/>
                <w:sz w:val="18"/>
                <w:szCs w:val="18"/>
                <w:lang w:val="es-ES"/>
              </w:rPr>
              <w:t>30 de octubre de 2023</w:t>
            </w:r>
          </w:p>
        </w:tc>
      </w:tr>
      <w:tr w:rsidR="000A5B9A" w:rsidRPr="0002785D" w14:paraId="1A8D6DD1" w14:textId="77777777" w:rsidTr="0090121B">
        <w:trPr>
          <w:cantSplit/>
        </w:trPr>
        <w:tc>
          <w:tcPr>
            <w:tcW w:w="6911" w:type="dxa"/>
            <w:gridSpan w:val="2"/>
          </w:tcPr>
          <w:p w14:paraId="7E74DF93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4B1F83F" w14:textId="77777777" w:rsidR="000A5B9A" w:rsidRPr="00394BD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394BDC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02785D" w14:paraId="1C359ABC" w14:textId="77777777" w:rsidTr="006744FC">
        <w:trPr>
          <w:cantSplit/>
        </w:trPr>
        <w:tc>
          <w:tcPr>
            <w:tcW w:w="10031" w:type="dxa"/>
            <w:gridSpan w:val="4"/>
          </w:tcPr>
          <w:p w14:paraId="3EBAB81A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29B7412A" w14:textId="77777777" w:rsidTr="0050008E">
        <w:trPr>
          <w:cantSplit/>
        </w:trPr>
        <w:tc>
          <w:tcPr>
            <w:tcW w:w="10031" w:type="dxa"/>
            <w:gridSpan w:val="4"/>
          </w:tcPr>
          <w:p w14:paraId="4F7DD73E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India (República de la)</w:t>
            </w:r>
          </w:p>
        </w:tc>
      </w:tr>
      <w:tr w:rsidR="000A5B9A" w:rsidRPr="0017260C" w14:paraId="4E79E345" w14:textId="77777777" w:rsidTr="0050008E">
        <w:trPr>
          <w:cantSplit/>
        </w:trPr>
        <w:tc>
          <w:tcPr>
            <w:tcW w:w="10031" w:type="dxa"/>
            <w:gridSpan w:val="4"/>
          </w:tcPr>
          <w:p w14:paraId="764BA15A" w14:textId="40BAE8D5" w:rsidR="000A5B9A" w:rsidRPr="000717E9" w:rsidRDefault="000717E9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0717E9">
              <w:rPr>
                <w:lang w:val="es-ES"/>
              </w:rPr>
              <w:t>PROPUESTAS PARA LOS TRABAJOS DE LA CONFERENCIA</w:t>
            </w:r>
          </w:p>
        </w:tc>
      </w:tr>
      <w:tr w:rsidR="000A5B9A" w:rsidRPr="0017260C" w14:paraId="5AA48559" w14:textId="77777777" w:rsidTr="0050008E">
        <w:trPr>
          <w:cantSplit/>
        </w:trPr>
        <w:tc>
          <w:tcPr>
            <w:tcW w:w="10031" w:type="dxa"/>
            <w:gridSpan w:val="4"/>
          </w:tcPr>
          <w:p w14:paraId="3510A55C" w14:textId="77777777" w:rsidR="000A5B9A" w:rsidRPr="000717E9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36C31C3D" w14:textId="77777777" w:rsidTr="0050008E">
        <w:trPr>
          <w:cantSplit/>
        </w:trPr>
        <w:tc>
          <w:tcPr>
            <w:tcW w:w="10031" w:type="dxa"/>
            <w:gridSpan w:val="4"/>
          </w:tcPr>
          <w:p w14:paraId="749C99BF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7(B) del orden del día</w:t>
            </w:r>
          </w:p>
        </w:tc>
      </w:tr>
    </w:tbl>
    <w:bookmarkEnd w:id="4"/>
    <w:p w14:paraId="761F20B5" w14:textId="77777777" w:rsidR="00CA2965" w:rsidRPr="00F3193C" w:rsidRDefault="0017260C" w:rsidP="00085C60">
      <w:pPr>
        <w:pStyle w:val="Normalaftertitle"/>
      </w:pPr>
      <w:r w:rsidRPr="00F3193C">
        <w:t>7</w:t>
      </w:r>
      <w:r w:rsidRPr="00F3193C">
        <w:tab/>
        <w:t>considerar posibles modificaciones para responder a lo dispuesto en la Resolución 86 (Rev. Marrakech, 2002) de la Conferencia de Plenipotenciarios: «Procedimientos de publicación anticipada, de coordinación, de notificación y de inscripción de asignaciones de frecuencias de redes de satélite» de conformidad con la Resolución </w:t>
      </w:r>
      <w:r w:rsidRPr="00F3193C">
        <w:rPr>
          <w:b/>
          <w:bCs/>
        </w:rPr>
        <w:t>86 (Rev.CMR-07</w:t>
      </w:r>
      <w:r w:rsidRPr="00F3193C">
        <w:rPr>
          <w:b/>
        </w:rPr>
        <w:t>)</w:t>
      </w:r>
      <w:r w:rsidRPr="00F3193C">
        <w:rPr>
          <w:b/>
          <w:bCs/>
        </w:rPr>
        <w:t xml:space="preserve">, </w:t>
      </w:r>
      <w:r w:rsidRPr="00F3193C">
        <w:t>para facilitar el uso</w:t>
      </w:r>
      <w:r w:rsidRPr="00F3193C">
        <w:rPr>
          <w:b/>
          <w:bCs/>
        </w:rPr>
        <w:t xml:space="preserve"> </w:t>
      </w:r>
      <w:r w:rsidRPr="00F3193C">
        <w:t>racional, eficiente y económico de las radiofrecuencias y órbitas asociadas, incluida la órbita de los satélites geoestacionarios;</w:t>
      </w:r>
    </w:p>
    <w:p w14:paraId="2336A3B6" w14:textId="38DC4EAF" w:rsidR="00CA2965" w:rsidRPr="00C444FC" w:rsidRDefault="0017260C" w:rsidP="00ED3AAB">
      <w:r w:rsidRPr="00BD7330">
        <w:rPr>
          <w:lang w:val="es-ES"/>
        </w:rPr>
        <w:t>7</w:t>
      </w:r>
      <w:r>
        <w:rPr>
          <w:lang w:val="es-ES"/>
        </w:rPr>
        <w:t>(</w:t>
      </w:r>
      <w:r w:rsidRPr="00BD7330">
        <w:rPr>
          <w:lang w:val="es-ES"/>
        </w:rPr>
        <w:t>B)</w:t>
      </w:r>
      <w:r w:rsidRPr="00BD7330">
        <w:rPr>
          <w:lang w:val="es-ES"/>
        </w:rPr>
        <w:tab/>
      </w:r>
      <w:r w:rsidRPr="007453E4">
        <w:rPr>
          <w:lang w:val="es-ES"/>
        </w:rPr>
        <w:t>Tema B – Procedimiento de puesta en servicio de sistemas no OSG después de cada objetivo intermedio</w:t>
      </w:r>
      <w:r w:rsidR="000717E9">
        <w:rPr>
          <w:lang w:val="es-ES"/>
        </w:rPr>
        <w:t>.</w:t>
      </w:r>
    </w:p>
    <w:p w14:paraId="02A7F434" w14:textId="77777777" w:rsidR="008750A8" w:rsidRDefault="008750A8" w:rsidP="00085C60">
      <w:r>
        <w:br w:type="page"/>
      </w:r>
    </w:p>
    <w:p w14:paraId="00501ABB" w14:textId="77777777" w:rsidR="00580869" w:rsidRDefault="0017260C">
      <w:pPr>
        <w:pStyle w:val="Proposal"/>
      </w:pPr>
      <w:r>
        <w:rPr>
          <w:u w:val="single"/>
        </w:rPr>
        <w:lastRenderedPageBreak/>
        <w:t>NOC</w:t>
      </w:r>
      <w:r>
        <w:tab/>
        <w:t>IND/157A22A2/1</w:t>
      </w:r>
      <w:r>
        <w:rPr>
          <w:vanish/>
          <w:color w:val="7F7F7F" w:themeColor="text1" w:themeTint="80"/>
          <w:vertAlign w:val="superscript"/>
        </w:rPr>
        <w:t>#1990</w:t>
      </w:r>
    </w:p>
    <w:p w14:paraId="1C1E2603" w14:textId="77777777" w:rsidR="007704DB" w:rsidRPr="00FB751F" w:rsidRDefault="0017260C" w:rsidP="00F90D41">
      <w:pPr>
        <w:pStyle w:val="Volumetitle"/>
      </w:pPr>
      <w:r w:rsidRPr="00FB751F">
        <w:t>ARTÍCULOS</w:t>
      </w:r>
    </w:p>
    <w:p w14:paraId="4BA50823" w14:textId="77777777" w:rsidR="00580869" w:rsidRDefault="00580869">
      <w:pPr>
        <w:pStyle w:val="Reasons"/>
      </w:pPr>
    </w:p>
    <w:p w14:paraId="153606F7" w14:textId="77777777" w:rsidR="00580869" w:rsidRDefault="0017260C">
      <w:pPr>
        <w:pStyle w:val="Proposal"/>
      </w:pPr>
      <w:r>
        <w:rPr>
          <w:u w:val="single"/>
        </w:rPr>
        <w:t>NOC</w:t>
      </w:r>
      <w:r>
        <w:tab/>
        <w:t>IND/157A22A2/2</w:t>
      </w:r>
      <w:r>
        <w:rPr>
          <w:vanish/>
          <w:color w:val="7F7F7F" w:themeColor="text1" w:themeTint="80"/>
          <w:vertAlign w:val="superscript"/>
        </w:rPr>
        <w:t>#1991</w:t>
      </w:r>
    </w:p>
    <w:p w14:paraId="54B5DE3D" w14:textId="77777777" w:rsidR="007704DB" w:rsidRPr="00F90D41" w:rsidRDefault="0017260C" w:rsidP="00F90D41">
      <w:pPr>
        <w:pStyle w:val="Volumetitle"/>
      </w:pPr>
      <w:r w:rsidRPr="00F90D41">
        <w:t>APÉNDICES</w:t>
      </w:r>
    </w:p>
    <w:p w14:paraId="601B9FF4" w14:textId="77777777" w:rsidR="00580869" w:rsidRDefault="00580869">
      <w:pPr>
        <w:pStyle w:val="Reasons"/>
      </w:pPr>
    </w:p>
    <w:p w14:paraId="1ED42CA8" w14:textId="77777777" w:rsidR="00580869" w:rsidRDefault="0017260C">
      <w:pPr>
        <w:pStyle w:val="Proposal"/>
      </w:pPr>
      <w:r>
        <w:rPr>
          <w:u w:val="single"/>
        </w:rPr>
        <w:t>NOC</w:t>
      </w:r>
      <w:r>
        <w:tab/>
        <w:t>IND/157A22A2/3</w:t>
      </w:r>
      <w:r>
        <w:rPr>
          <w:vanish/>
          <w:color w:val="7F7F7F" w:themeColor="text1" w:themeTint="80"/>
          <w:vertAlign w:val="superscript"/>
        </w:rPr>
        <w:t>#1992</w:t>
      </w:r>
    </w:p>
    <w:p w14:paraId="4CC1FAC7" w14:textId="77777777" w:rsidR="007704DB" w:rsidRPr="00F90D41" w:rsidRDefault="0017260C" w:rsidP="00F90D41">
      <w:pPr>
        <w:pStyle w:val="Volumetitle"/>
      </w:pPr>
      <w:r w:rsidRPr="00F90D41">
        <w:t>RESOLUCIONES</w:t>
      </w:r>
    </w:p>
    <w:p w14:paraId="48BE84A7" w14:textId="2323FF28" w:rsidR="00580869" w:rsidRPr="00085C60" w:rsidRDefault="0017260C">
      <w:pPr>
        <w:pStyle w:val="Reasons"/>
      </w:pPr>
      <w:r w:rsidRPr="00F72781">
        <w:rPr>
          <w:b/>
          <w:bCs/>
        </w:rPr>
        <w:t>Motivos:</w:t>
      </w:r>
      <w:r w:rsidRPr="00F72781">
        <w:tab/>
      </w:r>
      <w:r w:rsidR="000717E9" w:rsidRPr="000717E9">
        <w:t xml:space="preserve">Los primeros sistemas no OSG </w:t>
      </w:r>
      <w:r w:rsidR="000F5155">
        <w:t>regidos por</w:t>
      </w:r>
      <w:r w:rsidR="000717E9" w:rsidRPr="000717E9">
        <w:t xml:space="preserve"> </w:t>
      </w:r>
      <w:r w:rsidR="000717E9">
        <w:t>objetivos intermedios</w:t>
      </w:r>
      <w:r w:rsidR="000717E9" w:rsidRPr="000717E9">
        <w:t xml:space="preserve"> alcanzarán </w:t>
      </w:r>
      <w:r w:rsidR="000717E9">
        <w:t xml:space="preserve">el hito </w:t>
      </w:r>
      <w:r w:rsidR="000717E9" w:rsidRPr="000717E9">
        <w:t xml:space="preserve">del 100% </w:t>
      </w:r>
      <w:r w:rsidR="000717E9">
        <w:t>el</w:t>
      </w:r>
      <w:r w:rsidR="000717E9" w:rsidRPr="000717E9">
        <w:t xml:space="preserve"> 1 d</w:t>
      </w:r>
      <w:r w:rsidR="000717E9">
        <w:t>e febrero de 2028, después de que tenga lugar la</w:t>
      </w:r>
      <w:r w:rsidR="000717E9" w:rsidRPr="000717E9">
        <w:t xml:space="preserve"> CMR-27 (véase el </w:t>
      </w:r>
      <w:r w:rsidR="000717E9" w:rsidRPr="00085C60">
        <w:rPr>
          <w:i/>
          <w:iCs/>
        </w:rPr>
        <w:t>resuelve</w:t>
      </w:r>
      <w:r w:rsidR="000717E9" w:rsidRPr="000717E9">
        <w:t xml:space="preserve"> 8</w:t>
      </w:r>
      <w:r w:rsidR="000717E9" w:rsidRPr="00F72781">
        <w:rPr>
          <w:i/>
          <w:iCs/>
        </w:rPr>
        <w:t>c)</w:t>
      </w:r>
      <w:r w:rsidR="000F5155">
        <w:t>,</w:t>
      </w:r>
      <w:r w:rsidR="000717E9" w:rsidRPr="000717E9">
        <w:t xml:space="preserve"> </w:t>
      </w:r>
      <w:r w:rsidR="000F5155">
        <w:t>en relación con</w:t>
      </w:r>
      <w:r w:rsidR="000717E9" w:rsidRPr="000717E9">
        <w:t xml:space="preserve"> la Resolución</w:t>
      </w:r>
      <w:r w:rsidR="00085C60">
        <w:t> </w:t>
      </w:r>
      <w:r w:rsidR="000717E9" w:rsidRPr="00085C60">
        <w:rPr>
          <w:b/>
          <w:bCs/>
        </w:rPr>
        <w:t>35 (CMR-19)</w:t>
      </w:r>
      <w:r w:rsidR="000717E9" w:rsidRPr="00085C60">
        <w:t>).</w:t>
      </w:r>
      <w:r w:rsidR="000717E9" w:rsidRPr="000717E9">
        <w:t xml:space="preserve"> </w:t>
      </w:r>
      <w:r w:rsidR="000717E9">
        <w:t>En consecuencia</w:t>
      </w:r>
      <w:r w:rsidR="000717E9" w:rsidRPr="000717E9">
        <w:t xml:space="preserve">, ningún sistema se encontrará en una situación posterior </w:t>
      </w:r>
      <w:r w:rsidR="000717E9">
        <w:t>a un objetivo intermedio</w:t>
      </w:r>
      <w:r w:rsidR="000717E9" w:rsidRPr="000717E9">
        <w:t xml:space="preserve"> hasta </w:t>
      </w:r>
      <w:r w:rsidR="000717E9">
        <w:t>que haya concluido</w:t>
      </w:r>
      <w:r w:rsidR="000717E9" w:rsidRPr="000717E9">
        <w:t xml:space="preserve"> la CMR-27 y </w:t>
      </w:r>
      <w:r w:rsidR="000F5155">
        <w:t>conviene</w:t>
      </w:r>
      <w:r w:rsidR="000717E9" w:rsidRPr="000717E9">
        <w:t xml:space="preserve"> esperar </w:t>
      </w:r>
      <w:r w:rsidR="000717E9">
        <w:t>a la celebración de dicha C</w:t>
      </w:r>
      <w:r w:rsidR="000717E9" w:rsidRPr="000717E9">
        <w:t xml:space="preserve">onferencia para desarrollar procedimientos </w:t>
      </w:r>
      <w:r w:rsidR="000717E9">
        <w:t>al respecto</w:t>
      </w:r>
      <w:r w:rsidR="000717E9" w:rsidRPr="000717E9">
        <w:t xml:space="preserve">. </w:t>
      </w:r>
      <w:r w:rsidR="000717E9">
        <w:t>En consecuencia</w:t>
      </w:r>
      <w:r w:rsidR="000717E9" w:rsidRPr="000717E9">
        <w:t xml:space="preserve">, </w:t>
      </w:r>
      <w:r w:rsidR="000717E9">
        <w:t xml:space="preserve">la </w:t>
      </w:r>
      <w:r w:rsidR="000717E9" w:rsidRPr="000717E9">
        <w:t xml:space="preserve">India propone esperar hasta la CMR-27 para abordar esta cuestión, </w:t>
      </w:r>
      <w:r w:rsidR="000717E9">
        <w:t xml:space="preserve">a raíz de la amplia experiencia adquirida </w:t>
      </w:r>
      <w:r w:rsidR="000717E9" w:rsidRPr="000717E9">
        <w:t xml:space="preserve">con el proceso </w:t>
      </w:r>
      <w:r w:rsidR="000717E9">
        <w:t xml:space="preserve">por etapas relativo a </w:t>
      </w:r>
      <w:r w:rsidR="000717E9" w:rsidRPr="000717E9">
        <w:t>la Resolución</w:t>
      </w:r>
      <w:r w:rsidR="00F72781">
        <w:t> </w:t>
      </w:r>
      <w:r w:rsidR="000717E9" w:rsidRPr="00085C60">
        <w:rPr>
          <w:b/>
          <w:bCs/>
        </w:rPr>
        <w:t>35 (CMR-19)</w:t>
      </w:r>
      <w:r w:rsidR="000717E9" w:rsidRPr="00085C60">
        <w:t>.</w:t>
      </w:r>
    </w:p>
    <w:p w14:paraId="34B0269A" w14:textId="77777777" w:rsidR="00085C60" w:rsidRDefault="00085C60" w:rsidP="00085C60"/>
    <w:p w14:paraId="64C5B616" w14:textId="77777777" w:rsidR="00085C60" w:rsidRDefault="00085C60">
      <w:pPr>
        <w:jc w:val="center"/>
      </w:pPr>
      <w:r>
        <w:t>______________</w:t>
      </w:r>
    </w:p>
    <w:sectPr w:rsidR="00085C60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F458" w14:textId="77777777" w:rsidR="00666B37" w:rsidRDefault="00666B37">
      <w:r>
        <w:separator/>
      </w:r>
    </w:p>
  </w:endnote>
  <w:endnote w:type="continuationSeparator" w:id="0">
    <w:p w14:paraId="750C97FD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16D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9F697B" w14:textId="466AFEC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630F">
      <w:rPr>
        <w:noProof/>
      </w:rPr>
      <w:t>13.11.23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C70A" w14:textId="7503FA8F" w:rsidR="0077084A" w:rsidRDefault="0017260C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85C60">
      <w:rPr>
        <w:lang w:val="en-US"/>
      </w:rPr>
      <w:t>P:\ESP\ITU-R\CONF-R\CMR23\100\157ADD22ADD02S.docx</w:t>
    </w:r>
    <w:r>
      <w:fldChar w:fldCharType="end"/>
    </w:r>
    <w:r w:rsidRPr="0017260C">
      <w:rPr>
        <w:lang w:val="en-US"/>
      </w:rPr>
      <w:t xml:space="preserve"> </w:t>
    </w:r>
    <w:r>
      <w:rPr>
        <w:lang w:val="en-US"/>
      </w:rPr>
      <w:t>(530434)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1183" w14:textId="116C8DCC" w:rsidR="0077084A" w:rsidRPr="0017260C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85C60">
      <w:rPr>
        <w:lang w:val="en-US"/>
      </w:rPr>
      <w:t>P:\ESP\ITU-R\CONF-R\CMR23\100\157ADD22ADD02S.docx</w:t>
    </w:r>
    <w:r>
      <w:fldChar w:fldCharType="end"/>
    </w:r>
    <w:r w:rsidR="0017260C" w:rsidRPr="0017260C">
      <w:rPr>
        <w:lang w:val="en-US"/>
      </w:rPr>
      <w:t xml:space="preserve"> </w:t>
    </w:r>
    <w:r w:rsidR="0017260C">
      <w:rPr>
        <w:lang w:val="en-US"/>
      </w:rPr>
      <w:t>(530434)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6F58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1FD3A861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EAF0" w14:textId="03620654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5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43E742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157(Add.22)(Add.2)-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75205682">
    <w:abstractNumId w:val="8"/>
  </w:num>
  <w:num w:numId="2" w16cid:durableId="106518243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82464097">
    <w:abstractNumId w:val="9"/>
  </w:num>
  <w:num w:numId="4" w16cid:durableId="1404403202">
    <w:abstractNumId w:val="7"/>
  </w:num>
  <w:num w:numId="5" w16cid:durableId="725225322">
    <w:abstractNumId w:val="6"/>
  </w:num>
  <w:num w:numId="6" w16cid:durableId="1313828202">
    <w:abstractNumId w:val="5"/>
  </w:num>
  <w:num w:numId="7" w16cid:durableId="810516020">
    <w:abstractNumId w:val="4"/>
  </w:num>
  <w:num w:numId="8" w16cid:durableId="1653096590">
    <w:abstractNumId w:val="3"/>
  </w:num>
  <w:num w:numId="9" w16cid:durableId="957417595">
    <w:abstractNumId w:val="2"/>
  </w:num>
  <w:num w:numId="10" w16cid:durableId="2005887662">
    <w:abstractNumId w:val="1"/>
  </w:num>
  <w:num w:numId="11" w16cid:durableId="138694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717E9"/>
    <w:rsid w:val="00085C60"/>
    <w:rsid w:val="00087AE8"/>
    <w:rsid w:val="00091054"/>
    <w:rsid w:val="000A2A7D"/>
    <w:rsid w:val="000A5B9A"/>
    <w:rsid w:val="000E5BF9"/>
    <w:rsid w:val="000F0E6D"/>
    <w:rsid w:val="000F5155"/>
    <w:rsid w:val="00121170"/>
    <w:rsid w:val="00123CC5"/>
    <w:rsid w:val="0015142D"/>
    <w:rsid w:val="001616DC"/>
    <w:rsid w:val="00163962"/>
    <w:rsid w:val="0017260C"/>
    <w:rsid w:val="00191A97"/>
    <w:rsid w:val="0019729C"/>
    <w:rsid w:val="001A083F"/>
    <w:rsid w:val="001C41FA"/>
    <w:rsid w:val="001E2B52"/>
    <w:rsid w:val="001E3F27"/>
    <w:rsid w:val="001E7D42"/>
    <w:rsid w:val="001F72FA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94BDC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0869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0630F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92461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72781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A82C606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72781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R23-WRC23-C-0157!A22-A2!MSW-S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7DCA5-871D-49F2-9A9C-C84305F4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7D268-972F-4B87-888F-C219123CAAE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4EBB15-5B04-4780-85B1-C571C4B66E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B5EB0A-6E7A-47CB-B440-E094E1DC034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456C83EA-853D-4710-A2CD-976CB84346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244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R23-WRC23-C-0157!A22-A2!MSW-S</vt:lpstr>
    </vt:vector>
  </TitlesOfParts>
  <Manager>Secretaría General - Pool</Manager>
  <Company>Unión Internacional de Telecomunicaciones (UIT)</Company>
  <LinksUpToDate>false</LinksUpToDate>
  <CharactersWithSpaces>1701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R23-WRC23-C-0157!A22-A2!MSW-S</dc:title>
  <dc:subject>Conferencia Mundial de Radiocomunicaciones - 2019</dc:subject>
  <dc:creator>Documents Proposals Manager (DPM)</dc:creator>
  <cp:keywords>DPM_v2023.11.6.1_prod</cp:keywords>
  <dc:description/>
  <cp:lastModifiedBy>Spanish83</cp:lastModifiedBy>
  <cp:revision>4</cp:revision>
  <cp:lastPrinted>2003-02-19T20:20:00Z</cp:lastPrinted>
  <dcterms:created xsi:type="dcterms:W3CDTF">2023-11-15T04:21:00Z</dcterms:created>
  <dcterms:modified xsi:type="dcterms:W3CDTF">2023-11-15T04:39:00Z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