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80079E" w:rsidRPr="002B7195" w14:paraId="6AE14BF4" w14:textId="77777777" w:rsidTr="0080079E">
        <w:trPr>
          <w:cantSplit/>
        </w:trPr>
        <w:tc>
          <w:tcPr>
            <w:tcW w:w="1418" w:type="dxa"/>
            <w:vAlign w:val="center"/>
          </w:tcPr>
          <w:p w14:paraId="55696602" w14:textId="77777777" w:rsidR="0080079E" w:rsidRPr="002B7195" w:rsidRDefault="0080079E" w:rsidP="0080079E">
            <w:pPr>
              <w:spacing w:before="0" w:line="240" w:lineRule="atLeast"/>
              <w:rPr>
                <w:rFonts w:ascii="Verdana" w:hAnsi="Verdana"/>
                <w:position w:val="6"/>
                <w:lang w:val="es-ES"/>
              </w:rPr>
            </w:pPr>
            <w:r w:rsidRPr="002B7195">
              <w:rPr>
                <w:noProof/>
                <w:lang w:val="es-ES" w:eastAsia="es-ES"/>
              </w:rPr>
              <w:drawing>
                <wp:inline distT="0" distB="0" distL="0" distR="0" wp14:anchorId="2F3AEE26" wp14:editId="02CF0060">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804" w:type="dxa"/>
            <w:gridSpan w:val="2"/>
          </w:tcPr>
          <w:p w14:paraId="477B304B" w14:textId="1E634533" w:rsidR="0080079E" w:rsidRPr="002B7195" w:rsidRDefault="0080079E" w:rsidP="00C44E9E">
            <w:pPr>
              <w:spacing w:before="400" w:after="48" w:line="240" w:lineRule="atLeast"/>
              <w:rPr>
                <w:rFonts w:ascii="Verdana" w:hAnsi="Verdana"/>
                <w:position w:val="6"/>
                <w:lang w:val="es-ES"/>
              </w:rPr>
            </w:pPr>
            <w:r w:rsidRPr="002B7195">
              <w:rPr>
                <w:rFonts w:ascii="Verdana" w:hAnsi="Verdana" w:cs="Times"/>
                <w:b/>
                <w:position w:val="6"/>
                <w:sz w:val="20"/>
                <w:lang w:val="es-ES"/>
              </w:rPr>
              <w:t>Conferencia Mundial de Radiocomunicaciones (CMR-23)</w:t>
            </w:r>
            <w:r w:rsidRPr="002B7195">
              <w:rPr>
                <w:rFonts w:ascii="Verdana" w:hAnsi="Verdana" w:cs="Times"/>
                <w:b/>
                <w:position w:val="6"/>
                <w:sz w:val="20"/>
                <w:lang w:val="es-ES"/>
              </w:rPr>
              <w:br/>
            </w:r>
            <w:r w:rsidRPr="002B7195">
              <w:rPr>
                <w:rFonts w:ascii="Verdana" w:hAnsi="Verdana" w:cs="Times"/>
                <w:b/>
                <w:position w:val="6"/>
                <w:sz w:val="18"/>
                <w:szCs w:val="18"/>
                <w:lang w:val="es-ES"/>
              </w:rPr>
              <w:t xml:space="preserve">Dubái, 20 de noviembre </w:t>
            </w:r>
            <w:r w:rsidR="00F45787" w:rsidRPr="00F45787">
              <w:rPr>
                <w:rFonts w:ascii="Verdana" w:hAnsi="Verdana" w:cs="Times"/>
                <w:b/>
                <w:position w:val="6"/>
                <w:sz w:val="18"/>
                <w:szCs w:val="18"/>
                <w:lang w:val="es-ES"/>
              </w:rPr>
              <w:t>–</w:t>
            </w:r>
            <w:r w:rsidRPr="002B7195">
              <w:rPr>
                <w:rFonts w:ascii="Verdana" w:hAnsi="Verdana" w:cs="Times"/>
                <w:b/>
                <w:position w:val="6"/>
                <w:sz w:val="18"/>
                <w:szCs w:val="18"/>
                <w:lang w:val="es-ES"/>
              </w:rPr>
              <w:t xml:space="preserve"> 15 de diciembre de 2023</w:t>
            </w:r>
          </w:p>
        </w:tc>
        <w:tc>
          <w:tcPr>
            <w:tcW w:w="1809" w:type="dxa"/>
            <w:vAlign w:val="center"/>
          </w:tcPr>
          <w:p w14:paraId="5BF897B8" w14:textId="77777777" w:rsidR="0080079E" w:rsidRPr="002B7195" w:rsidRDefault="0080079E" w:rsidP="0080079E">
            <w:pPr>
              <w:spacing w:before="0" w:line="240" w:lineRule="atLeast"/>
              <w:rPr>
                <w:lang w:val="es-ES"/>
              </w:rPr>
            </w:pPr>
            <w:bookmarkStart w:id="0" w:name="ditulogo"/>
            <w:bookmarkEnd w:id="0"/>
            <w:r w:rsidRPr="002B7195">
              <w:rPr>
                <w:noProof/>
                <w:lang w:val="es-ES" w:eastAsia="es-ES"/>
              </w:rPr>
              <w:drawing>
                <wp:inline distT="0" distB="0" distL="0" distR="0" wp14:anchorId="5A4E0ACF" wp14:editId="7F01A048">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90121B" w:rsidRPr="002B7195" w14:paraId="71D21572" w14:textId="77777777" w:rsidTr="0050008E">
        <w:trPr>
          <w:cantSplit/>
        </w:trPr>
        <w:tc>
          <w:tcPr>
            <w:tcW w:w="6911" w:type="dxa"/>
            <w:gridSpan w:val="2"/>
            <w:tcBorders>
              <w:bottom w:val="single" w:sz="12" w:space="0" w:color="auto"/>
            </w:tcBorders>
          </w:tcPr>
          <w:p w14:paraId="602BAEDF" w14:textId="77777777" w:rsidR="0090121B" w:rsidRPr="002B7195" w:rsidRDefault="0090121B" w:rsidP="0090121B">
            <w:pPr>
              <w:spacing w:before="0" w:after="48" w:line="240" w:lineRule="atLeast"/>
              <w:rPr>
                <w:b/>
                <w:smallCaps/>
                <w:szCs w:val="24"/>
                <w:lang w:val="es-ES"/>
              </w:rPr>
            </w:pPr>
            <w:bookmarkStart w:id="1" w:name="dhead"/>
          </w:p>
        </w:tc>
        <w:tc>
          <w:tcPr>
            <w:tcW w:w="3120" w:type="dxa"/>
            <w:gridSpan w:val="2"/>
            <w:tcBorders>
              <w:bottom w:val="single" w:sz="12" w:space="0" w:color="auto"/>
            </w:tcBorders>
          </w:tcPr>
          <w:p w14:paraId="06E09C1F" w14:textId="77777777" w:rsidR="0090121B" w:rsidRPr="002B7195" w:rsidRDefault="0090121B" w:rsidP="0090121B">
            <w:pPr>
              <w:spacing w:before="0" w:line="240" w:lineRule="atLeast"/>
              <w:rPr>
                <w:rFonts w:ascii="Verdana" w:hAnsi="Verdana"/>
                <w:szCs w:val="24"/>
                <w:lang w:val="es-ES"/>
              </w:rPr>
            </w:pPr>
          </w:p>
        </w:tc>
      </w:tr>
      <w:tr w:rsidR="0090121B" w:rsidRPr="002B7195" w14:paraId="463EB861" w14:textId="77777777" w:rsidTr="0090121B">
        <w:trPr>
          <w:cantSplit/>
        </w:trPr>
        <w:tc>
          <w:tcPr>
            <w:tcW w:w="6911" w:type="dxa"/>
            <w:gridSpan w:val="2"/>
            <w:tcBorders>
              <w:top w:val="single" w:sz="12" w:space="0" w:color="auto"/>
            </w:tcBorders>
          </w:tcPr>
          <w:p w14:paraId="238D9B7F" w14:textId="77777777" w:rsidR="0090121B" w:rsidRPr="002B7195" w:rsidRDefault="0090121B" w:rsidP="0090121B">
            <w:pPr>
              <w:spacing w:before="0" w:after="48" w:line="240" w:lineRule="atLeast"/>
              <w:rPr>
                <w:rFonts w:ascii="Verdana" w:hAnsi="Verdana"/>
                <w:b/>
                <w:smallCaps/>
                <w:sz w:val="20"/>
                <w:lang w:val="es-ES"/>
              </w:rPr>
            </w:pPr>
          </w:p>
        </w:tc>
        <w:tc>
          <w:tcPr>
            <w:tcW w:w="3120" w:type="dxa"/>
            <w:gridSpan w:val="2"/>
            <w:tcBorders>
              <w:top w:val="single" w:sz="12" w:space="0" w:color="auto"/>
            </w:tcBorders>
          </w:tcPr>
          <w:p w14:paraId="0A930BF7" w14:textId="77777777" w:rsidR="0090121B" w:rsidRPr="002B7195" w:rsidRDefault="0090121B" w:rsidP="0090121B">
            <w:pPr>
              <w:spacing w:before="0" w:line="240" w:lineRule="atLeast"/>
              <w:rPr>
                <w:rFonts w:ascii="Verdana" w:hAnsi="Verdana"/>
                <w:sz w:val="20"/>
                <w:lang w:val="es-ES"/>
              </w:rPr>
            </w:pPr>
          </w:p>
        </w:tc>
      </w:tr>
      <w:tr w:rsidR="0090121B" w:rsidRPr="002B7195" w14:paraId="3D1448AA" w14:textId="77777777" w:rsidTr="0090121B">
        <w:trPr>
          <w:cantSplit/>
        </w:trPr>
        <w:tc>
          <w:tcPr>
            <w:tcW w:w="6911" w:type="dxa"/>
            <w:gridSpan w:val="2"/>
          </w:tcPr>
          <w:p w14:paraId="6F343D2C" w14:textId="77777777" w:rsidR="0090121B" w:rsidRPr="002B7195" w:rsidRDefault="001E7D42" w:rsidP="00EA77F0">
            <w:pPr>
              <w:pStyle w:val="Committee"/>
              <w:framePr w:hSpace="0" w:wrap="auto" w:hAnchor="text" w:yAlign="inline"/>
              <w:rPr>
                <w:sz w:val="18"/>
                <w:szCs w:val="18"/>
                <w:lang w:val="es-ES"/>
              </w:rPr>
            </w:pPr>
            <w:r w:rsidRPr="002B7195">
              <w:rPr>
                <w:sz w:val="18"/>
                <w:szCs w:val="18"/>
                <w:lang w:val="es-ES"/>
              </w:rPr>
              <w:t>SESIÓN PLENARIA</w:t>
            </w:r>
          </w:p>
        </w:tc>
        <w:tc>
          <w:tcPr>
            <w:tcW w:w="3120" w:type="dxa"/>
            <w:gridSpan w:val="2"/>
          </w:tcPr>
          <w:p w14:paraId="421BBC51" w14:textId="77777777" w:rsidR="0090121B" w:rsidRPr="002B7195" w:rsidRDefault="00AE658F" w:rsidP="0045384C">
            <w:pPr>
              <w:spacing w:before="0"/>
              <w:rPr>
                <w:rFonts w:ascii="Verdana" w:hAnsi="Verdana"/>
                <w:sz w:val="18"/>
                <w:szCs w:val="18"/>
                <w:lang w:val="es-ES"/>
              </w:rPr>
            </w:pPr>
            <w:r w:rsidRPr="002B7195">
              <w:rPr>
                <w:rFonts w:ascii="Verdana" w:hAnsi="Verdana"/>
                <w:b/>
                <w:sz w:val="18"/>
                <w:szCs w:val="18"/>
                <w:lang w:val="es-ES"/>
              </w:rPr>
              <w:t>Addéndum 12 al</w:t>
            </w:r>
            <w:r w:rsidRPr="002B7195">
              <w:rPr>
                <w:rFonts w:ascii="Verdana" w:hAnsi="Verdana"/>
                <w:b/>
                <w:sz w:val="18"/>
                <w:szCs w:val="18"/>
                <w:lang w:val="es-ES"/>
              </w:rPr>
              <w:br/>
              <w:t>Documento 157</w:t>
            </w:r>
            <w:r w:rsidR="0090121B" w:rsidRPr="002B7195">
              <w:rPr>
                <w:rFonts w:ascii="Verdana" w:hAnsi="Verdana"/>
                <w:b/>
                <w:sz w:val="18"/>
                <w:szCs w:val="18"/>
                <w:lang w:val="es-ES"/>
              </w:rPr>
              <w:t>-</w:t>
            </w:r>
            <w:r w:rsidRPr="002B7195">
              <w:rPr>
                <w:rFonts w:ascii="Verdana" w:hAnsi="Verdana"/>
                <w:b/>
                <w:sz w:val="18"/>
                <w:szCs w:val="18"/>
                <w:lang w:val="es-ES"/>
              </w:rPr>
              <w:t>S</w:t>
            </w:r>
          </w:p>
        </w:tc>
      </w:tr>
      <w:bookmarkEnd w:id="1"/>
      <w:tr w:rsidR="000A5B9A" w:rsidRPr="002B7195" w14:paraId="5979484E" w14:textId="77777777" w:rsidTr="0090121B">
        <w:trPr>
          <w:cantSplit/>
        </w:trPr>
        <w:tc>
          <w:tcPr>
            <w:tcW w:w="6911" w:type="dxa"/>
            <w:gridSpan w:val="2"/>
          </w:tcPr>
          <w:p w14:paraId="4E348869" w14:textId="77777777" w:rsidR="000A5B9A" w:rsidRPr="002B7195" w:rsidRDefault="000A5B9A" w:rsidP="0045384C">
            <w:pPr>
              <w:spacing w:before="0" w:after="48"/>
              <w:rPr>
                <w:rFonts w:ascii="Verdana" w:hAnsi="Verdana"/>
                <w:b/>
                <w:smallCaps/>
                <w:sz w:val="18"/>
                <w:szCs w:val="18"/>
                <w:lang w:val="es-ES"/>
              </w:rPr>
            </w:pPr>
          </w:p>
        </w:tc>
        <w:tc>
          <w:tcPr>
            <w:tcW w:w="3120" w:type="dxa"/>
            <w:gridSpan w:val="2"/>
          </w:tcPr>
          <w:p w14:paraId="5061F823" w14:textId="77777777" w:rsidR="000A5B9A" w:rsidRPr="002B7195" w:rsidRDefault="000A5B9A" w:rsidP="0045384C">
            <w:pPr>
              <w:spacing w:before="0"/>
              <w:rPr>
                <w:rFonts w:ascii="Verdana" w:hAnsi="Verdana"/>
                <w:b/>
                <w:sz w:val="18"/>
                <w:szCs w:val="18"/>
                <w:lang w:val="es-ES"/>
              </w:rPr>
            </w:pPr>
            <w:r w:rsidRPr="002B7195">
              <w:rPr>
                <w:rFonts w:ascii="Verdana" w:hAnsi="Verdana"/>
                <w:b/>
                <w:sz w:val="18"/>
                <w:szCs w:val="18"/>
                <w:lang w:val="es-ES"/>
              </w:rPr>
              <w:t>30 de octubre de 2023</w:t>
            </w:r>
          </w:p>
        </w:tc>
      </w:tr>
      <w:tr w:rsidR="000A5B9A" w:rsidRPr="002B7195" w14:paraId="06036EA8" w14:textId="77777777" w:rsidTr="0090121B">
        <w:trPr>
          <w:cantSplit/>
        </w:trPr>
        <w:tc>
          <w:tcPr>
            <w:tcW w:w="6911" w:type="dxa"/>
            <w:gridSpan w:val="2"/>
          </w:tcPr>
          <w:p w14:paraId="1CD7C044" w14:textId="77777777" w:rsidR="000A5B9A" w:rsidRPr="002B7195" w:rsidRDefault="000A5B9A" w:rsidP="0045384C">
            <w:pPr>
              <w:spacing w:before="0" w:after="48"/>
              <w:rPr>
                <w:rFonts w:ascii="Verdana" w:hAnsi="Verdana"/>
                <w:b/>
                <w:smallCaps/>
                <w:sz w:val="18"/>
                <w:szCs w:val="18"/>
                <w:lang w:val="es-ES"/>
              </w:rPr>
            </w:pPr>
          </w:p>
        </w:tc>
        <w:tc>
          <w:tcPr>
            <w:tcW w:w="3120" w:type="dxa"/>
            <w:gridSpan w:val="2"/>
          </w:tcPr>
          <w:p w14:paraId="1BF7A1B5" w14:textId="77777777" w:rsidR="000A5B9A" w:rsidRPr="002B7195" w:rsidRDefault="000A5B9A" w:rsidP="0045384C">
            <w:pPr>
              <w:spacing w:before="0"/>
              <w:rPr>
                <w:rFonts w:ascii="Verdana" w:hAnsi="Verdana"/>
                <w:b/>
                <w:sz w:val="18"/>
                <w:szCs w:val="18"/>
                <w:lang w:val="es-ES"/>
              </w:rPr>
            </w:pPr>
            <w:r w:rsidRPr="002B7195">
              <w:rPr>
                <w:rFonts w:ascii="Verdana" w:hAnsi="Verdana"/>
                <w:b/>
                <w:sz w:val="18"/>
                <w:szCs w:val="18"/>
                <w:lang w:val="es-ES"/>
              </w:rPr>
              <w:t>Original: inglés</w:t>
            </w:r>
          </w:p>
        </w:tc>
      </w:tr>
      <w:tr w:rsidR="000A5B9A" w:rsidRPr="002B7195" w14:paraId="675B09CE" w14:textId="77777777" w:rsidTr="006744FC">
        <w:trPr>
          <w:cantSplit/>
        </w:trPr>
        <w:tc>
          <w:tcPr>
            <w:tcW w:w="10031" w:type="dxa"/>
            <w:gridSpan w:val="4"/>
          </w:tcPr>
          <w:p w14:paraId="4CB8C499" w14:textId="77777777" w:rsidR="000A5B9A" w:rsidRPr="002B7195" w:rsidRDefault="000A5B9A" w:rsidP="0045384C">
            <w:pPr>
              <w:spacing w:before="0"/>
              <w:rPr>
                <w:rFonts w:ascii="Verdana" w:hAnsi="Verdana"/>
                <w:b/>
                <w:sz w:val="18"/>
                <w:szCs w:val="22"/>
                <w:lang w:val="es-ES"/>
              </w:rPr>
            </w:pPr>
          </w:p>
        </w:tc>
      </w:tr>
      <w:tr w:rsidR="000A5B9A" w:rsidRPr="002B7195" w14:paraId="0E461BAE" w14:textId="77777777" w:rsidTr="0050008E">
        <w:trPr>
          <w:cantSplit/>
        </w:trPr>
        <w:tc>
          <w:tcPr>
            <w:tcW w:w="10031" w:type="dxa"/>
            <w:gridSpan w:val="4"/>
          </w:tcPr>
          <w:p w14:paraId="2A941714" w14:textId="77777777" w:rsidR="000A5B9A" w:rsidRPr="002B7195" w:rsidRDefault="000A5B9A" w:rsidP="000A5B9A">
            <w:pPr>
              <w:pStyle w:val="Source"/>
              <w:rPr>
                <w:lang w:val="es-ES"/>
              </w:rPr>
            </w:pPr>
            <w:bookmarkStart w:id="2" w:name="dsource" w:colFirst="0" w:colLast="0"/>
            <w:r w:rsidRPr="002B7195">
              <w:rPr>
                <w:lang w:val="es-ES"/>
              </w:rPr>
              <w:t>India (República de la)</w:t>
            </w:r>
          </w:p>
        </w:tc>
      </w:tr>
      <w:tr w:rsidR="000A5B9A" w:rsidRPr="002B7195" w14:paraId="58E58CB7" w14:textId="77777777" w:rsidTr="0050008E">
        <w:trPr>
          <w:cantSplit/>
        </w:trPr>
        <w:tc>
          <w:tcPr>
            <w:tcW w:w="10031" w:type="dxa"/>
            <w:gridSpan w:val="4"/>
          </w:tcPr>
          <w:p w14:paraId="32A0ABA4" w14:textId="4A00DCF2" w:rsidR="000A5B9A" w:rsidRPr="002B7195" w:rsidRDefault="002B7195" w:rsidP="000A5B9A">
            <w:pPr>
              <w:pStyle w:val="Title1"/>
              <w:rPr>
                <w:lang w:val="es-ES"/>
              </w:rPr>
            </w:pPr>
            <w:bookmarkStart w:id="3" w:name="dtitle1" w:colFirst="0" w:colLast="0"/>
            <w:bookmarkEnd w:id="2"/>
            <w:r w:rsidRPr="002B7195">
              <w:rPr>
                <w:lang w:val="es-ES"/>
              </w:rPr>
              <w:t>PROPUESTAS PARA LOS TRABAJOS DE LA CONFERENCIA</w:t>
            </w:r>
          </w:p>
        </w:tc>
      </w:tr>
      <w:tr w:rsidR="000A5B9A" w:rsidRPr="002B7195" w14:paraId="2EA97373" w14:textId="77777777" w:rsidTr="0050008E">
        <w:trPr>
          <w:cantSplit/>
        </w:trPr>
        <w:tc>
          <w:tcPr>
            <w:tcW w:w="10031" w:type="dxa"/>
            <w:gridSpan w:val="4"/>
          </w:tcPr>
          <w:p w14:paraId="79543606" w14:textId="77777777" w:rsidR="000A5B9A" w:rsidRPr="002B7195" w:rsidRDefault="000A5B9A" w:rsidP="000A5B9A">
            <w:pPr>
              <w:pStyle w:val="Title2"/>
              <w:rPr>
                <w:lang w:val="es-ES"/>
              </w:rPr>
            </w:pPr>
            <w:bookmarkStart w:id="4" w:name="dtitle2" w:colFirst="0" w:colLast="0"/>
            <w:bookmarkEnd w:id="3"/>
          </w:p>
        </w:tc>
      </w:tr>
      <w:tr w:rsidR="000A5B9A" w:rsidRPr="002B7195" w14:paraId="74A13C66" w14:textId="77777777" w:rsidTr="0050008E">
        <w:trPr>
          <w:cantSplit/>
        </w:trPr>
        <w:tc>
          <w:tcPr>
            <w:tcW w:w="10031" w:type="dxa"/>
            <w:gridSpan w:val="4"/>
          </w:tcPr>
          <w:p w14:paraId="35BED294" w14:textId="77777777" w:rsidR="000A5B9A" w:rsidRPr="002B7195" w:rsidRDefault="000A5B9A" w:rsidP="000A5B9A">
            <w:pPr>
              <w:pStyle w:val="Agendaitem"/>
              <w:rPr>
                <w:lang w:val="es-ES"/>
              </w:rPr>
            </w:pPr>
            <w:bookmarkStart w:id="5" w:name="dtitle3" w:colFirst="0" w:colLast="0"/>
            <w:bookmarkEnd w:id="4"/>
            <w:r w:rsidRPr="002B7195">
              <w:rPr>
                <w:lang w:val="es-ES"/>
              </w:rPr>
              <w:t>Punto 1.12 del orden del día</w:t>
            </w:r>
          </w:p>
        </w:tc>
      </w:tr>
    </w:tbl>
    <w:bookmarkEnd w:id="5"/>
    <w:p w14:paraId="6896FD94" w14:textId="685874C4" w:rsidR="00CA2965" w:rsidRPr="002B7195" w:rsidRDefault="006442D1" w:rsidP="00F45787">
      <w:pPr>
        <w:pStyle w:val="Normalaftertitle"/>
        <w:rPr>
          <w:lang w:val="es-ES"/>
        </w:rPr>
      </w:pPr>
      <w:r w:rsidRPr="002B7195">
        <w:rPr>
          <w:lang w:val="es-ES"/>
        </w:rPr>
        <w:t>1.12</w:t>
      </w:r>
      <w:r w:rsidRPr="002B7195">
        <w:rPr>
          <w:lang w:val="es-ES"/>
        </w:rPr>
        <w:tab/>
        <w:t>realizar y completar, a tiempo para la CMR</w:t>
      </w:r>
      <w:r w:rsidRPr="002B7195">
        <w:rPr>
          <w:lang w:val="es-ES"/>
        </w:rPr>
        <w:noBreakHyphen/>
        <w:t xml:space="preserve">23, estudios sobre una posible nueva atribución secundaria al servicio de exploración de la Tierra por satélite (activo) para sondas de radar aerotransportadas en la gama de frecuencias alrededor de 45 MHz, teniendo en cuenta la protección de los servicios existentes, incluidas las bandas </w:t>
      </w:r>
      <w:r w:rsidRPr="002B7195">
        <w:rPr>
          <w:bCs/>
          <w:lang w:val="es-ES"/>
        </w:rPr>
        <w:t xml:space="preserve">de frecuencias </w:t>
      </w:r>
      <w:r w:rsidRPr="002B7195">
        <w:rPr>
          <w:lang w:val="es-ES"/>
        </w:rPr>
        <w:t>adyacentes, de conformidad con la Resolución </w:t>
      </w:r>
      <w:r w:rsidRPr="002B7195">
        <w:rPr>
          <w:b/>
          <w:bCs/>
          <w:lang w:val="es-ES"/>
        </w:rPr>
        <w:t>656 (Rev.CMR-19)</w:t>
      </w:r>
      <w:r w:rsidRPr="002B7195">
        <w:rPr>
          <w:lang w:val="es-ES"/>
        </w:rPr>
        <w:t>;</w:t>
      </w:r>
    </w:p>
    <w:p w14:paraId="42598FA8" w14:textId="77777777" w:rsidR="002B7195" w:rsidRPr="002B7195" w:rsidRDefault="002B7195" w:rsidP="00F45787">
      <w:pPr>
        <w:pStyle w:val="Headingb"/>
        <w:rPr>
          <w:lang w:val="es-ES"/>
        </w:rPr>
      </w:pPr>
      <w:r w:rsidRPr="002B7195">
        <w:rPr>
          <w:lang w:val="es-ES"/>
        </w:rPr>
        <w:t>Propuesta</w:t>
      </w:r>
    </w:p>
    <w:p w14:paraId="75F9C9CD" w14:textId="4BB51342" w:rsidR="002B7195" w:rsidRPr="002B7195" w:rsidRDefault="002B7195" w:rsidP="00F45787">
      <w:pPr>
        <w:rPr>
          <w:lang w:val="es-ES"/>
        </w:rPr>
      </w:pPr>
      <w:r w:rsidRPr="002B7195">
        <w:rPr>
          <w:lang w:val="es-ES"/>
        </w:rPr>
        <w:t xml:space="preserve">En este documento se presenta la propuesta de India en relación </w:t>
      </w:r>
      <w:r w:rsidR="00780F6D">
        <w:rPr>
          <w:lang w:val="es-ES"/>
        </w:rPr>
        <w:t>con</w:t>
      </w:r>
      <w:r w:rsidRPr="002B7195">
        <w:rPr>
          <w:lang w:val="es-ES"/>
        </w:rPr>
        <w:t xml:space="preserve"> el punto</w:t>
      </w:r>
      <w:r w:rsidR="00F45787">
        <w:rPr>
          <w:lang w:val="es-ES"/>
        </w:rPr>
        <w:t> </w:t>
      </w:r>
      <w:r w:rsidRPr="002B7195">
        <w:rPr>
          <w:lang w:val="es-ES"/>
        </w:rPr>
        <w:t>1.12 del orden del día de la CMR-23. Como los resultados de los estudios del UIT-R no han demostrado plenamente que puedan protegerse los servicios existentes contra eventuales interferencias perjudiciales causadas por el funcionamiento de las sondas de radar a bordo de vehículos espaciales en la banda de frecuencias 40-50</w:t>
      </w:r>
      <w:r w:rsidR="00F45787">
        <w:rPr>
          <w:lang w:val="es-ES"/>
        </w:rPr>
        <w:t> </w:t>
      </w:r>
      <w:r w:rsidRPr="002B7195">
        <w:rPr>
          <w:lang w:val="es-ES"/>
        </w:rPr>
        <w:t>MHz, India apoya el Método</w:t>
      </w:r>
      <w:r w:rsidR="00F45787">
        <w:rPr>
          <w:lang w:val="es-ES"/>
        </w:rPr>
        <w:t> </w:t>
      </w:r>
      <w:r w:rsidRPr="002B7195">
        <w:rPr>
          <w:lang w:val="es-ES"/>
        </w:rPr>
        <w:t xml:space="preserve">D descrito en el Informe de la RPC que propone </w:t>
      </w:r>
      <w:r w:rsidR="00F45787">
        <w:rPr>
          <w:lang w:val="es-ES"/>
        </w:rPr>
        <w:t>«</w:t>
      </w:r>
      <w:r w:rsidRPr="002B7195">
        <w:rPr>
          <w:lang w:val="es-ES"/>
        </w:rPr>
        <w:t>No modificar</w:t>
      </w:r>
      <w:r w:rsidR="00F45787">
        <w:rPr>
          <w:lang w:val="es-ES"/>
        </w:rPr>
        <w:t>»</w:t>
      </w:r>
      <w:r w:rsidRPr="002B7195">
        <w:rPr>
          <w:lang w:val="es-ES"/>
        </w:rPr>
        <w:t xml:space="preserve"> el Reglamento de Radiocomunicaciones.</w:t>
      </w:r>
    </w:p>
    <w:p w14:paraId="067C221E" w14:textId="6273BEB2" w:rsidR="008750A8" w:rsidRPr="002B7195" w:rsidRDefault="008750A8" w:rsidP="00F45787">
      <w:pPr>
        <w:rPr>
          <w:rFonts w:ascii="Times New Roman Bold" w:hAnsi="Times New Roman Bold" w:cs="Times New Roman Bold"/>
          <w:lang w:val="es-ES"/>
        </w:rPr>
      </w:pPr>
      <w:r w:rsidRPr="002B7195">
        <w:rPr>
          <w:lang w:val="es-ES"/>
        </w:rPr>
        <w:br w:type="page"/>
      </w:r>
    </w:p>
    <w:p w14:paraId="63359FB4" w14:textId="77777777" w:rsidR="00A203DB" w:rsidRPr="002B7195" w:rsidRDefault="006442D1">
      <w:pPr>
        <w:pStyle w:val="Proposal"/>
        <w:rPr>
          <w:lang w:val="es-ES"/>
        </w:rPr>
      </w:pPr>
      <w:r w:rsidRPr="002B7195">
        <w:rPr>
          <w:u w:val="single"/>
          <w:lang w:val="es-ES"/>
        </w:rPr>
        <w:lastRenderedPageBreak/>
        <w:t>NOC</w:t>
      </w:r>
      <w:r w:rsidRPr="002B7195">
        <w:rPr>
          <w:lang w:val="es-ES"/>
        </w:rPr>
        <w:tab/>
        <w:t>IND/157A12/1</w:t>
      </w:r>
      <w:r w:rsidRPr="002B7195">
        <w:rPr>
          <w:vanish/>
          <w:color w:val="7F7F7F" w:themeColor="text1" w:themeTint="80"/>
          <w:vertAlign w:val="superscript"/>
          <w:lang w:val="es-ES"/>
        </w:rPr>
        <w:t>#1812</w:t>
      </w:r>
    </w:p>
    <w:p w14:paraId="1B3CAF2F" w14:textId="77777777" w:rsidR="007704DB" w:rsidRPr="002B7195" w:rsidRDefault="006442D1" w:rsidP="008F621F">
      <w:pPr>
        <w:pStyle w:val="Volumetitle"/>
        <w:rPr>
          <w:lang w:val="es-ES"/>
        </w:rPr>
      </w:pPr>
      <w:r w:rsidRPr="002B7195">
        <w:rPr>
          <w:lang w:val="es-ES"/>
        </w:rPr>
        <w:t>ARTÍCULOS</w:t>
      </w:r>
    </w:p>
    <w:p w14:paraId="02195C0B" w14:textId="784FD930" w:rsidR="00A203DB" w:rsidRPr="002B7195" w:rsidRDefault="006442D1">
      <w:pPr>
        <w:pStyle w:val="Reasons"/>
        <w:rPr>
          <w:lang w:val="es-ES"/>
        </w:rPr>
      </w:pPr>
      <w:r w:rsidRPr="00F45787">
        <w:rPr>
          <w:b/>
          <w:bCs/>
        </w:rPr>
        <w:t>Motivos:</w:t>
      </w:r>
      <w:r w:rsidRPr="002B7195">
        <w:rPr>
          <w:lang w:val="es-ES"/>
        </w:rPr>
        <w:tab/>
      </w:r>
      <w:r w:rsidR="002B7195" w:rsidRPr="002B7195">
        <w:rPr>
          <w:lang w:val="es-ES"/>
        </w:rPr>
        <w:t>Los resultados de los estudios del UIT-R no han demostrado plenamente que puedan protegerse los servicios existentes contra eventuales interferencias perjudiciales causadas por el funcionamiento de las sondas de radar a bordo de vehículos espaciales en la banda de frecuencias 40-50</w:t>
      </w:r>
      <w:r w:rsidR="00F45787">
        <w:rPr>
          <w:lang w:val="es-ES"/>
        </w:rPr>
        <w:t> </w:t>
      </w:r>
      <w:r w:rsidR="002B7195" w:rsidRPr="002B7195">
        <w:rPr>
          <w:lang w:val="es-ES"/>
        </w:rPr>
        <w:t>MHz.</w:t>
      </w:r>
    </w:p>
    <w:p w14:paraId="21ECCDCB" w14:textId="77777777" w:rsidR="00A203DB" w:rsidRPr="002B7195" w:rsidRDefault="006442D1">
      <w:pPr>
        <w:pStyle w:val="Proposal"/>
        <w:rPr>
          <w:lang w:val="es-ES"/>
        </w:rPr>
      </w:pPr>
      <w:r w:rsidRPr="002B7195">
        <w:rPr>
          <w:u w:val="single"/>
          <w:lang w:val="es-ES"/>
        </w:rPr>
        <w:t>NOC</w:t>
      </w:r>
      <w:r w:rsidRPr="002B7195">
        <w:rPr>
          <w:lang w:val="es-ES"/>
        </w:rPr>
        <w:tab/>
        <w:t>IND/157A12/2</w:t>
      </w:r>
      <w:r w:rsidRPr="002B7195">
        <w:rPr>
          <w:vanish/>
          <w:color w:val="7F7F7F" w:themeColor="text1" w:themeTint="80"/>
          <w:vertAlign w:val="superscript"/>
          <w:lang w:val="es-ES"/>
        </w:rPr>
        <w:t>#1813</w:t>
      </w:r>
    </w:p>
    <w:p w14:paraId="149F9647" w14:textId="77777777" w:rsidR="007704DB" w:rsidRPr="002B7195" w:rsidRDefault="006442D1" w:rsidP="008F621F">
      <w:pPr>
        <w:pStyle w:val="Volumetitle"/>
        <w:rPr>
          <w:lang w:val="es-ES"/>
        </w:rPr>
      </w:pPr>
      <w:r w:rsidRPr="002B7195">
        <w:rPr>
          <w:lang w:val="es-ES"/>
        </w:rPr>
        <w:t>APÉNDICES</w:t>
      </w:r>
    </w:p>
    <w:p w14:paraId="4954EEBE" w14:textId="1DD56CF0" w:rsidR="00A203DB" w:rsidRPr="002B7195" w:rsidRDefault="006442D1">
      <w:pPr>
        <w:pStyle w:val="Reasons"/>
        <w:rPr>
          <w:lang w:val="es-ES"/>
        </w:rPr>
      </w:pPr>
      <w:r w:rsidRPr="00F45787">
        <w:rPr>
          <w:b/>
          <w:bCs/>
        </w:rPr>
        <w:t>Motivos:</w:t>
      </w:r>
      <w:r w:rsidRPr="002B7195">
        <w:rPr>
          <w:lang w:val="es-ES"/>
        </w:rPr>
        <w:tab/>
      </w:r>
      <w:r w:rsidR="002B7195" w:rsidRPr="002B7195">
        <w:rPr>
          <w:lang w:val="es-ES"/>
        </w:rPr>
        <w:t>Véase los motivos de la propuesta número</w:t>
      </w:r>
      <w:r w:rsidR="00F45787">
        <w:rPr>
          <w:lang w:val="es-ES"/>
        </w:rPr>
        <w:t> </w:t>
      </w:r>
      <w:r w:rsidR="002B7195" w:rsidRPr="002B7195">
        <w:rPr>
          <w:lang w:val="es-ES"/>
        </w:rPr>
        <w:t>1 anterior.</w:t>
      </w:r>
    </w:p>
    <w:p w14:paraId="5A57DDC4" w14:textId="77777777" w:rsidR="00A203DB" w:rsidRPr="002B7195" w:rsidRDefault="006442D1">
      <w:pPr>
        <w:pStyle w:val="Proposal"/>
        <w:rPr>
          <w:lang w:val="es-ES"/>
        </w:rPr>
      </w:pPr>
      <w:r w:rsidRPr="002B7195">
        <w:rPr>
          <w:lang w:val="es-ES"/>
        </w:rPr>
        <w:t>SUP</w:t>
      </w:r>
      <w:r w:rsidRPr="002B7195">
        <w:rPr>
          <w:lang w:val="es-ES"/>
        </w:rPr>
        <w:tab/>
        <w:t>IND/157A12/3</w:t>
      </w:r>
      <w:r w:rsidRPr="002B7195">
        <w:rPr>
          <w:vanish/>
          <w:color w:val="7F7F7F" w:themeColor="text1" w:themeTint="80"/>
          <w:vertAlign w:val="superscript"/>
          <w:lang w:val="es-ES"/>
        </w:rPr>
        <w:t>#1814</w:t>
      </w:r>
    </w:p>
    <w:p w14:paraId="77E393DF" w14:textId="77777777" w:rsidR="007704DB" w:rsidRPr="002B7195" w:rsidRDefault="006442D1" w:rsidP="008F621F">
      <w:pPr>
        <w:pStyle w:val="ResNo"/>
        <w:rPr>
          <w:lang w:val="es-ES"/>
        </w:rPr>
      </w:pPr>
      <w:bookmarkStart w:id="6" w:name="_Toc39735029"/>
      <w:r w:rsidRPr="002B7195">
        <w:rPr>
          <w:lang w:val="es-ES"/>
        </w:rPr>
        <w:t>RESOLUCIÓN 656 (REV.CMR</w:t>
      </w:r>
      <w:r w:rsidRPr="002B7195">
        <w:rPr>
          <w:lang w:val="es-ES"/>
        </w:rPr>
        <w:noBreakHyphen/>
        <w:t>19)</w:t>
      </w:r>
      <w:bookmarkEnd w:id="6"/>
    </w:p>
    <w:p w14:paraId="70ACD2E3" w14:textId="77777777" w:rsidR="007704DB" w:rsidRPr="002B7195" w:rsidRDefault="006442D1" w:rsidP="008F621F">
      <w:pPr>
        <w:pStyle w:val="Restitle"/>
        <w:rPr>
          <w:lang w:val="es-ES"/>
        </w:rPr>
      </w:pPr>
      <w:bookmarkStart w:id="7" w:name="_Toc36190308"/>
      <w:bookmarkStart w:id="8" w:name="_Toc39735030"/>
      <w:r w:rsidRPr="002B7195">
        <w:rPr>
          <w:lang w:val="es-ES"/>
        </w:rPr>
        <w:t xml:space="preserve">Posible atribución a título secundario al servicio de exploración de la Tierra </w:t>
      </w:r>
      <w:r w:rsidRPr="002B7195">
        <w:rPr>
          <w:lang w:val="es-ES"/>
        </w:rPr>
        <w:br/>
        <w:t xml:space="preserve">por satélite (activo) para sondas de radar en vehículos espaciales </w:t>
      </w:r>
      <w:r w:rsidRPr="002B7195">
        <w:rPr>
          <w:lang w:val="es-ES"/>
        </w:rPr>
        <w:br/>
        <w:t>en la gama de frecuencias alrededor de 45 MHz</w:t>
      </w:r>
      <w:bookmarkEnd w:id="7"/>
      <w:bookmarkEnd w:id="8"/>
    </w:p>
    <w:p w14:paraId="3123387D" w14:textId="048BEC47" w:rsidR="00A203DB" w:rsidRPr="002B7195" w:rsidRDefault="006442D1">
      <w:pPr>
        <w:pStyle w:val="Reasons"/>
        <w:rPr>
          <w:lang w:val="es-ES"/>
        </w:rPr>
      </w:pPr>
      <w:r w:rsidRPr="00F45787">
        <w:rPr>
          <w:b/>
          <w:bCs/>
        </w:rPr>
        <w:t>Motivos:</w:t>
      </w:r>
      <w:r w:rsidRPr="002B7195">
        <w:rPr>
          <w:lang w:val="es-ES"/>
        </w:rPr>
        <w:tab/>
      </w:r>
      <w:r w:rsidR="002B7195" w:rsidRPr="002B7195">
        <w:rPr>
          <w:lang w:val="es-ES"/>
        </w:rPr>
        <w:t>Esta Resolución ya no es necesaria.</w:t>
      </w:r>
    </w:p>
    <w:p w14:paraId="351565A7" w14:textId="77777777" w:rsidR="00F45787" w:rsidRDefault="00F45787" w:rsidP="00F45787"/>
    <w:p w14:paraId="10E99A5A" w14:textId="77777777" w:rsidR="00F45787" w:rsidRDefault="00F45787">
      <w:pPr>
        <w:jc w:val="center"/>
      </w:pPr>
      <w:r>
        <w:t>______________</w:t>
      </w:r>
    </w:p>
    <w:sectPr w:rsidR="00F45787">
      <w:headerReference w:type="default" r:id="rId14"/>
      <w:footerReference w:type="even" r:id="rId15"/>
      <w:footerReference w:type="default" r:id="rId16"/>
      <w:footerReference w:type="first" r:id="rId17"/>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BD97" w14:textId="77777777" w:rsidR="00666B37" w:rsidRDefault="00666B37">
      <w:r>
        <w:separator/>
      </w:r>
    </w:p>
  </w:endnote>
  <w:endnote w:type="continuationSeparator" w:id="0">
    <w:p w14:paraId="1D9E706D" w14:textId="77777777" w:rsidR="00666B37" w:rsidRDefault="0066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AA80"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1DB417" w14:textId="1AC53287"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C707F2">
      <w:rPr>
        <w:noProof/>
      </w:rPr>
      <w:t>13.11.23</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CCA8" w14:textId="4AE101F8" w:rsidR="0077084A" w:rsidRPr="00F45787" w:rsidRDefault="00F45787" w:rsidP="00F45787">
    <w:pPr>
      <w:pStyle w:val="Footer"/>
      <w:rPr>
        <w:lang w:val="en-US"/>
      </w:rPr>
    </w:pPr>
    <w:r>
      <w:fldChar w:fldCharType="begin"/>
    </w:r>
    <w:r>
      <w:instrText xml:space="preserve"> FILENAME \p  \* MERGEFORMAT </w:instrText>
    </w:r>
    <w:r>
      <w:fldChar w:fldCharType="separate"/>
    </w:r>
    <w:r>
      <w:t>P:\ESP\ITU-R\CONF-R\CMR23\100\157ADD12S.docx</w:t>
    </w:r>
    <w:r>
      <w:fldChar w:fldCharType="end"/>
    </w:r>
    <w:r>
      <w:t xml:space="preserve"> (</w:t>
    </w:r>
    <w:r w:rsidRPr="00F45787">
      <w:t>530431</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BB22" w14:textId="192D20CF" w:rsidR="0077084A" w:rsidRPr="006442D1" w:rsidRDefault="00F45787" w:rsidP="00F45787">
    <w:pPr>
      <w:pStyle w:val="Footer"/>
      <w:rPr>
        <w:lang w:val="en-US"/>
      </w:rPr>
    </w:pPr>
    <w:fldSimple w:instr=" FILENAME \p  \* MERGEFORMAT ">
      <w:r>
        <w:t>P:\ESP\ITU-R\CONF-R\CMR23\100\157ADD12S.docx</w:t>
      </w:r>
    </w:fldSimple>
    <w:r>
      <w:t xml:space="preserve"> (</w:t>
    </w:r>
    <w:r w:rsidRPr="00F45787">
      <w:t>530431</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23494" w14:textId="77777777" w:rsidR="00666B37" w:rsidRDefault="00666B37">
      <w:r>
        <w:rPr>
          <w:b/>
        </w:rPr>
        <w:t>_______________</w:t>
      </w:r>
    </w:p>
  </w:footnote>
  <w:footnote w:type="continuationSeparator" w:id="0">
    <w:p w14:paraId="1ECC60A3" w14:textId="77777777" w:rsidR="00666B37" w:rsidRDefault="0066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E5C9" w14:textId="604AE22E"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03E0F">
      <w:rPr>
        <w:rStyle w:val="PageNumber"/>
        <w:noProof/>
      </w:rPr>
      <w:t>2</w:t>
    </w:r>
    <w:r>
      <w:rPr>
        <w:rStyle w:val="PageNumber"/>
      </w:rPr>
      <w:fldChar w:fldCharType="end"/>
    </w:r>
  </w:p>
  <w:p w14:paraId="31E5090B" w14:textId="77777777" w:rsidR="0077084A" w:rsidRDefault="000A2A7D" w:rsidP="00C44E9E">
    <w:pPr>
      <w:pStyle w:val="Header"/>
      <w:rPr>
        <w:lang w:val="en-US"/>
      </w:rPr>
    </w:pPr>
    <w:r>
      <w:rPr>
        <w:lang w:val="en-US"/>
      </w:rPr>
      <w:t>WRC</w:t>
    </w:r>
    <w:r w:rsidR="004D2749">
      <w:rPr>
        <w:lang w:val="en-US"/>
      </w:rPr>
      <w:t>23</w:t>
    </w:r>
    <w:r w:rsidR="008750A8">
      <w:rPr>
        <w:lang w:val="en-US"/>
      </w:rPr>
      <w:t>/</w:t>
    </w:r>
    <w:r w:rsidR="00702F3D">
      <w:t>157(Add.12)-</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1231816540">
    <w:abstractNumId w:val="8"/>
  </w:num>
  <w:num w:numId="2" w16cid:durableId="11803924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76370228">
    <w:abstractNumId w:val="9"/>
  </w:num>
  <w:num w:numId="4" w16cid:durableId="893352981">
    <w:abstractNumId w:val="7"/>
  </w:num>
  <w:num w:numId="5" w16cid:durableId="1939555653">
    <w:abstractNumId w:val="6"/>
  </w:num>
  <w:num w:numId="6" w16cid:durableId="468283904">
    <w:abstractNumId w:val="5"/>
  </w:num>
  <w:num w:numId="7" w16cid:durableId="1102456191">
    <w:abstractNumId w:val="4"/>
  </w:num>
  <w:num w:numId="8" w16cid:durableId="714933162">
    <w:abstractNumId w:val="3"/>
  </w:num>
  <w:num w:numId="9" w16cid:durableId="2139639907">
    <w:abstractNumId w:val="2"/>
  </w:num>
  <w:num w:numId="10" w16cid:durableId="890386399">
    <w:abstractNumId w:val="1"/>
  </w:num>
  <w:num w:numId="11" w16cid:durableId="81526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91054"/>
    <w:rsid w:val="000A2A7D"/>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3659C"/>
    <w:rsid w:val="00236D2A"/>
    <w:rsid w:val="0024569E"/>
    <w:rsid w:val="00255F12"/>
    <w:rsid w:val="00262C09"/>
    <w:rsid w:val="002A791F"/>
    <w:rsid w:val="002B7195"/>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72A86"/>
    <w:rsid w:val="004B124A"/>
    <w:rsid w:val="004B3095"/>
    <w:rsid w:val="004D2749"/>
    <w:rsid w:val="004D2C7C"/>
    <w:rsid w:val="00503E0F"/>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442D1"/>
    <w:rsid w:val="00662BA0"/>
    <w:rsid w:val="00666B37"/>
    <w:rsid w:val="0067344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80F6D"/>
    <w:rsid w:val="007952C7"/>
    <w:rsid w:val="007C0B95"/>
    <w:rsid w:val="007C2317"/>
    <w:rsid w:val="007D330A"/>
    <w:rsid w:val="0080079E"/>
    <w:rsid w:val="008504C2"/>
    <w:rsid w:val="00866AE6"/>
    <w:rsid w:val="008750A8"/>
    <w:rsid w:val="008D3316"/>
    <w:rsid w:val="008E5AF2"/>
    <w:rsid w:val="0090121B"/>
    <w:rsid w:val="009144C9"/>
    <w:rsid w:val="0094091F"/>
    <w:rsid w:val="009608E8"/>
    <w:rsid w:val="00962171"/>
    <w:rsid w:val="00973754"/>
    <w:rsid w:val="009C0BED"/>
    <w:rsid w:val="009E11EC"/>
    <w:rsid w:val="00A021CC"/>
    <w:rsid w:val="00A118DB"/>
    <w:rsid w:val="00A203DB"/>
    <w:rsid w:val="00A4450C"/>
    <w:rsid w:val="00AA5E6C"/>
    <w:rsid w:val="00AC49B1"/>
    <w:rsid w:val="00AE5677"/>
    <w:rsid w:val="00AE658F"/>
    <w:rsid w:val="00AF2F78"/>
    <w:rsid w:val="00B239FA"/>
    <w:rsid w:val="00B372AB"/>
    <w:rsid w:val="00B47331"/>
    <w:rsid w:val="00B52D55"/>
    <w:rsid w:val="00B8288C"/>
    <w:rsid w:val="00B86034"/>
    <w:rsid w:val="00BE2E80"/>
    <w:rsid w:val="00BE5EDD"/>
    <w:rsid w:val="00BE6A1F"/>
    <w:rsid w:val="00C126C4"/>
    <w:rsid w:val="00C44E9E"/>
    <w:rsid w:val="00C63EB5"/>
    <w:rsid w:val="00C707F2"/>
    <w:rsid w:val="00C87DA7"/>
    <w:rsid w:val="00CA4945"/>
    <w:rsid w:val="00CC01E0"/>
    <w:rsid w:val="00CD5FEE"/>
    <w:rsid w:val="00CE60D2"/>
    <w:rsid w:val="00CE7431"/>
    <w:rsid w:val="00D00CA8"/>
    <w:rsid w:val="00D0288A"/>
    <w:rsid w:val="00D72A5D"/>
    <w:rsid w:val="00DA71A3"/>
    <w:rsid w:val="00DC1922"/>
    <w:rsid w:val="00DC629B"/>
    <w:rsid w:val="00DE1C31"/>
    <w:rsid w:val="00E05BFF"/>
    <w:rsid w:val="00E262F1"/>
    <w:rsid w:val="00E3176A"/>
    <w:rsid w:val="00E36CE4"/>
    <w:rsid w:val="00E54754"/>
    <w:rsid w:val="00E56BD3"/>
    <w:rsid w:val="00E71D14"/>
    <w:rsid w:val="00EA77F0"/>
    <w:rsid w:val="00F32316"/>
    <w:rsid w:val="00F45787"/>
    <w:rsid w:val="00F66597"/>
    <w:rsid w:val="00F675D0"/>
    <w:rsid w:val="00F8150C"/>
    <w:rsid w:val="00FD03C4"/>
    <w:rsid w:val="00FD412D"/>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DB1977"/>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F45787"/>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R23-WRC23-C-0157!A12!MSW-S</DPM_x0020_File_x0020_name>
    <DPM_x0020_Author xmlns="32a1a8c5-2265-4ebc-b7a0-2071e2c5c9bb" xsi:nil="false">DPM</DPM_x0020_Author>
    <DPM_x0020_Version xmlns="32a1a8c5-2265-4ebc-b7a0-2071e2c5c9bb" xsi:nil="false">DPM_2022.05.12.01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159F1-7FFF-4AAF-8D89-BEB87A051A9C}">
  <ds:schemaRefs>
    <ds:schemaRef ds:uri="http://schemas.microsoft.com/sharepoint/v3/contenttype/forms"/>
  </ds:schemaRefs>
</ds:datastoreItem>
</file>

<file path=customXml/itemProps2.xml><?xml version="1.0" encoding="utf-8"?>
<ds:datastoreItem xmlns:ds="http://schemas.openxmlformats.org/officeDocument/2006/customXml" ds:itemID="{CA00C1B8-16D7-4797-8F22-B7F65C359297}">
  <ds:schemaRefs>
    <ds:schemaRef ds:uri="http://schemas.microsoft.com/sharepoint/events"/>
  </ds:schemaRefs>
</ds:datastoreItem>
</file>

<file path=customXml/itemProps3.xml><?xml version="1.0" encoding="utf-8"?>
<ds:datastoreItem xmlns:ds="http://schemas.openxmlformats.org/officeDocument/2006/customXml" ds:itemID="{D71F354D-C70F-4512-9079-DB557B4940AD}">
  <ds:schemaRefs>
    <ds:schemaRef ds:uri="http://schemas.microsoft.com/office/2006/documentManagement/types"/>
    <ds:schemaRef ds:uri="http://schemas.microsoft.com/office/2006/metadata/properties"/>
    <ds:schemaRef ds:uri="http://purl.org/dc/dcmitype/"/>
    <ds:schemaRef ds:uri="http://purl.org/dc/elements/1.1/"/>
    <ds:schemaRef ds:uri="996b2e75-67fd-4955-a3b0-5ab9934cb50b"/>
    <ds:schemaRef ds:uri="http://schemas.microsoft.com/office/infopath/2007/PartnerControls"/>
    <ds:schemaRef ds:uri="http://www.w3.org/XML/1998/namespace"/>
    <ds:schemaRef ds:uri="http://purl.org/dc/terms/"/>
    <ds:schemaRef ds:uri="http://schemas.openxmlformats.org/package/2006/metadata/core-properties"/>
    <ds:schemaRef ds:uri="32a1a8c5-2265-4ebc-b7a0-2071e2c5c9bb"/>
  </ds:schemaRefs>
</ds:datastoreItem>
</file>

<file path=customXml/itemProps4.xml><?xml version="1.0" encoding="utf-8"?>
<ds:datastoreItem xmlns:ds="http://schemas.openxmlformats.org/officeDocument/2006/customXml" ds:itemID="{D27DC663-B3E8-4AAE-AA86-FE3D8ADC78ED}">
  <ds:schemaRefs>
    <ds:schemaRef ds:uri="http://schemas.openxmlformats.org/officeDocument/2006/bibliography"/>
  </ds:schemaRefs>
</ds:datastoreItem>
</file>

<file path=customXml/itemProps5.xml><?xml version="1.0" encoding="utf-8"?>
<ds:datastoreItem xmlns:ds="http://schemas.openxmlformats.org/officeDocument/2006/customXml" ds:itemID="{790C1878-52AB-49FA-BE6B-58E9F8F29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296</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R23-WRC23-C-0157!A12!MSW-S</vt:lpstr>
    </vt:vector>
  </TitlesOfParts>
  <Manager>Secretaría General - Pool</Manager>
  <Company>Unión Internacional de Telecomunicaciones (UIT)</Company>
  <LinksUpToDate>false</LinksUpToDate>
  <CharactersWithSpaces>1992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R23-WRC23-C-0157!A12!MSW-S</dc:title>
  <dc:subject>Conferencia Mundial de Radiocomunicaciones - 2019</dc:subject>
  <dc:creator>Documents Proposals Manager (DPM)</dc:creator>
  <cp:keywords>DPM_v2023.11.6.1_prod</cp:keywords>
  <dc:description/>
  <cp:lastModifiedBy>Spanish83</cp:lastModifiedBy>
  <cp:revision>3</cp:revision>
  <cp:lastPrinted>2003-02-19T20:20:00Z</cp:lastPrinted>
  <dcterms:created xsi:type="dcterms:W3CDTF">2023-11-15T01:04:00Z</dcterms:created>
  <dcterms:modified xsi:type="dcterms:W3CDTF">2023-11-15T01:11:00Z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