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B56C1" w14:paraId="19DC4DAA" w14:textId="77777777" w:rsidTr="00F320AA">
        <w:trPr>
          <w:cantSplit/>
        </w:trPr>
        <w:tc>
          <w:tcPr>
            <w:tcW w:w="1418" w:type="dxa"/>
            <w:vAlign w:val="center"/>
          </w:tcPr>
          <w:p w14:paraId="5297A90F" w14:textId="77777777" w:rsidR="00F320AA" w:rsidRPr="00FB56C1" w:rsidRDefault="00F320AA" w:rsidP="00F320AA">
            <w:pPr>
              <w:spacing w:before="0"/>
              <w:rPr>
                <w:rFonts w:ascii="Verdana" w:hAnsi="Verdana"/>
                <w:position w:val="6"/>
              </w:rPr>
            </w:pPr>
            <w:r w:rsidRPr="00FB56C1">
              <w:drawing>
                <wp:inline distT="0" distB="0" distL="0" distR="0" wp14:anchorId="19525E7D" wp14:editId="07FF9FF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F3D7F31" w14:textId="77777777" w:rsidR="00F320AA" w:rsidRPr="00FB56C1" w:rsidRDefault="00F320AA" w:rsidP="00F320AA">
            <w:pPr>
              <w:spacing w:before="400" w:after="48" w:line="240" w:lineRule="atLeast"/>
              <w:rPr>
                <w:rFonts w:ascii="Verdana" w:hAnsi="Verdana"/>
                <w:position w:val="6"/>
              </w:rPr>
            </w:pPr>
            <w:r w:rsidRPr="00FB56C1">
              <w:rPr>
                <w:rFonts w:ascii="Verdana" w:hAnsi="Verdana" w:cs="Times"/>
                <w:b/>
                <w:position w:val="6"/>
                <w:sz w:val="22"/>
                <w:szCs w:val="22"/>
              </w:rPr>
              <w:t>World Radiocommunication Conference (WRC-23)</w:t>
            </w:r>
            <w:r w:rsidRPr="00FB56C1">
              <w:rPr>
                <w:rFonts w:ascii="Verdana" w:hAnsi="Verdana" w:cs="Times"/>
                <w:b/>
                <w:position w:val="6"/>
                <w:sz w:val="26"/>
                <w:szCs w:val="26"/>
              </w:rPr>
              <w:br/>
            </w:r>
            <w:r w:rsidRPr="00FB56C1">
              <w:rPr>
                <w:rFonts w:ascii="Verdana" w:hAnsi="Verdana"/>
                <w:b/>
                <w:bCs/>
                <w:position w:val="6"/>
                <w:sz w:val="18"/>
                <w:szCs w:val="18"/>
              </w:rPr>
              <w:t>Dubai, 20 November - 15 December 2023</w:t>
            </w:r>
          </w:p>
        </w:tc>
        <w:tc>
          <w:tcPr>
            <w:tcW w:w="1951" w:type="dxa"/>
            <w:vAlign w:val="center"/>
          </w:tcPr>
          <w:p w14:paraId="15452D01" w14:textId="77777777" w:rsidR="00F320AA" w:rsidRPr="00FB56C1" w:rsidRDefault="00EB0812" w:rsidP="00F320AA">
            <w:pPr>
              <w:spacing w:before="0" w:line="240" w:lineRule="atLeast"/>
            </w:pPr>
            <w:r w:rsidRPr="00FB56C1">
              <w:drawing>
                <wp:inline distT="0" distB="0" distL="0" distR="0" wp14:anchorId="74A906FE" wp14:editId="137E41E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B56C1" w14:paraId="771F5A63" w14:textId="77777777">
        <w:trPr>
          <w:cantSplit/>
        </w:trPr>
        <w:tc>
          <w:tcPr>
            <w:tcW w:w="6911" w:type="dxa"/>
            <w:gridSpan w:val="2"/>
            <w:tcBorders>
              <w:bottom w:val="single" w:sz="12" w:space="0" w:color="auto"/>
            </w:tcBorders>
          </w:tcPr>
          <w:p w14:paraId="339C457B" w14:textId="77777777" w:rsidR="00A066F1" w:rsidRPr="00FB56C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D22478B" w14:textId="77777777" w:rsidR="00A066F1" w:rsidRPr="00FB56C1" w:rsidRDefault="00A066F1" w:rsidP="00A066F1">
            <w:pPr>
              <w:spacing w:before="0" w:line="240" w:lineRule="atLeast"/>
              <w:rPr>
                <w:rFonts w:ascii="Verdana" w:hAnsi="Verdana"/>
                <w:szCs w:val="24"/>
              </w:rPr>
            </w:pPr>
          </w:p>
        </w:tc>
      </w:tr>
      <w:tr w:rsidR="00A066F1" w:rsidRPr="00FB56C1" w14:paraId="785D4668" w14:textId="77777777">
        <w:trPr>
          <w:cantSplit/>
        </w:trPr>
        <w:tc>
          <w:tcPr>
            <w:tcW w:w="6911" w:type="dxa"/>
            <w:gridSpan w:val="2"/>
            <w:tcBorders>
              <w:top w:val="single" w:sz="12" w:space="0" w:color="auto"/>
            </w:tcBorders>
          </w:tcPr>
          <w:p w14:paraId="08DB7F54" w14:textId="77777777" w:rsidR="00A066F1" w:rsidRPr="00FB56C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7B07AA0" w14:textId="77777777" w:rsidR="00A066F1" w:rsidRPr="00FB56C1" w:rsidRDefault="00A066F1" w:rsidP="00A066F1">
            <w:pPr>
              <w:spacing w:before="0" w:line="240" w:lineRule="atLeast"/>
              <w:rPr>
                <w:rFonts w:ascii="Verdana" w:hAnsi="Verdana"/>
                <w:sz w:val="20"/>
              </w:rPr>
            </w:pPr>
          </w:p>
        </w:tc>
      </w:tr>
      <w:tr w:rsidR="00A066F1" w:rsidRPr="00FB56C1" w14:paraId="68537917" w14:textId="77777777">
        <w:trPr>
          <w:cantSplit/>
          <w:trHeight w:val="23"/>
        </w:trPr>
        <w:tc>
          <w:tcPr>
            <w:tcW w:w="6911" w:type="dxa"/>
            <w:gridSpan w:val="2"/>
            <w:shd w:val="clear" w:color="auto" w:fill="auto"/>
          </w:tcPr>
          <w:p w14:paraId="2D62EE68" w14:textId="77777777" w:rsidR="00A066F1" w:rsidRPr="00FB56C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FB56C1">
              <w:rPr>
                <w:rFonts w:ascii="Verdana" w:hAnsi="Verdana"/>
                <w:sz w:val="20"/>
                <w:szCs w:val="20"/>
              </w:rPr>
              <w:t>PLENARY MEETING</w:t>
            </w:r>
          </w:p>
        </w:tc>
        <w:tc>
          <w:tcPr>
            <w:tcW w:w="3120" w:type="dxa"/>
            <w:gridSpan w:val="2"/>
          </w:tcPr>
          <w:p w14:paraId="4760D18A" w14:textId="77777777" w:rsidR="00A066F1" w:rsidRPr="00FB56C1" w:rsidRDefault="00E55816" w:rsidP="00AA666F">
            <w:pPr>
              <w:tabs>
                <w:tab w:val="left" w:pos="851"/>
              </w:tabs>
              <w:spacing w:before="0" w:line="240" w:lineRule="atLeast"/>
              <w:rPr>
                <w:rFonts w:ascii="Verdana" w:hAnsi="Verdana"/>
                <w:sz w:val="20"/>
              </w:rPr>
            </w:pPr>
            <w:r w:rsidRPr="00FB56C1">
              <w:rPr>
                <w:rFonts w:ascii="Verdana" w:hAnsi="Verdana"/>
                <w:b/>
                <w:sz w:val="20"/>
              </w:rPr>
              <w:t>Addendum 25 to</w:t>
            </w:r>
            <w:r w:rsidRPr="00FB56C1">
              <w:rPr>
                <w:rFonts w:ascii="Verdana" w:hAnsi="Verdana"/>
                <w:b/>
                <w:sz w:val="20"/>
              </w:rPr>
              <w:br/>
              <w:t>Document 153</w:t>
            </w:r>
            <w:r w:rsidR="00A066F1" w:rsidRPr="00FB56C1">
              <w:rPr>
                <w:rFonts w:ascii="Verdana" w:hAnsi="Verdana"/>
                <w:b/>
                <w:sz w:val="20"/>
              </w:rPr>
              <w:t>-</w:t>
            </w:r>
            <w:r w:rsidR="005E10C9" w:rsidRPr="00FB56C1">
              <w:rPr>
                <w:rFonts w:ascii="Verdana" w:hAnsi="Verdana"/>
                <w:b/>
                <w:sz w:val="20"/>
              </w:rPr>
              <w:t>E</w:t>
            </w:r>
          </w:p>
        </w:tc>
      </w:tr>
      <w:tr w:rsidR="00A066F1" w:rsidRPr="00FB56C1" w14:paraId="5DD1479D" w14:textId="77777777">
        <w:trPr>
          <w:cantSplit/>
          <w:trHeight w:val="23"/>
        </w:trPr>
        <w:tc>
          <w:tcPr>
            <w:tcW w:w="6911" w:type="dxa"/>
            <w:gridSpan w:val="2"/>
            <w:shd w:val="clear" w:color="auto" w:fill="auto"/>
          </w:tcPr>
          <w:p w14:paraId="65595F04" w14:textId="77777777" w:rsidR="00A066F1" w:rsidRPr="00FB56C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09EF95E" w14:textId="77777777" w:rsidR="00A066F1" w:rsidRPr="00FB56C1" w:rsidRDefault="00420873" w:rsidP="00A066F1">
            <w:pPr>
              <w:tabs>
                <w:tab w:val="left" w:pos="993"/>
              </w:tabs>
              <w:spacing w:before="0"/>
              <w:rPr>
                <w:rFonts w:ascii="Verdana" w:hAnsi="Verdana"/>
                <w:sz w:val="20"/>
              </w:rPr>
            </w:pPr>
            <w:r w:rsidRPr="00FB56C1">
              <w:rPr>
                <w:rFonts w:ascii="Verdana" w:hAnsi="Verdana"/>
                <w:b/>
                <w:sz w:val="20"/>
              </w:rPr>
              <w:t>30 October 2023</w:t>
            </w:r>
          </w:p>
        </w:tc>
      </w:tr>
      <w:tr w:rsidR="00A066F1" w:rsidRPr="00FB56C1" w14:paraId="4DD60D0E" w14:textId="77777777">
        <w:trPr>
          <w:cantSplit/>
          <w:trHeight w:val="23"/>
        </w:trPr>
        <w:tc>
          <w:tcPr>
            <w:tcW w:w="6911" w:type="dxa"/>
            <w:gridSpan w:val="2"/>
            <w:shd w:val="clear" w:color="auto" w:fill="auto"/>
          </w:tcPr>
          <w:p w14:paraId="40B54247" w14:textId="77777777" w:rsidR="00A066F1" w:rsidRPr="00FB56C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04BC7B62" w14:textId="77777777" w:rsidR="00A066F1" w:rsidRPr="00FB56C1" w:rsidRDefault="00E55816" w:rsidP="00A066F1">
            <w:pPr>
              <w:tabs>
                <w:tab w:val="left" w:pos="993"/>
              </w:tabs>
              <w:spacing w:before="0"/>
              <w:rPr>
                <w:rFonts w:ascii="Verdana" w:hAnsi="Verdana"/>
                <w:b/>
                <w:sz w:val="20"/>
              </w:rPr>
            </w:pPr>
            <w:r w:rsidRPr="00FB56C1">
              <w:rPr>
                <w:rFonts w:ascii="Verdana" w:hAnsi="Verdana"/>
                <w:b/>
                <w:sz w:val="20"/>
              </w:rPr>
              <w:t>Original: English</w:t>
            </w:r>
          </w:p>
        </w:tc>
      </w:tr>
      <w:tr w:rsidR="00A066F1" w:rsidRPr="00FB56C1" w14:paraId="02BFCBE8" w14:textId="77777777" w:rsidTr="00025864">
        <w:trPr>
          <w:cantSplit/>
          <w:trHeight w:val="23"/>
        </w:trPr>
        <w:tc>
          <w:tcPr>
            <w:tcW w:w="10031" w:type="dxa"/>
            <w:gridSpan w:val="4"/>
            <w:shd w:val="clear" w:color="auto" w:fill="auto"/>
          </w:tcPr>
          <w:p w14:paraId="27BFC39B" w14:textId="77777777" w:rsidR="00A066F1" w:rsidRPr="00FB56C1" w:rsidRDefault="00A066F1" w:rsidP="00A066F1">
            <w:pPr>
              <w:tabs>
                <w:tab w:val="left" w:pos="993"/>
              </w:tabs>
              <w:spacing w:before="0"/>
              <w:rPr>
                <w:rFonts w:ascii="Verdana" w:hAnsi="Verdana"/>
                <w:b/>
                <w:sz w:val="20"/>
              </w:rPr>
            </w:pPr>
          </w:p>
        </w:tc>
      </w:tr>
      <w:tr w:rsidR="00E55816" w:rsidRPr="00FB56C1" w14:paraId="3DC6BF4E" w14:textId="77777777" w:rsidTr="00025864">
        <w:trPr>
          <w:cantSplit/>
          <w:trHeight w:val="23"/>
        </w:trPr>
        <w:tc>
          <w:tcPr>
            <w:tcW w:w="10031" w:type="dxa"/>
            <w:gridSpan w:val="4"/>
            <w:shd w:val="clear" w:color="auto" w:fill="auto"/>
          </w:tcPr>
          <w:p w14:paraId="12FE3869" w14:textId="77777777" w:rsidR="00E55816" w:rsidRPr="00FB56C1" w:rsidRDefault="00884D60" w:rsidP="00E55816">
            <w:pPr>
              <w:pStyle w:val="Source"/>
            </w:pPr>
            <w:r w:rsidRPr="00FB56C1">
              <w:t>Korea (Republic of)</w:t>
            </w:r>
          </w:p>
        </w:tc>
      </w:tr>
      <w:tr w:rsidR="00E55816" w:rsidRPr="00FB56C1" w14:paraId="55D33A25" w14:textId="77777777" w:rsidTr="00025864">
        <w:trPr>
          <w:cantSplit/>
          <w:trHeight w:val="23"/>
        </w:trPr>
        <w:tc>
          <w:tcPr>
            <w:tcW w:w="10031" w:type="dxa"/>
            <w:gridSpan w:val="4"/>
            <w:shd w:val="clear" w:color="auto" w:fill="auto"/>
          </w:tcPr>
          <w:p w14:paraId="0CA5F5CC" w14:textId="77777777" w:rsidR="00E55816" w:rsidRPr="00FB56C1" w:rsidRDefault="007D5320" w:rsidP="00E55816">
            <w:pPr>
              <w:pStyle w:val="Title1"/>
            </w:pPr>
            <w:r w:rsidRPr="00FB56C1">
              <w:t>PROPOSALS FOR THE WORK OF THE CONFERENCE</w:t>
            </w:r>
          </w:p>
        </w:tc>
      </w:tr>
      <w:tr w:rsidR="00E55816" w:rsidRPr="00FB56C1" w14:paraId="4A150CCC" w14:textId="77777777" w:rsidTr="00025864">
        <w:trPr>
          <w:cantSplit/>
          <w:trHeight w:val="23"/>
        </w:trPr>
        <w:tc>
          <w:tcPr>
            <w:tcW w:w="10031" w:type="dxa"/>
            <w:gridSpan w:val="4"/>
            <w:shd w:val="clear" w:color="auto" w:fill="auto"/>
          </w:tcPr>
          <w:p w14:paraId="236A8FA2" w14:textId="77777777" w:rsidR="00E55816" w:rsidRPr="00FB56C1" w:rsidRDefault="00E55816" w:rsidP="00E55816">
            <w:pPr>
              <w:pStyle w:val="Title2"/>
            </w:pPr>
          </w:p>
        </w:tc>
      </w:tr>
      <w:tr w:rsidR="00A538A6" w:rsidRPr="00FB56C1" w14:paraId="14ABA1E9" w14:textId="77777777" w:rsidTr="00025864">
        <w:trPr>
          <w:cantSplit/>
          <w:trHeight w:val="23"/>
        </w:trPr>
        <w:tc>
          <w:tcPr>
            <w:tcW w:w="10031" w:type="dxa"/>
            <w:gridSpan w:val="4"/>
            <w:shd w:val="clear" w:color="auto" w:fill="auto"/>
          </w:tcPr>
          <w:p w14:paraId="2498CADF" w14:textId="77777777" w:rsidR="00A538A6" w:rsidRPr="00FB56C1" w:rsidRDefault="004B13CB" w:rsidP="004B13CB">
            <w:pPr>
              <w:pStyle w:val="Agendaitem"/>
              <w:rPr>
                <w:lang w:val="en-GB"/>
              </w:rPr>
            </w:pPr>
            <w:r w:rsidRPr="00FB56C1">
              <w:rPr>
                <w:lang w:val="en-GB"/>
              </w:rPr>
              <w:t>Agenda item 9.2</w:t>
            </w:r>
          </w:p>
        </w:tc>
      </w:tr>
    </w:tbl>
    <w:bookmarkEnd w:id="5"/>
    <w:bookmarkEnd w:id="6"/>
    <w:p w14:paraId="176F1368" w14:textId="77777777" w:rsidR="00187BD9" w:rsidRPr="00FB56C1" w:rsidRDefault="00886A1D" w:rsidP="006965F8">
      <w:r w:rsidRPr="00FB56C1">
        <w:t>9</w:t>
      </w:r>
      <w:r w:rsidRPr="00FB56C1">
        <w:tab/>
        <w:t>to consider and approve the Report of the Director of the Radiocommunication Bureau, in accordance with Article 7 of the ITU Convention</w:t>
      </w:r>
      <w:r w:rsidRPr="00FB56C1">
        <w:rPr>
          <w:bCs/>
        </w:rPr>
        <w:t>;</w:t>
      </w:r>
    </w:p>
    <w:p w14:paraId="1B483342" w14:textId="77777777" w:rsidR="00187BD9" w:rsidRPr="00FB56C1" w:rsidRDefault="00886A1D" w:rsidP="00A115F1">
      <w:r w:rsidRPr="00FB56C1">
        <w:t>9.2</w:t>
      </w:r>
      <w:r w:rsidRPr="00FB56C1">
        <w:tab/>
        <w:t>on any difficulties or inconsistencies encountered in the application of the Radio Regulations;</w:t>
      </w:r>
      <w:r w:rsidRPr="00FB56C1">
        <w:rPr>
          <w:rStyle w:val="FootnoteReference"/>
        </w:rPr>
        <w:footnoteReference w:customMarkFollows="1" w:id="1"/>
        <w:t>1</w:t>
      </w:r>
      <w:r w:rsidRPr="00FB56C1">
        <w:t xml:space="preserve"> and</w:t>
      </w:r>
    </w:p>
    <w:p w14:paraId="3BE3207A" w14:textId="77777777" w:rsidR="00241FA2" w:rsidRPr="00FB56C1" w:rsidRDefault="00241FA2" w:rsidP="00EB54B2"/>
    <w:p w14:paraId="53E24B9E" w14:textId="77777777" w:rsidR="00430172" w:rsidRPr="00FB56C1" w:rsidRDefault="00430172" w:rsidP="00B950E2">
      <w:pPr>
        <w:pStyle w:val="Headingb"/>
        <w:rPr>
          <w:lang w:val="en-GB"/>
        </w:rPr>
      </w:pPr>
      <w:r w:rsidRPr="00FB56C1">
        <w:rPr>
          <w:lang w:val="en-GB"/>
        </w:rPr>
        <w:t>Introduction</w:t>
      </w:r>
    </w:p>
    <w:p w14:paraId="2B7BC1BE" w14:textId="3A8D16B7" w:rsidR="00430172" w:rsidRPr="00FB56C1" w:rsidRDefault="00430172" w:rsidP="00430172">
      <w:r w:rsidRPr="00FB56C1">
        <w:t xml:space="preserve">The Republic of Korea has reviewed the Report of the Director on the activities of the Radiocommunication </w:t>
      </w:r>
      <w:r w:rsidR="00B950E2" w:rsidRPr="00FB56C1">
        <w:t>S</w:t>
      </w:r>
      <w:r w:rsidRPr="00FB56C1">
        <w:t xml:space="preserve">ector and provides herein views and proposals related to Part 2 “Experience in the application of the radio regulatory procedures and other related matters” as contained in Addendum 2 to Document 4. </w:t>
      </w:r>
    </w:p>
    <w:p w14:paraId="51AD4897" w14:textId="3292184C" w:rsidR="00716BF5" w:rsidRPr="00FB56C1" w:rsidRDefault="00716BF5" w:rsidP="00716BF5">
      <w:pPr>
        <w:pStyle w:val="Headingb"/>
        <w:rPr>
          <w:lang w:val="en-GB"/>
        </w:rPr>
      </w:pPr>
      <w:r w:rsidRPr="00FB56C1">
        <w:rPr>
          <w:lang w:val="en-GB"/>
        </w:rPr>
        <w:t>Proposals</w:t>
      </w:r>
    </w:p>
    <w:p w14:paraId="676CCC30" w14:textId="1A74BD51" w:rsidR="0070288D" w:rsidRPr="00FB56C1" w:rsidRDefault="00430172" w:rsidP="00EB54B2">
      <w:r w:rsidRPr="00FB56C1">
        <w:t>The proposals identify the corresponding Section to the Report of the Director for reference purposes.</w:t>
      </w:r>
    </w:p>
    <w:p w14:paraId="0B8F8D78" w14:textId="77777777" w:rsidR="0070288D" w:rsidRPr="00FB56C1" w:rsidRDefault="0070288D">
      <w:pPr>
        <w:tabs>
          <w:tab w:val="clear" w:pos="1134"/>
          <w:tab w:val="clear" w:pos="1871"/>
          <w:tab w:val="clear" w:pos="2268"/>
        </w:tabs>
        <w:overflowPunct/>
        <w:autoSpaceDE/>
        <w:autoSpaceDN/>
        <w:adjustRightInd/>
        <w:spacing w:before="0"/>
        <w:textAlignment w:val="auto"/>
      </w:pPr>
      <w:r w:rsidRPr="00FB56C1">
        <w:br w:type="page"/>
      </w:r>
    </w:p>
    <w:p w14:paraId="36BBFA88" w14:textId="4A87F9D9" w:rsidR="00325948" w:rsidRPr="00FB56C1" w:rsidRDefault="00221567" w:rsidP="00221567">
      <w:pPr>
        <w:pStyle w:val="Heading1"/>
      </w:pPr>
      <w:r w:rsidRPr="00FB56C1">
        <w:lastRenderedPageBreak/>
        <w:t>1</w:t>
      </w:r>
      <w:r w:rsidRPr="00FB56C1">
        <w:tab/>
      </w:r>
      <w:r w:rsidR="00325948" w:rsidRPr="00FB56C1">
        <w:t>Proposal related to Section 3.1.7.2 contained in Addendum 2 to Document 4 on harmful interference to receivers of the radionavigation-satellite service in the 1</w:t>
      </w:r>
      <w:r w:rsidR="00B62120" w:rsidRPr="00FB56C1">
        <w:t> </w:t>
      </w:r>
      <w:r w:rsidR="00325948" w:rsidRPr="00FB56C1">
        <w:t>559</w:t>
      </w:r>
      <w:r w:rsidR="006B465C" w:rsidRPr="00FB56C1">
        <w:t>-</w:t>
      </w:r>
      <w:r w:rsidR="00325948" w:rsidRPr="00FB56C1">
        <w:t>1</w:t>
      </w:r>
      <w:r w:rsidR="00F00667" w:rsidRPr="00FB56C1">
        <w:t> </w:t>
      </w:r>
      <w:r w:rsidR="00325948" w:rsidRPr="00FB56C1">
        <w:t>610</w:t>
      </w:r>
      <w:r w:rsidR="00F00667" w:rsidRPr="00FB56C1">
        <w:t> </w:t>
      </w:r>
      <w:r w:rsidR="00325948" w:rsidRPr="00FB56C1">
        <w:t>MHz frequency band</w:t>
      </w:r>
    </w:p>
    <w:p w14:paraId="6487114A" w14:textId="28C471FC" w:rsidR="00325948" w:rsidRPr="00FB56C1" w:rsidRDefault="00325948" w:rsidP="00325948">
      <w:r w:rsidRPr="00FB56C1">
        <w:t xml:space="preserve">This section of the Director’s Report notes that there has been a significant number of cases of harmful interference to the radionavigation-satellite service (RNSS) in the </w:t>
      </w:r>
      <w:r w:rsidR="00203C8B" w:rsidRPr="00FB56C1">
        <w:t xml:space="preserve">frequency </w:t>
      </w:r>
      <w:r w:rsidRPr="00FB56C1">
        <w:t>band 1 559</w:t>
      </w:r>
      <w:r w:rsidR="00F00667" w:rsidRPr="00FB56C1">
        <w:t>-</w:t>
      </w:r>
      <w:r w:rsidRPr="00FB56C1">
        <w:t xml:space="preserve">1 610 MHz affecting </w:t>
      </w:r>
      <w:r w:rsidR="00295F8D" w:rsidRPr="00FB56C1">
        <w:t>receivers</w:t>
      </w:r>
      <w:r w:rsidRPr="00FB56C1">
        <w:t xml:space="preserve"> onboard aircrafts and causing degradation or total loss of the service for passenger, cargo and humanitarian flights. </w:t>
      </w:r>
    </w:p>
    <w:p w14:paraId="2CAF3494" w14:textId="1A072341" w:rsidR="00325948" w:rsidRPr="00FB56C1" w:rsidRDefault="00325948" w:rsidP="00325948">
      <w:pPr>
        <w:rPr>
          <w:lang w:eastAsia="zh-CN"/>
        </w:rPr>
      </w:pPr>
      <w:r w:rsidRPr="00FB56C1">
        <w:t xml:space="preserve">Noting with great concern the increasing number and range of impact of such harmful interference on safety-of-life radiocommunication services (see </w:t>
      </w:r>
      <w:r w:rsidR="009C5A1D" w:rsidRPr="00FB56C1">
        <w:t>RR</w:t>
      </w:r>
      <w:r w:rsidR="001E4FF4" w:rsidRPr="00FB56C1">
        <w:t xml:space="preserve"> </w:t>
      </w:r>
      <w:r w:rsidRPr="00FB56C1">
        <w:t xml:space="preserve">No. </w:t>
      </w:r>
      <w:r w:rsidRPr="00FB56C1">
        <w:rPr>
          <w:b/>
          <w:bCs/>
        </w:rPr>
        <w:t>4.10</w:t>
      </w:r>
      <w:r w:rsidRPr="00FB56C1">
        <w:rPr>
          <w:rStyle w:val="FootnoteReference"/>
        </w:rPr>
        <w:footnoteReference w:id="2"/>
      </w:r>
      <w:r w:rsidRPr="00FB56C1">
        <w:t xml:space="preserve">), the Republic of Korea is of the view that it is required to urge administrations to </w:t>
      </w:r>
      <w:r w:rsidRPr="00FB56C1">
        <w:rPr>
          <w:iCs/>
          <w:color w:val="000000"/>
        </w:rPr>
        <w:t>take appropriate actions to prevent and mitigate harmful interference in this frequency band</w:t>
      </w:r>
      <w:r w:rsidRPr="00FB56C1">
        <w:t>.</w:t>
      </w:r>
    </w:p>
    <w:p w14:paraId="540FE957" w14:textId="77777777" w:rsidR="007A436D" w:rsidRPr="00FB56C1" w:rsidRDefault="00886A1D">
      <w:pPr>
        <w:pStyle w:val="Proposal"/>
      </w:pPr>
      <w:r w:rsidRPr="00FB56C1">
        <w:tab/>
        <w:t>KOR/153A25/1</w:t>
      </w:r>
    </w:p>
    <w:p w14:paraId="629D64DE" w14:textId="1B951960" w:rsidR="007A436D" w:rsidRPr="00FB56C1" w:rsidRDefault="00B71B76" w:rsidP="00B71B76">
      <w:pPr>
        <w:rPr>
          <w:szCs w:val="24"/>
        </w:rPr>
      </w:pPr>
      <w:r w:rsidRPr="00FB56C1">
        <w:t>The Republic of Korea proposes that WRC</w:t>
      </w:r>
      <w:r w:rsidR="00716BF5" w:rsidRPr="00FB56C1">
        <w:noBreakHyphen/>
      </w:r>
      <w:r w:rsidRPr="00FB56C1">
        <w:t xml:space="preserve">23 </w:t>
      </w:r>
      <w:r w:rsidRPr="00FB56C1">
        <w:rPr>
          <w:szCs w:val="24"/>
        </w:rPr>
        <w:t xml:space="preserve">adopt a Resolution urging administrations to take </w:t>
      </w:r>
      <w:r w:rsidRPr="00FB56C1">
        <w:rPr>
          <w:iCs/>
          <w:color w:val="000000"/>
        </w:rPr>
        <w:t>appropriate</w:t>
      </w:r>
      <w:r w:rsidRPr="00FB56C1">
        <w:rPr>
          <w:szCs w:val="24"/>
        </w:rPr>
        <w:t xml:space="preserve"> actions to prevent and mitigate harmful interference affecting </w:t>
      </w:r>
      <w:r w:rsidR="00A0095C" w:rsidRPr="00FB56C1">
        <w:rPr>
          <w:szCs w:val="24"/>
        </w:rPr>
        <w:t xml:space="preserve">the </w:t>
      </w:r>
      <w:r w:rsidRPr="00FB56C1">
        <w:rPr>
          <w:szCs w:val="24"/>
        </w:rPr>
        <w:t xml:space="preserve">radionavigation-satellite service in the </w:t>
      </w:r>
      <w:r w:rsidR="00A0095C" w:rsidRPr="00FB56C1">
        <w:t>frequency</w:t>
      </w:r>
      <w:r w:rsidR="00A0095C" w:rsidRPr="00FB56C1">
        <w:rPr>
          <w:szCs w:val="24"/>
        </w:rPr>
        <w:t xml:space="preserve"> </w:t>
      </w:r>
      <w:r w:rsidRPr="00FB56C1">
        <w:rPr>
          <w:szCs w:val="24"/>
        </w:rPr>
        <w:t>band 1</w:t>
      </w:r>
      <w:r w:rsidR="001E4FF4" w:rsidRPr="00FB56C1">
        <w:rPr>
          <w:szCs w:val="24"/>
        </w:rPr>
        <w:t> </w:t>
      </w:r>
      <w:r w:rsidRPr="00FB56C1">
        <w:rPr>
          <w:szCs w:val="24"/>
        </w:rPr>
        <w:t>559</w:t>
      </w:r>
      <w:r w:rsidR="001E4FF4" w:rsidRPr="00FB56C1">
        <w:rPr>
          <w:szCs w:val="24"/>
        </w:rPr>
        <w:t>-</w:t>
      </w:r>
      <w:r w:rsidRPr="00FB56C1">
        <w:rPr>
          <w:szCs w:val="24"/>
        </w:rPr>
        <w:t>1</w:t>
      </w:r>
      <w:r w:rsidR="001E4FF4" w:rsidRPr="00FB56C1">
        <w:rPr>
          <w:szCs w:val="24"/>
        </w:rPr>
        <w:t> </w:t>
      </w:r>
      <w:r w:rsidRPr="00FB56C1">
        <w:rPr>
          <w:szCs w:val="24"/>
        </w:rPr>
        <w:t>610</w:t>
      </w:r>
      <w:r w:rsidR="001E4FF4" w:rsidRPr="00FB56C1">
        <w:rPr>
          <w:szCs w:val="24"/>
        </w:rPr>
        <w:t> </w:t>
      </w:r>
      <w:r w:rsidRPr="00FB56C1">
        <w:rPr>
          <w:szCs w:val="24"/>
        </w:rPr>
        <w:t>MHz.</w:t>
      </w:r>
    </w:p>
    <w:p w14:paraId="6A3785BF" w14:textId="77777777" w:rsidR="00B71B76" w:rsidRPr="00FB56C1" w:rsidRDefault="00B71B76" w:rsidP="00B71B76">
      <w:pPr>
        <w:pStyle w:val="Reasons"/>
      </w:pPr>
    </w:p>
    <w:p w14:paraId="1DACD2FB" w14:textId="2BEE7A80" w:rsidR="00E8057D" w:rsidRPr="00FB56C1" w:rsidRDefault="003A247D" w:rsidP="00B14303">
      <w:pPr>
        <w:pStyle w:val="Heading1"/>
      </w:pPr>
      <w:r w:rsidRPr="00FB56C1">
        <w:t>2</w:t>
      </w:r>
      <w:r w:rsidRPr="00FB56C1">
        <w:tab/>
      </w:r>
      <w:r w:rsidR="00E8057D" w:rsidRPr="00FB56C1">
        <w:t>Proposal related to Section</w:t>
      </w:r>
      <w:r w:rsidR="00716BF5" w:rsidRPr="00FB56C1">
        <w:t> </w:t>
      </w:r>
      <w:r w:rsidR="00E8057D" w:rsidRPr="00FB56C1">
        <w:t>3.3.4 contained in Addendum</w:t>
      </w:r>
      <w:r w:rsidR="00716BF5" w:rsidRPr="00FB56C1">
        <w:t> </w:t>
      </w:r>
      <w:r w:rsidR="00E8057D" w:rsidRPr="00FB56C1">
        <w:t>2 to Document 4 on Resolution</w:t>
      </w:r>
      <w:r w:rsidR="00716BF5" w:rsidRPr="00FB56C1">
        <w:t> </w:t>
      </w:r>
      <w:r w:rsidR="00E8057D" w:rsidRPr="00FB56C1">
        <w:t>40 (Rev.WRC</w:t>
      </w:r>
      <w:r w:rsidR="003A2782" w:rsidRPr="00FB56C1">
        <w:noBreakHyphen/>
      </w:r>
      <w:r w:rsidR="00E8057D" w:rsidRPr="00FB56C1">
        <w:t>19)</w:t>
      </w:r>
    </w:p>
    <w:p w14:paraId="0A26AB5F" w14:textId="3DE44F7C" w:rsidR="00E8057D" w:rsidRPr="00FB56C1" w:rsidRDefault="00E8057D" w:rsidP="00E8057D">
      <w:pPr>
        <w:rPr>
          <w:szCs w:val="24"/>
        </w:rPr>
      </w:pPr>
      <w:r w:rsidRPr="00FB56C1">
        <w:t xml:space="preserve">This section of the Director’s Report notes that </w:t>
      </w:r>
      <w:r w:rsidRPr="00FB56C1">
        <w:rPr>
          <w:szCs w:val="24"/>
        </w:rPr>
        <w:t>the Board decided that the Bureau shall consider that a satellite located at no more than 0.5</w:t>
      </w:r>
      <w:r w:rsidR="00716BF5" w:rsidRPr="00FB56C1">
        <w:rPr>
          <w:szCs w:val="24"/>
        </w:rPr>
        <w:t> </w:t>
      </w:r>
      <w:r w:rsidRPr="00FB56C1">
        <w:rPr>
          <w:szCs w:val="24"/>
        </w:rPr>
        <w:t xml:space="preserve">degree from several notified nominal positions of satellite networks could be used for the bringing into use (BIU), bringing back into use (BBIU) or continuing use of the notified characteristics of frequency assignments of these satellite networks under </w:t>
      </w:r>
      <w:r w:rsidR="003A247D" w:rsidRPr="00FB56C1">
        <w:rPr>
          <w:szCs w:val="24"/>
        </w:rPr>
        <w:t xml:space="preserve">RR </w:t>
      </w:r>
      <w:r w:rsidRPr="00FB56C1">
        <w:rPr>
          <w:szCs w:val="24"/>
        </w:rPr>
        <w:t>Nos.</w:t>
      </w:r>
      <w:r w:rsidR="00716BF5" w:rsidRPr="00FB56C1">
        <w:rPr>
          <w:szCs w:val="24"/>
        </w:rPr>
        <w:t> </w:t>
      </w:r>
      <w:r w:rsidRPr="00FB56C1">
        <w:rPr>
          <w:b/>
          <w:bCs/>
          <w:szCs w:val="24"/>
        </w:rPr>
        <w:t>11.44</w:t>
      </w:r>
      <w:r w:rsidRPr="00FB56C1">
        <w:rPr>
          <w:szCs w:val="24"/>
        </w:rPr>
        <w:t xml:space="preserve">, </w:t>
      </w:r>
      <w:r w:rsidRPr="00FB56C1">
        <w:rPr>
          <w:b/>
          <w:bCs/>
          <w:szCs w:val="24"/>
        </w:rPr>
        <w:t>11.44B</w:t>
      </w:r>
      <w:r w:rsidRPr="00FB56C1">
        <w:rPr>
          <w:szCs w:val="24"/>
        </w:rPr>
        <w:t xml:space="preserve">, </w:t>
      </w:r>
      <w:r w:rsidRPr="00FB56C1">
        <w:rPr>
          <w:b/>
          <w:bCs/>
          <w:szCs w:val="24"/>
        </w:rPr>
        <w:t>11.49</w:t>
      </w:r>
      <w:r w:rsidRPr="00FB56C1">
        <w:rPr>
          <w:szCs w:val="24"/>
        </w:rPr>
        <w:t xml:space="preserve"> or</w:t>
      </w:r>
      <w:r w:rsidR="00716BF5" w:rsidRPr="00FB56C1">
        <w:rPr>
          <w:szCs w:val="24"/>
        </w:rPr>
        <w:t> </w:t>
      </w:r>
      <w:r w:rsidRPr="00FB56C1">
        <w:rPr>
          <w:b/>
          <w:bCs/>
          <w:szCs w:val="24"/>
        </w:rPr>
        <w:t>13.6</w:t>
      </w:r>
      <w:r w:rsidRPr="00FB56C1">
        <w:rPr>
          <w:szCs w:val="24"/>
        </w:rPr>
        <w:t xml:space="preserve"> only if the bandwidths of these frequency assignments do not overlap.</w:t>
      </w:r>
    </w:p>
    <w:p w14:paraId="08891A3B" w14:textId="3699FD9D" w:rsidR="00E8057D" w:rsidRPr="00FB56C1" w:rsidRDefault="00E8057D" w:rsidP="00E8057D">
      <w:r w:rsidRPr="00FB56C1">
        <w:t>In addition, the Bureau considers that additional information to the mandatory information requested by the Resolution</w:t>
      </w:r>
      <w:r w:rsidR="00716BF5" w:rsidRPr="00FB56C1">
        <w:t> </w:t>
      </w:r>
      <w:r w:rsidRPr="00FB56C1">
        <w:rPr>
          <w:b/>
          <w:bCs/>
        </w:rPr>
        <w:t>40 (Rev.WRC-19)</w:t>
      </w:r>
      <w:r w:rsidRPr="00FB56C1">
        <w:t xml:space="preserve"> would need </w:t>
      </w:r>
      <w:r w:rsidR="00F75047" w:rsidRPr="00FB56C1">
        <w:t xml:space="preserve">to </w:t>
      </w:r>
      <w:r w:rsidRPr="00FB56C1">
        <w:t>be provided by the notifying administration when informing the Bureau of the BIU, or BBIU after suspension, of a frequency assignment to a space station in a GSO satellite network.</w:t>
      </w:r>
    </w:p>
    <w:p w14:paraId="0EBFFE30" w14:textId="419B2CF0" w:rsidR="00E8057D" w:rsidRPr="00FB56C1" w:rsidRDefault="00E8057D" w:rsidP="009814AB">
      <w:r w:rsidRPr="00FB56C1">
        <w:t xml:space="preserve">The Republic of Korea supports the proposal from the Bureau </w:t>
      </w:r>
      <w:r w:rsidRPr="00FB56C1">
        <w:rPr>
          <w:lang w:eastAsia="ko-KR"/>
        </w:rPr>
        <w:t>for</w:t>
      </w:r>
      <w:r w:rsidRPr="00FB56C1">
        <w:t xml:space="preserve"> WRC</w:t>
      </w:r>
      <w:r w:rsidR="00716BF5" w:rsidRPr="00FB56C1">
        <w:noBreakHyphen/>
      </w:r>
      <w:r w:rsidRPr="00FB56C1">
        <w:t>23 to consider modifications to Resolution</w:t>
      </w:r>
      <w:r w:rsidR="00716BF5" w:rsidRPr="00FB56C1">
        <w:t> </w:t>
      </w:r>
      <w:r w:rsidRPr="00FB56C1">
        <w:rPr>
          <w:b/>
          <w:bCs/>
        </w:rPr>
        <w:t>40 (Rev.WRC-19)</w:t>
      </w:r>
      <w:r w:rsidRPr="00FB56C1">
        <w:t xml:space="preserve"> in order to require additional information for the situation of the BIU, or BBIU after suspension has been accomplished with a space station that is simultaneously used to BIU, or resume the use of, frequency assignments at a different orbital location.</w:t>
      </w:r>
    </w:p>
    <w:p w14:paraId="7687261D" w14:textId="78135A27" w:rsidR="00E8057D" w:rsidRPr="00FB56C1" w:rsidRDefault="00E8057D" w:rsidP="009814AB">
      <w:pPr>
        <w:keepNext/>
        <w:keepLines/>
      </w:pPr>
      <w:r w:rsidRPr="00FB56C1">
        <w:rPr>
          <w:lang w:eastAsia="ko-KR"/>
        </w:rPr>
        <w:lastRenderedPageBreak/>
        <w:t xml:space="preserve">In addition to the </w:t>
      </w:r>
      <w:r w:rsidRPr="00FB56C1">
        <w:t>Director’s Report,</w:t>
      </w:r>
      <w:r w:rsidRPr="00FB56C1">
        <w:rPr>
          <w:lang w:eastAsia="ko-KR"/>
        </w:rPr>
        <w:t xml:space="preserve"> i</w:t>
      </w:r>
      <w:r w:rsidRPr="00FB56C1">
        <w:t xml:space="preserve">t should be noted that </w:t>
      </w:r>
      <w:r w:rsidR="00743629" w:rsidRPr="00FB56C1">
        <w:t xml:space="preserve">the </w:t>
      </w:r>
      <w:r w:rsidRPr="00FB56C1">
        <w:t>Report by the Radio Regulations Board to WRC</w:t>
      </w:r>
      <w:r w:rsidR="00716BF5" w:rsidRPr="00FB56C1">
        <w:noBreakHyphen/>
      </w:r>
      <w:r w:rsidRPr="00FB56C1">
        <w:t>23 on Resolution </w:t>
      </w:r>
      <w:r w:rsidRPr="00FB56C1">
        <w:rPr>
          <w:b/>
          <w:bCs/>
        </w:rPr>
        <w:t>80 (Rev.WRC-07)</w:t>
      </w:r>
      <w:r w:rsidRPr="00FB56C1">
        <w:t xml:space="preserve"> as contained in Document 50 includes some issues related to Resolution</w:t>
      </w:r>
      <w:r w:rsidR="00716BF5" w:rsidRPr="00FB56C1">
        <w:t> </w:t>
      </w:r>
      <w:r w:rsidRPr="00FB56C1">
        <w:rPr>
          <w:b/>
          <w:bCs/>
        </w:rPr>
        <w:t>40 (Rev.WRC-19)</w:t>
      </w:r>
      <w:r w:rsidRPr="00FB56C1">
        <w:t xml:space="preserve">. In the Report, recognizing the issues of </w:t>
      </w:r>
      <w:r w:rsidRPr="00FB56C1">
        <w:rPr>
          <w:lang w:eastAsia="zh-CN"/>
        </w:rPr>
        <w:t xml:space="preserve">spectrum reservation practices based on </w:t>
      </w:r>
      <w:r w:rsidRPr="00FB56C1">
        <w:t>statistics derived from the submissions of Resolution</w:t>
      </w:r>
      <w:r w:rsidR="00716BF5" w:rsidRPr="00FB56C1">
        <w:t> </w:t>
      </w:r>
      <w:r w:rsidRPr="00FB56C1">
        <w:rPr>
          <w:b/>
          <w:bCs/>
        </w:rPr>
        <w:t>40 (Rev.WRC</w:t>
      </w:r>
      <w:r w:rsidR="00852FD6" w:rsidRPr="00FB56C1">
        <w:rPr>
          <w:b/>
          <w:bCs/>
        </w:rPr>
        <w:noBreakHyphen/>
      </w:r>
      <w:r w:rsidRPr="00FB56C1">
        <w:rPr>
          <w:b/>
          <w:bCs/>
        </w:rPr>
        <w:t>19)</w:t>
      </w:r>
      <w:r w:rsidRPr="00FB56C1">
        <w:t xml:space="preserve"> information presented by the Bureau</w:t>
      </w:r>
      <w:r w:rsidRPr="00FB56C1">
        <w:rPr>
          <w:lang w:eastAsia="zh-CN"/>
        </w:rPr>
        <w:t>, the Board concludes as follows</w:t>
      </w:r>
      <w:r w:rsidR="002C6549" w:rsidRPr="00FB56C1">
        <w:rPr>
          <w:lang w:eastAsia="zh-CN"/>
        </w:rPr>
        <w:t>:</w:t>
      </w:r>
    </w:p>
    <w:p w14:paraId="39CE2CF5" w14:textId="2E3DDF36" w:rsidR="00E8057D" w:rsidRPr="00FB56C1" w:rsidRDefault="00041984" w:rsidP="00041984">
      <w:pPr>
        <w:pStyle w:val="enumlev1"/>
        <w:rPr>
          <w:i/>
          <w:iCs/>
        </w:rPr>
      </w:pPr>
      <w:r w:rsidRPr="00FB56C1">
        <w:rPr>
          <w:i/>
          <w:iCs/>
        </w:rPr>
        <w:tab/>
      </w:r>
      <w:r w:rsidR="00E8057D" w:rsidRPr="00FB56C1">
        <w:rPr>
          <w:i/>
          <w:iCs/>
        </w:rPr>
        <w:t>To further limit spectrum reservation practices, WRC</w:t>
      </w:r>
      <w:r w:rsidR="00716BF5" w:rsidRPr="00FB56C1">
        <w:rPr>
          <w:i/>
          <w:iCs/>
        </w:rPr>
        <w:noBreakHyphen/>
      </w:r>
      <w:r w:rsidR="00E8057D" w:rsidRPr="00FB56C1">
        <w:rPr>
          <w:i/>
          <w:iCs/>
        </w:rPr>
        <w:t>23 is invited to request the ITU</w:t>
      </w:r>
      <w:r w:rsidR="00716BF5" w:rsidRPr="00FB56C1">
        <w:rPr>
          <w:i/>
          <w:iCs/>
        </w:rPr>
        <w:noBreakHyphen/>
      </w:r>
      <w:r w:rsidR="00E8057D" w:rsidRPr="00FB56C1">
        <w:rPr>
          <w:i/>
          <w:iCs/>
        </w:rPr>
        <w:t>R to study possible measures to restrain the use of the same satellite or different satellites to repeatedly bring into use and bring back into use the same frequency assignments of a satellite network or system for a short period of time only for consideration at a future competent WRC.</w:t>
      </w:r>
    </w:p>
    <w:p w14:paraId="359F87C0" w14:textId="6966AD4E" w:rsidR="00E8057D" w:rsidRPr="00FB56C1" w:rsidRDefault="00E8057D" w:rsidP="00CE1419">
      <w:pPr>
        <w:rPr>
          <w:lang w:eastAsia="zh-CN"/>
        </w:rPr>
      </w:pPr>
      <w:r w:rsidRPr="00FB56C1">
        <w:rPr>
          <w:lang w:eastAsia="zh-CN"/>
        </w:rPr>
        <w:t>The Republic of Korea is of the view that spectrum and orbit reservation practices through potential misuse of the relevant regulatory provisions for bringing into use or bringing back into use frequency assignments is clearly contrary to the principles of Article</w:t>
      </w:r>
      <w:r w:rsidR="00716BF5" w:rsidRPr="00FB56C1">
        <w:rPr>
          <w:lang w:eastAsia="zh-CN"/>
        </w:rPr>
        <w:t> </w:t>
      </w:r>
      <w:r w:rsidRPr="00FB56C1">
        <w:rPr>
          <w:lang w:eastAsia="zh-CN"/>
        </w:rPr>
        <w:t>44 of the Constitution, the intent of the Radio Regulations and the essence of the regulatory provisions governing access to the radio spectrum and geostationary orbit. Therefore, possible measures need to be developed and implemented in order to restrain the potential misuse mentioned above.</w:t>
      </w:r>
    </w:p>
    <w:p w14:paraId="442794EF" w14:textId="119ABC87" w:rsidR="00E8057D" w:rsidRPr="00FB56C1" w:rsidRDefault="00E8057D" w:rsidP="00CE1419">
      <w:pPr>
        <w:rPr>
          <w:lang w:eastAsia="zh-CN"/>
        </w:rPr>
      </w:pPr>
      <w:r w:rsidRPr="00FB56C1">
        <w:rPr>
          <w:lang w:eastAsia="zh-CN"/>
        </w:rPr>
        <w:t>Furthermore, based on the results of the recent meetings of the Board, it is noted that an Administration is going to BIU the frequency assignments in the very wide multiple bands to a GSO satellite network using a small satellite. The small satellite would be expected to maintain at the notified orbital position for a very short period of time only for BIU purpose. Takin</w:t>
      </w:r>
      <w:r w:rsidRPr="00FB56C1">
        <w:rPr>
          <w:lang w:eastAsia="ko-KR"/>
        </w:rPr>
        <w:t>g</w:t>
      </w:r>
      <w:r w:rsidRPr="00FB56C1">
        <w:rPr>
          <w:lang w:eastAsia="zh-CN"/>
        </w:rPr>
        <w:t xml:space="preserve"> also into account the requirement of having a c</w:t>
      </w:r>
      <w:r w:rsidRPr="00FB56C1">
        <w:t xml:space="preserve">apability, as specified in the provisions of </w:t>
      </w:r>
      <w:r w:rsidRPr="00FB56C1">
        <w:rPr>
          <w:lang w:eastAsia="ko-KR"/>
        </w:rPr>
        <w:t xml:space="preserve">RR </w:t>
      </w:r>
      <w:r w:rsidRPr="00FB56C1">
        <w:t>No.</w:t>
      </w:r>
      <w:r w:rsidR="003A2782" w:rsidRPr="00FB56C1">
        <w:t> </w:t>
      </w:r>
      <w:r w:rsidRPr="00FB56C1">
        <w:rPr>
          <w:b/>
          <w:bCs/>
        </w:rPr>
        <w:t>11.44B</w:t>
      </w:r>
      <w:r w:rsidRPr="00FB56C1">
        <w:t>, of transmitting or receiving the frequency assignments of a GSO satellite network with a small satellite, t</w:t>
      </w:r>
      <w:r w:rsidRPr="00FB56C1">
        <w:rPr>
          <w:lang w:eastAsia="zh-CN"/>
        </w:rPr>
        <w:t xml:space="preserve">his is a new case for the spectrum and orbit reservation practice. </w:t>
      </w:r>
    </w:p>
    <w:p w14:paraId="3D8979E7" w14:textId="77777777" w:rsidR="00E8057D" w:rsidRPr="00FB56C1" w:rsidRDefault="00E8057D" w:rsidP="00CE1419">
      <w:pPr>
        <w:rPr>
          <w:lang w:eastAsia="zh-CN"/>
        </w:rPr>
      </w:pPr>
      <w:r w:rsidRPr="00FB56C1">
        <w:rPr>
          <w:lang w:eastAsia="zh-CN"/>
        </w:rPr>
        <w:t xml:space="preserve">It would be necessary to consider this situation very carefully in conformity with the spirit and principle of the Constitution and the Radio Regulations for the rational, efficient and economical use of and equitable access to the radio frequencies and any associated orbits. </w:t>
      </w:r>
    </w:p>
    <w:p w14:paraId="4B3385BF" w14:textId="77777777" w:rsidR="007A436D" w:rsidRPr="00FB56C1" w:rsidRDefault="00886A1D">
      <w:pPr>
        <w:pStyle w:val="Proposal"/>
      </w:pPr>
      <w:r w:rsidRPr="00FB56C1">
        <w:tab/>
        <w:t>KOR/153A25/2</w:t>
      </w:r>
    </w:p>
    <w:p w14:paraId="501E1845" w14:textId="40C1B3D4" w:rsidR="000A143F" w:rsidRPr="00FB56C1" w:rsidRDefault="000A143F" w:rsidP="000A143F">
      <w:r w:rsidRPr="00FB56C1">
        <w:t xml:space="preserve">The Republic of Korea proposes that the following text </w:t>
      </w:r>
      <w:r w:rsidRPr="00FB56C1">
        <w:rPr>
          <w:lang w:eastAsia="ko-KR"/>
        </w:rPr>
        <w:t xml:space="preserve">be approved and included </w:t>
      </w:r>
      <w:r w:rsidRPr="00FB56C1">
        <w:t>in the minutes of the Plenary meeting at WRC</w:t>
      </w:r>
      <w:r w:rsidR="003A2782" w:rsidRPr="00FB56C1">
        <w:noBreakHyphen/>
      </w:r>
      <w:r w:rsidRPr="00FB56C1">
        <w:t>23, so that it may be considered as a possible topic during the studies under WRC</w:t>
      </w:r>
      <w:r w:rsidR="003A2782" w:rsidRPr="00FB56C1">
        <w:noBreakHyphen/>
      </w:r>
      <w:r w:rsidRPr="00FB56C1">
        <w:t>27 agenda item</w:t>
      </w:r>
      <w:r w:rsidR="003A2782" w:rsidRPr="00FB56C1">
        <w:t> </w:t>
      </w:r>
      <w:r w:rsidRPr="00FB56C1">
        <w:t xml:space="preserve">7: </w:t>
      </w:r>
    </w:p>
    <w:p w14:paraId="2D95F56B" w14:textId="0E0AF8A0" w:rsidR="000A143F" w:rsidRPr="00FB56C1" w:rsidRDefault="009814AB" w:rsidP="009814AB">
      <w:pPr>
        <w:pStyle w:val="enumlev1"/>
      </w:pPr>
      <w:r w:rsidRPr="00FB56C1">
        <w:tab/>
      </w:r>
      <w:r w:rsidR="000A143F" w:rsidRPr="00FB56C1">
        <w:t>“</w:t>
      </w:r>
      <w:r w:rsidR="000A143F" w:rsidRPr="00FB56C1">
        <w:rPr>
          <w:lang w:eastAsia="ko-KR"/>
        </w:rPr>
        <w:t>I</w:t>
      </w:r>
      <w:r w:rsidR="000A143F" w:rsidRPr="00FB56C1">
        <w:t xml:space="preserve">n order to ensure </w:t>
      </w:r>
      <w:r w:rsidR="000A143F" w:rsidRPr="00FB56C1">
        <w:rPr>
          <w:lang w:eastAsia="zh-CN"/>
        </w:rPr>
        <w:t>the rational, efficient and economical use of, and equitable access to, frequency and orbital resources,</w:t>
      </w:r>
      <w:r w:rsidR="000A143F" w:rsidRPr="00FB56C1">
        <w:t xml:space="preserve"> it is required to study possible regulatory measures to restrain the use of the same satellite or different satellites to repeatedly bring into use and bring back into use the same frequency assignments of a satellite network or system for a short period of time. </w:t>
      </w:r>
      <w:r w:rsidR="000A143F" w:rsidRPr="00FB56C1">
        <w:rPr>
          <w:szCs w:val="24"/>
        </w:rPr>
        <w:t>WRC</w:t>
      </w:r>
      <w:r w:rsidR="003A2782" w:rsidRPr="00FB56C1">
        <w:rPr>
          <w:szCs w:val="24"/>
        </w:rPr>
        <w:noBreakHyphen/>
      </w:r>
      <w:r w:rsidR="000A143F" w:rsidRPr="00FB56C1">
        <w:rPr>
          <w:szCs w:val="24"/>
        </w:rPr>
        <w:t>23 therefore instructs the Radiocommunication Bureau to convey this statement to the relevant ITU</w:t>
      </w:r>
      <w:r w:rsidR="003A2782" w:rsidRPr="00FB56C1">
        <w:rPr>
          <w:szCs w:val="24"/>
        </w:rPr>
        <w:noBreakHyphen/>
      </w:r>
      <w:r w:rsidR="000A143F" w:rsidRPr="00FB56C1">
        <w:rPr>
          <w:szCs w:val="24"/>
        </w:rPr>
        <w:t>R study group for necessary action, as appropriate.</w:t>
      </w:r>
      <w:r w:rsidR="000A143F" w:rsidRPr="00FB56C1">
        <w:t>”</w:t>
      </w:r>
    </w:p>
    <w:p w14:paraId="6F6AD421" w14:textId="77777777" w:rsidR="007A436D" w:rsidRPr="00FB56C1" w:rsidRDefault="007A436D">
      <w:pPr>
        <w:pStyle w:val="Reasons"/>
      </w:pPr>
    </w:p>
    <w:p w14:paraId="7058ED6C" w14:textId="77777777" w:rsidR="007A436D" w:rsidRPr="00FB56C1" w:rsidRDefault="00886A1D">
      <w:pPr>
        <w:pStyle w:val="Proposal"/>
      </w:pPr>
      <w:r w:rsidRPr="00FB56C1">
        <w:tab/>
        <w:t>KOR/153A25/3</w:t>
      </w:r>
    </w:p>
    <w:p w14:paraId="52A04D01" w14:textId="154025F8" w:rsidR="00451917" w:rsidRPr="00FB56C1" w:rsidRDefault="00451917" w:rsidP="00451917">
      <w:r w:rsidRPr="00FB56C1">
        <w:t xml:space="preserve">The Republic of Korea proposes that the following text </w:t>
      </w:r>
      <w:r w:rsidRPr="00FB56C1">
        <w:rPr>
          <w:lang w:eastAsia="ko-KR"/>
        </w:rPr>
        <w:t xml:space="preserve">be approved and included </w:t>
      </w:r>
      <w:r w:rsidRPr="00FB56C1">
        <w:t>in the minutes of the Plenary meeting at WRC</w:t>
      </w:r>
      <w:r w:rsidR="003A2782" w:rsidRPr="00FB56C1">
        <w:noBreakHyphen/>
      </w:r>
      <w:r w:rsidRPr="00FB56C1">
        <w:t>23, so that it needs to be considered by the Bureau for examination under the provisions of RR No.</w:t>
      </w:r>
      <w:r w:rsidR="003A2782" w:rsidRPr="00FB56C1">
        <w:t> </w:t>
      </w:r>
      <w:r w:rsidRPr="00FB56C1">
        <w:rPr>
          <w:b/>
          <w:bCs/>
        </w:rPr>
        <w:t xml:space="preserve">13.6 </w:t>
      </w:r>
      <w:r w:rsidRPr="00FB56C1">
        <w:t xml:space="preserve">for BIU or BBIU of a GSO satellite network using a small satellite with a short duration at a notified orbital location: </w:t>
      </w:r>
    </w:p>
    <w:p w14:paraId="6AB7002B" w14:textId="4015FDAE" w:rsidR="00451917" w:rsidRPr="00FB56C1" w:rsidRDefault="00087C82" w:rsidP="00087C82">
      <w:pPr>
        <w:pStyle w:val="enumlev1"/>
        <w:rPr>
          <w:rFonts w:eastAsia="Malgun Gothic"/>
          <w:szCs w:val="24"/>
        </w:rPr>
      </w:pPr>
      <w:r w:rsidRPr="00FB56C1">
        <w:tab/>
      </w:r>
      <w:r w:rsidR="00451917" w:rsidRPr="00FB56C1">
        <w:t>“</w:t>
      </w:r>
      <w:r w:rsidR="00451917" w:rsidRPr="00FB56C1">
        <w:rPr>
          <w:lang w:eastAsia="ko-KR"/>
        </w:rPr>
        <w:t>I</w:t>
      </w:r>
      <w:r w:rsidR="00451917" w:rsidRPr="00FB56C1">
        <w:t xml:space="preserve">n order to ensure </w:t>
      </w:r>
      <w:r w:rsidR="00451917" w:rsidRPr="00FB56C1">
        <w:rPr>
          <w:lang w:eastAsia="zh-CN"/>
        </w:rPr>
        <w:t>the rational, efficient and economical use of, and equitable access to, frequency and orbital resources,</w:t>
      </w:r>
      <w:r w:rsidR="00451917" w:rsidRPr="00FB56C1">
        <w:t xml:space="preserve"> taking into account the provisions of RR No.</w:t>
      </w:r>
      <w:r w:rsidR="003A2782" w:rsidRPr="00FB56C1">
        <w:t> </w:t>
      </w:r>
      <w:r w:rsidR="00451917" w:rsidRPr="00FB56C1">
        <w:rPr>
          <w:b/>
          <w:bCs/>
        </w:rPr>
        <w:t>11.44B</w:t>
      </w:r>
      <w:r w:rsidR="00451917" w:rsidRPr="00FB56C1">
        <w:t xml:space="preserve">, </w:t>
      </w:r>
      <w:r w:rsidR="00451917" w:rsidRPr="00FB56C1">
        <w:rPr>
          <w:szCs w:val="24"/>
        </w:rPr>
        <w:lastRenderedPageBreak/>
        <w:t>WRC</w:t>
      </w:r>
      <w:r w:rsidR="003A2782" w:rsidRPr="00FB56C1">
        <w:rPr>
          <w:szCs w:val="24"/>
        </w:rPr>
        <w:noBreakHyphen/>
      </w:r>
      <w:r w:rsidR="00451917" w:rsidRPr="00FB56C1">
        <w:rPr>
          <w:szCs w:val="24"/>
        </w:rPr>
        <w:t>23</w:t>
      </w:r>
      <w:r w:rsidR="00451917" w:rsidRPr="00FB56C1">
        <w:rPr>
          <w:szCs w:val="24"/>
          <w:lang w:eastAsia="ko-KR"/>
        </w:rPr>
        <w:t xml:space="preserve"> instructs </w:t>
      </w:r>
      <w:r w:rsidR="00451917" w:rsidRPr="00FB56C1">
        <w:t>the Radiocommunication Bureau to examine very carefully, under the provisions of RR No.</w:t>
      </w:r>
      <w:r w:rsidR="003A2782" w:rsidRPr="00FB56C1">
        <w:t> </w:t>
      </w:r>
      <w:r w:rsidR="00451917" w:rsidRPr="00FB56C1">
        <w:rPr>
          <w:b/>
          <w:bCs/>
        </w:rPr>
        <w:t>13.6</w:t>
      </w:r>
      <w:r w:rsidR="00451917" w:rsidRPr="00FB56C1">
        <w:t xml:space="preserve">, the capability of transmitting or receiving the frequency assignments of a GSO satellite network with a small satellite based on the technical evidences including </w:t>
      </w:r>
      <w:r w:rsidR="00451917" w:rsidRPr="00FB56C1">
        <w:rPr>
          <w:rFonts w:eastAsia="Malgun Gothic"/>
          <w:szCs w:val="24"/>
        </w:rPr>
        <w:t>the availability of link performance to use the frequency assignments.</w:t>
      </w:r>
      <w:r w:rsidR="00AF1B03" w:rsidRPr="00FB56C1">
        <w:rPr>
          <w:rFonts w:eastAsia="Malgun Gothic"/>
          <w:szCs w:val="24"/>
        </w:rPr>
        <w:t>”</w:t>
      </w:r>
    </w:p>
    <w:p w14:paraId="26B1CBB6" w14:textId="77777777" w:rsidR="003A2782" w:rsidRPr="00FB56C1" w:rsidRDefault="003A2782" w:rsidP="003A2782">
      <w:pPr>
        <w:pStyle w:val="Reasons"/>
      </w:pPr>
    </w:p>
    <w:p w14:paraId="76D660F4" w14:textId="549E4FBE" w:rsidR="007A436D" w:rsidRPr="00716BF5" w:rsidRDefault="00CE063E" w:rsidP="003A2782">
      <w:pPr>
        <w:jc w:val="center"/>
      </w:pPr>
      <w:r w:rsidRPr="00FB56C1">
        <w:t>_______________</w:t>
      </w:r>
    </w:p>
    <w:sectPr w:rsidR="007A436D" w:rsidRPr="00716BF5"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59A3" w14:textId="77777777" w:rsidR="00121029" w:rsidRDefault="00121029">
      <w:r>
        <w:separator/>
      </w:r>
    </w:p>
  </w:endnote>
  <w:endnote w:type="continuationSeparator" w:id="0">
    <w:p w14:paraId="7F8797BB" w14:textId="77777777" w:rsidR="00121029" w:rsidRDefault="0012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81CA" w14:textId="77777777" w:rsidR="00E45D05" w:rsidRDefault="00E45D05">
    <w:pPr>
      <w:framePr w:wrap="around" w:vAnchor="text" w:hAnchor="margin" w:xAlign="right" w:y="1"/>
    </w:pPr>
    <w:r>
      <w:fldChar w:fldCharType="begin"/>
    </w:r>
    <w:r>
      <w:instrText xml:space="preserve">PAGE  </w:instrText>
    </w:r>
    <w:r>
      <w:fldChar w:fldCharType="end"/>
    </w:r>
  </w:p>
  <w:p w14:paraId="147EECB7" w14:textId="07C4A11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B56C1">
      <w:rPr>
        <w:noProof/>
      </w:rPr>
      <w:t>03.11.23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0B43" w14:textId="38F1EEA8" w:rsidR="00E45D05" w:rsidRDefault="00E45D05" w:rsidP="009B1EA1">
    <w:pPr>
      <w:pStyle w:val="Footer"/>
    </w:pPr>
    <w:r>
      <w:fldChar w:fldCharType="begin"/>
    </w:r>
    <w:r w:rsidRPr="0041348E">
      <w:rPr>
        <w:lang w:val="en-US"/>
      </w:rPr>
      <w:instrText xml:space="preserve"> FILENAME \p  \* MERGEFORMAT </w:instrText>
    </w:r>
    <w:r>
      <w:fldChar w:fldCharType="separate"/>
    </w:r>
    <w:r w:rsidR="00FB56C1">
      <w:rPr>
        <w:lang w:val="en-US"/>
      </w:rPr>
      <w:t>P:\ENG\ITU-R\CONF-R\CMR23\100\153ADD25E.docx</w:t>
    </w:r>
    <w:r>
      <w:fldChar w:fldCharType="end"/>
    </w:r>
    <w:r w:rsidR="00716BF5">
      <w:t xml:space="preserve"> (53042</w:t>
    </w:r>
    <w:r w:rsidR="00FB56C1">
      <w:t>3</w:t>
    </w:r>
    <w:r w:rsidR="00716BF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BCDC" w14:textId="20F569B4" w:rsidR="00716BF5" w:rsidRDefault="00716BF5" w:rsidP="00716BF5">
    <w:pPr>
      <w:pStyle w:val="Footer"/>
    </w:pPr>
    <w:r>
      <w:fldChar w:fldCharType="begin"/>
    </w:r>
    <w:r w:rsidRPr="0041348E">
      <w:rPr>
        <w:lang w:val="en-US"/>
      </w:rPr>
      <w:instrText xml:space="preserve"> FILENAME \p  \* MERGEFORMAT </w:instrText>
    </w:r>
    <w:r>
      <w:fldChar w:fldCharType="separate"/>
    </w:r>
    <w:r w:rsidR="00FB56C1">
      <w:rPr>
        <w:lang w:val="en-US"/>
      </w:rPr>
      <w:t>P:\ENG\ITU-R\CONF-R\CMR23\100\153ADD25E.docx</w:t>
    </w:r>
    <w:r>
      <w:fldChar w:fldCharType="end"/>
    </w:r>
    <w:r>
      <w:t xml:space="preserve"> (53042</w:t>
    </w:r>
    <w:r w:rsidR="00FB56C1">
      <w:t>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93D6" w14:textId="77777777" w:rsidR="00121029" w:rsidRDefault="00121029">
      <w:r>
        <w:rPr>
          <w:b/>
        </w:rPr>
        <w:t>_______________</w:t>
      </w:r>
    </w:p>
  </w:footnote>
  <w:footnote w:type="continuationSeparator" w:id="0">
    <w:p w14:paraId="65C849FB" w14:textId="77777777" w:rsidR="00121029" w:rsidRDefault="00121029">
      <w:r>
        <w:continuationSeparator/>
      </w:r>
    </w:p>
  </w:footnote>
  <w:footnote w:id="1">
    <w:p w14:paraId="75333823" w14:textId="77777777" w:rsidR="00886A1D" w:rsidRDefault="00886A1D"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 w:id="2">
    <w:p w14:paraId="602FA0C7" w14:textId="52FF800F" w:rsidR="00325948" w:rsidRDefault="00325948" w:rsidP="00B0311C">
      <w:pPr>
        <w:pStyle w:val="FootnoteText"/>
      </w:pPr>
      <w:r>
        <w:rPr>
          <w:rStyle w:val="FootnoteReference"/>
        </w:rPr>
        <w:footnoteRef/>
      </w:r>
      <w:r w:rsidR="00C76779" w:rsidRPr="001653E4">
        <w:rPr>
          <w:rStyle w:val="FootnoteTextChar"/>
        </w:rPr>
        <w:tab/>
      </w:r>
      <w:r w:rsidRPr="001653E4">
        <w:rPr>
          <w:rStyle w:val="FootnoteTextChar"/>
        </w:rPr>
        <w:t>“Member States recognize that the safety aspects of radionavigation and other safety services require special measures to ensure their freedom from harmful interference; it is necessary therefore to take this factor into account in the assignment and use of frequencies.”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83A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F4CBE96"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153(Add.25)</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E9B6AD1"/>
    <w:multiLevelType w:val="hybridMultilevel"/>
    <w:tmpl w:val="CEC29ACC"/>
    <w:lvl w:ilvl="0" w:tplc="C3A89DD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2017072928">
    <w:abstractNumId w:val="0"/>
  </w:num>
  <w:num w:numId="2" w16cid:durableId="94765723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10123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38F"/>
    <w:rsid w:val="00022A29"/>
    <w:rsid w:val="000355FD"/>
    <w:rsid w:val="00041984"/>
    <w:rsid w:val="00051E39"/>
    <w:rsid w:val="000705F2"/>
    <w:rsid w:val="00077239"/>
    <w:rsid w:val="0007795D"/>
    <w:rsid w:val="00086491"/>
    <w:rsid w:val="00087C82"/>
    <w:rsid w:val="00091346"/>
    <w:rsid w:val="0009706C"/>
    <w:rsid w:val="000A143F"/>
    <w:rsid w:val="000D154B"/>
    <w:rsid w:val="000D2DAF"/>
    <w:rsid w:val="000E463E"/>
    <w:rsid w:val="000F73FF"/>
    <w:rsid w:val="00114CF7"/>
    <w:rsid w:val="00116C7A"/>
    <w:rsid w:val="00121029"/>
    <w:rsid w:val="00123B68"/>
    <w:rsid w:val="00126F2E"/>
    <w:rsid w:val="00146F6F"/>
    <w:rsid w:val="00161F26"/>
    <w:rsid w:val="001653E4"/>
    <w:rsid w:val="00187BD9"/>
    <w:rsid w:val="00190B55"/>
    <w:rsid w:val="001C3B5F"/>
    <w:rsid w:val="001D058F"/>
    <w:rsid w:val="001E4FF4"/>
    <w:rsid w:val="002009EA"/>
    <w:rsid w:val="00202756"/>
    <w:rsid w:val="00202CA0"/>
    <w:rsid w:val="00203C8B"/>
    <w:rsid w:val="00216B6D"/>
    <w:rsid w:val="00221567"/>
    <w:rsid w:val="0022757F"/>
    <w:rsid w:val="00241FA2"/>
    <w:rsid w:val="00262DEA"/>
    <w:rsid w:val="00271316"/>
    <w:rsid w:val="00295F8D"/>
    <w:rsid w:val="002B349C"/>
    <w:rsid w:val="002C6549"/>
    <w:rsid w:val="002D58BE"/>
    <w:rsid w:val="002F4747"/>
    <w:rsid w:val="00302605"/>
    <w:rsid w:val="00325948"/>
    <w:rsid w:val="00361B37"/>
    <w:rsid w:val="00377BD3"/>
    <w:rsid w:val="00384088"/>
    <w:rsid w:val="003852CE"/>
    <w:rsid w:val="0039169B"/>
    <w:rsid w:val="003A247D"/>
    <w:rsid w:val="003A2782"/>
    <w:rsid w:val="003A7F8C"/>
    <w:rsid w:val="003B2284"/>
    <w:rsid w:val="003B532E"/>
    <w:rsid w:val="003D0F8B"/>
    <w:rsid w:val="003E0DB6"/>
    <w:rsid w:val="00401603"/>
    <w:rsid w:val="0041348E"/>
    <w:rsid w:val="00420873"/>
    <w:rsid w:val="00430172"/>
    <w:rsid w:val="00451917"/>
    <w:rsid w:val="00492075"/>
    <w:rsid w:val="004969AD"/>
    <w:rsid w:val="004A26C4"/>
    <w:rsid w:val="004A3F0F"/>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465C"/>
    <w:rsid w:val="006B542D"/>
    <w:rsid w:val="006B7C2A"/>
    <w:rsid w:val="006C23DA"/>
    <w:rsid w:val="006D70B0"/>
    <w:rsid w:val="006E3D45"/>
    <w:rsid w:val="0070288D"/>
    <w:rsid w:val="0070607A"/>
    <w:rsid w:val="007149F9"/>
    <w:rsid w:val="00716BF5"/>
    <w:rsid w:val="00733A30"/>
    <w:rsid w:val="00743629"/>
    <w:rsid w:val="00745AEE"/>
    <w:rsid w:val="00750F10"/>
    <w:rsid w:val="007742CA"/>
    <w:rsid w:val="00790D70"/>
    <w:rsid w:val="007A436D"/>
    <w:rsid w:val="007A6F1F"/>
    <w:rsid w:val="007D5320"/>
    <w:rsid w:val="00800972"/>
    <w:rsid w:val="00804475"/>
    <w:rsid w:val="00811633"/>
    <w:rsid w:val="00814037"/>
    <w:rsid w:val="00841216"/>
    <w:rsid w:val="00842AF0"/>
    <w:rsid w:val="00852FD6"/>
    <w:rsid w:val="0086171E"/>
    <w:rsid w:val="00872FC8"/>
    <w:rsid w:val="008845D0"/>
    <w:rsid w:val="00884D60"/>
    <w:rsid w:val="00886A1D"/>
    <w:rsid w:val="00896E56"/>
    <w:rsid w:val="008B43F2"/>
    <w:rsid w:val="008B6CFF"/>
    <w:rsid w:val="008F0141"/>
    <w:rsid w:val="009274B4"/>
    <w:rsid w:val="00934EA2"/>
    <w:rsid w:val="00944A5C"/>
    <w:rsid w:val="00952A66"/>
    <w:rsid w:val="009814AB"/>
    <w:rsid w:val="009A7153"/>
    <w:rsid w:val="009B1EA1"/>
    <w:rsid w:val="009B7C9A"/>
    <w:rsid w:val="009C56E5"/>
    <w:rsid w:val="009C5A1D"/>
    <w:rsid w:val="009C7716"/>
    <w:rsid w:val="009E5FC8"/>
    <w:rsid w:val="009E687A"/>
    <w:rsid w:val="009F236F"/>
    <w:rsid w:val="00A0095C"/>
    <w:rsid w:val="00A066F1"/>
    <w:rsid w:val="00A141AF"/>
    <w:rsid w:val="00A16D29"/>
    <w:rsid w:val="00A30305"/>
    <w:rsid w:val="00A31D2D"/>
    <w:rsid w:val="00A4600A"/>
    <w:rsid w:val="00A46535"/>
    <w:rsid w:val="00A538A6"/>
    <w:rsid w:val="00A54C25"/>
    <w:rsid w:val="00A710E7"/>
    <w:rsid w:val="00A7372E"/>
    <w:rsid w:val="00A8284C"/>
    <w:rsid w:val="00A93B85"/>
    <w:rsid w:val="00AA0B18"/>
    <w:rsid w:val="00AA3C65"/>
    <w:rsid w:val="00AA666F"/>
    <w:rsid w:val="00AD09A3"/>
    <w:rsid w:val="00AD7914"/>
    <w:rsid w:val="00AE514B"/>
    <w:rsid w:val="00AF1B03"/>
    <w:rsid w:val="00B0311C"/>
    <w:rsid w:val="00B14303"/>
    <w:rsid w:val="00B40888"/>
    <w:rsid w:val="00B62120"/>
    <w:rsid w:val="00B639E9"/>
    <w:rsid w:val="00B71B76"/>
    <w:rsid w:val="00B817CD"/>
    <w:rsid w:val="00B81A7D"/>
    <w:rsid w:val="00B91EF7"/>
    <w:rsid w:val="00B94AD0"/>
    <w:rsid w:val="00B950E2"/>
    <w:rsid w:val="00BB3A95"/>
    <w:rsid w:val="00BC75DE"/>
    <w:rsid w:val="00BD6CCE"/>
    <w:rsid w:val="00C0018F"/>
    <w:rsid w:val="00C16A5A"/>
    <w:rsid w:val="00C20466"/>
    <w:rsid w:val="00C214ED"/>
    <w:rsid w:val="00C234E6"/>
    <w:rsid w:val="00C324A8"/>
    <w:rsid w:val="00C54517"/>
    <w:rsid w:val="00C56F70"/>
    <w:rsid w:val="00C57B91"/>
    <w:rsid w:val="00C64CD8"/>
    <w:rsid w:val="00C76779"/>
    <w:rsid w:val="00C82695"/>
    <w:rsid w:val="00C97C68"/>
    <w:rsid w:val="00CA1A47"/>
    <w:rsid w:val="00CA3DFC"/>
    <w:rsid w:val="00CB44E5"/>
    <w:rsid w:val="00CC247A"/>
    <w:rsid w:val="00CE063E"/>
    <w:rsid w:val="00CE1419"/>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34A5C"/>
    <w:rsid w:val="00E43146"/>
    <w:rsid w:val="00E45D05"/>
    <w:rsid w:val="00E55816"/>
    <w:rsid w:val="00E55AEF"/>
    <w:rsid w:val="00E8057D"/>
    <w:rsid w:val="00E976C1"/>
    <w:rsid w:val="00EA12E5"/>
    <w:rsid w:val="00EB0812"/>
    <w:rsid w:val="00EB54B2"/>
    <w:rsid w:val="00EB55C6"/>
    <w:rsid w:val="00EF1932"/>
    <w:rsid w:val="00EF71B6"/>
    <w:rsid w:val="00F00667"/>
    <w:rsid w:val="00F02766"/>
    <w:rsid w:val="00F05BD4"/>
    <w:rsid w:val="00F06473"/>
    <w:rsid w:val="00F320AA"/>
    <w:rsid w:val="00F6155B"/>
    <w:rsid w:val="00F65C19"/>
    <w:rsid w:val="00F75047"/>
    <w:rsid w:val="00F822B0"/>
    <w:rsid w:val="00FB56C1"/>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06BD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link w:val="ListParagraphChar"/>
    <w:uiPriority w:val="34"/>
    <w:qFormat/>
    <w:rsid w:val="00325948"/>
    <w:pPr>
      <w:tabs>
        <w:tab w:val="clear" w:pos="1134"/>
        <w:tab w:val="clear" w:pos="1871"/>
        <w:tab w:val="clear" w:pos="2268"/>
        <w:tab w:val="left" w:pos="794"/>
        <w:tab w:val="left" w:pos="1191"/>
        <w:tab w:val="left" w:pos="1588"/>
        <w:tab w:val="left" w:pos="1985"/>
      </w:tabs>
      <w:spacing w:before="160" w:line="280" w:lineRule="exact"/>
      <w:ind w:left="720"/>
      <w:contextualSpacing/>
      <w:jc w:val="both"/>
    </w:pPr>
    <w:rPr>
      <w:rFonts w:ascii="Calibri" w:eastAsiaTheme="minorEastAsia" w:hAnsi="Calibri" w:cs="Calibri"/>
      <w:sz w:val="22"/>
      <w:szCs w:val="22"/>
      <w:lang w:val="en-US"/>
    </w:rPr>
  </w:style>
  <w:style w:type="character" w:customStyle="1" w:styleId="ListParagraphChar">
    <w:name w:val="List Paragraph Char"/>
    <w:basedOn w:val="DefaultParagraphFont"/>
    <w:link w:val="ListParagraph"/>
    <w:uiPriority w:val="34"/>
    <w:locked/>
    <w:rsid w:val="00325948"/>
    <w:rPr>
      <w:rFonts w:ascii="Calibri" w:eastAsiaTheme="minorEastAsia" w:hAnsi="Calibri" w:cs="Calibri"/>
      <w:sz w:val="22"/>
      <w:szCs w:val="22"/>
      <w:lang w:eastAsia="en-US"/>
    </w:rPr>
  </w:style>
  <w:style w:type="paragraph" w:styleId="Revision">
    <w:name w:val="Revision"/>
    <w:hidden/>
    <w:uiPriority w:val="99"/>
    <w:semiHidden/>
    <w:rsid w:val="00203C8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R23-WRC23-C-0153!A25!MSW-E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FACE5-A0CC-4EC5-81C7-E51559256B6D}">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26D23DFF-B246-447A-B796-1724D29488F6}">
  <ds:schemaRefs>
    <ds:schemaRef ds:uri="http://schemas.microsoft.com/sharepoint/events"/>
  </ds:schemaRefs>
</ds:datastoreItem>
</file>

<file path=customXml/itemProps3.xml><?xml version="1.0" encoding="utf-8"?>
<ds:datastoreItem xmlns:ds="http://schemas.openxmlformats.org/officeDocument/2006/customXml" ds:itemID="{B2D69373-4B94-418F-8452-5772EB24EE24}">
  <ds:schemaRefs>
    <ds:schemaRef ds:uri="http://schemas.openxmlformats.org/officeDocument/2006/bibliography"/>
  </ds:schemaRefs>
</ds:datastoreItem>
</file>

<file path=customXml/itemProps4.xml><?xml version="1.0" encoding="utf-8"?>
<ds:datastoreItem xmlns:ds="http://schemas.openxmlformats.org/officeDocument/2006/customXml" ds:itemID="{19969FC6-126B-4AF2-B85B-529F31EF6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8BF4BE-BBA7-4F11-A870-643E4BEC5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1156</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R23-WRC23-C-0153!A25!MSW-E</vt:lpstr>
    </vt:vector>
  </TitlesOfParts>
  <Manager>General Secretariat - Pool</Manager>
  <Company>International Telecommunication Union (ITU)</Company>
  <LinksUpToDate>false</LinksUpToDate>
  <CharactersWithSpaces>7401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R23-WRC23-C-0153!A25!MSW-E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2023-11-03T10:25:00Z</dcterms:created>
  <dcterms:modified xsi:type="dcterms:W3CDTF">2023-11-06T17:16:00Z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