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E5BFD83" w14:textId="77777777" w:rsidTr="0080079E">
        <w:trPr>
          <w:cantSplit/>
        </w:trPr>
        <w:tc>
          <w:tcPr>
            <w:tcW w:w="1418" w:type="dxa"/>
            <w:vAlign w:val="center"/>
          </w:tcPr>
          <w:p w14:paraId="47851D2E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457B26" wp14:editId="0492206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8BD3B43" w14:textId="36936F80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966D6D" w:rsidRPr="00966D6D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6E97531A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4F28AE0" wp14:editId="17C6B211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0BC4BC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A19682C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BBE5B2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FA23D84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2B3CBF6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6A47ED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427B14B" w14:textId="77777777" w:rsidTr="0090121B">
        <w:trPr>
          <w:cantSplit/>
        </w:trPr>
        <w:tc>
          <w:tcPr>
            <w:tcW w:w="6911" w:type="dxa"/>
            <w:gridSpan w:val="2"/>
          </w:tcPr>
          <w:p w14:paraId="0E1EDB21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0C9434D" w14:textId="77777777" w:rsidR="0090121B" w:rsidRPr="004E2D58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4E2D58">
              <w:rPr>
                <w:rFonts w:ascii="Verdana" w:hAnsi="Verdana"/>
                <w:b/>
                <w:sz w:val="18"/>
                <w:szCs w:val="18"/>
                <w:lang w:val="es-ES"/>
              </w:rPr>
              <w:t>Addéndum 8 al</w:t>
            </w:r>
            <w:r w:rsidRPr="004E2D58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148</w:t>
            </w:r>
            <w:r w:rsidR="0090121B" w:rsidRPr="004E2D58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4E2D58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1B7A97EA" w14:textId="77777777" w:rsidTr="0090121B">
        <w:trPr>
          <w:cantSplit/>
        </w:trPr>
        <w:tc>
          <w:tcPr>
            <w:tcW w:w="6911" w:type="dxa"/>
            <w:gridSpan w:val="2"/>
          </w:tcPr>
          <w:p w14:paraId="11C97FA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A334212" w14:textId="77777777" w:rsidR="000A5B9A" w:rsidRPr="004E2D5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4E2D58">
              <w:rPr>
                <w:rFonts w:ascii="Verdana" w:hAnsi="Verdana"/>
                <w:b/>
                <w:sz w:val="18"/>
                <w:szCs w:val="18"/>
                <w:lang w:val="es-ES"/>
              </w:rPr>
              <w:t>30 de octubre de 2023</w:t>
            </w:r>
          </w:p>
        </w:tc>
      </w:tr>
      <w:tr w:rsidR="000A5B9A" w:rsidRPr="0002785D" w14:paraId="58885CD5" w14:textId="77777777" w:rsidTr="0090121B">
        <w:trPr>
          <w:cantSplit/>
        </w:trPr>
        <w:tc>
          <w:tcPr>
            <w:tcW w:w="6911" w:type="dxa"/>
            <w:gridSpan w:val="2"/>
          </w:tcPr>
          <w:p w14:paraId="4922AAB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1FC5652" w14:textId="77777777" w:rsidR="000A5B9A" w:rsidRPr="004E2D5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4E2D58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02785D" w14:paraId="73819847" w14:textId="77777777" w:rsidTr="006744FC">
        <w:trPr>
          <w:cantSplit/>
        </w:trPr>
        <w:tc>
          <w:tcPr>
            <w:tcW w:w="10031" w:type="dxa"/>
            <w:gridSpan w:val="4"/>
          </w:tcPr>
          <w:p w14:paraId="025E3771" w14:textId="77777777" w:rsidR="000A5B9A" w:rsidRPr="004E2D5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02785D" w14:paraId="3B5E099A" w14:textId="77777777" w:rsidTr="0050008E">
        <w:trPr>
          <w:cantSplit/>
        </w:trPr>
        <w:tc>
          <w:tcPr>
            <w:tcW w:w="10031" w:type="dxa"/>
            <w:gridSpan w:val="4"/>
          </w:tcPr>
          <w:p w14:paraId="4DBBDEC5" w14:textId="77777777" w:rsidR="000A5B9A" w:rsidRPr="004E2D58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4E2D58">
              <w:rPr>
                <w:lang w:val="es-ES"/>
              </w:rPr>
              <w:t>Irán (República Islámica del)</w:t>
            </w:r>
          </w:p>
        </w:tc>
      </w:tr>
      <w:tr w:rsidR="000A5B9A" w:rsidRPr="00B94D63" w14:paraId="0CA3BD69" w14:textId="77777777" w:rsidTr="0050008E">
        <w:trPr>
          <w:cantSplit/>
        </w:trPr>
        <w:tc>
          <w:tcPr>
            <w:tcW w:w="10031" w:type="dxa"/>
            <w:gridSpan w:val="4"/>
          </w:tcPr>
          <w:p w14:paraId="21A33137" w14:textId="5CAA25DF" w:rsidR="000A5B9A" w:rsidRPr="00B94D63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B94D63">
              <w:rPr>
                <w:lang w:val="es-ES"/>
              </w:rPr>
              <w:t>PROP</w:t>
            </w:r>
            <w:r w:rsidR="00B94D63" w:rsidRPr="00B94D63">
              <w:rPr>
                <w:lang w:val="es-ES"/>
              </w:rPr>
              <w:t>uestas para los trabajos de la conferenci</w:t>
            </w:r>
            <w:r w:rsidR="00B94D63">
              <w:rPr>
                <w:lang w:val="es-ES"/>
              </w:rPr>
              <w:t>a</w:t>
            </w:r>
          </w:p>
        </w:tc>
      </w:tr>
      <w:tr w:rsidR="000A5B9A" w:rsidRPr="00B94D63" w14:paraId="0072AD46" w14:textId="77777777" w:rsidTr="0050008E">
        <w:trPr>
          <w:cantSplit/>
        </w:trPr>
        <w:tc>
          <w:tcPr>
            <w:tcW w:w="10031" w:type="dxa"/>
            <w:gridSpan w:val="4"/>
          </w:tcPr>
          <w:p w14:paraId="00A621FE" w14:textId="77777777" w:rsidR="000A5B9A" w:rsidRPr="00B94D63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77F8238C" w14:textId="77777777" w:rsidTr="0050008E">
        <w:trPr>
          <w:cantSplit/>
        </w:trPr>
        <w:tc>
          <w:tcPr>
            <w:tcW w:w="10031" w:type="dxa"/>
            <w:gridSpan w:val="4"/>
          </w:tcPr>
          <w:p w14:paraId="4A6DF90C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1.8 del orden del día</w:t>
            </w:r>
          </w:p>
        </w:tc>
      </w:tr>
    </w:tbl>
    <w:bookmarkEnd w:id="5"/>
    <w:p w14:paraId="0578AFD1" w14:textId="77777777" w:rsidR="002C69A2" w:rsidRPr="0037022E" w:rsidRDefault="005138AE" w:rsidP="00186A03">
      <w:pPr>
        <w:pStyle w:val="Normalaftertitle"/>
      </w:pPr>
      <w:r w:rsidRPr="00ED1619">
        <w:t>1.8</w:t>
      </w:r>
      <w:r w:rsidRPr="00ED1619">
        <w:tab/>
        <w:t>considerar, basándose en los estudios del UIT-R previstos en la Resolución </w:t>
      </w:r>
      <w:r w:rsidRPr="00DA60A5">
        <w:rPr>
          <w:b/>
          <w:bCs/>
        </w:rPr>
        <w:t>171 (CMR</w:t>
      </w:r>
      <w:r w:rsidRPr="00DA60A5">
        <w:rPr>
          <w:b/>
          <w:bCs/>
        </w:rPr>
        <w:noBreakHyphen/>
        <w:t>19)</w:t>
      </w:r>
      <w:r w:rsidRPr="00ED1619">
        <w:t>, medidas regulatorias adecuadas para examinar y, de ser necesario, enmendar la Resolución</w:t>
      </w:r>
      <w:r>
        <w:t> </w:t>
      </w:r>
      <w:r w:rsidRPr="00DA60A5">
        <w:rPr>
          <w:b/>
          <w:bCs/>
        </w:rPr>
        <w:t>155 (Rev.CMR-19)</w:t>
      </w:r>
      <w:r w:rsidRPr="00ED1619">
        <w:t xml:space="preserve"> y el número</w:t>
      </w:r>
      <w:r>
        <w:t> </w:t>
      </w:r>
      <w:r w:rsidRPr="00DA60A5">
        <w:rPr>
          <w:b/>
          <w:bCs/>
        </w:rPr>
        <w:t>5.484B</w:t>
      </w:r>
      <w:r w:rsidRPr="00ED1619">
        <w:t xml:space="preserve"> del RR con objeto de permitir la utilización de redes del servicio fijo por satélite para el control y las comunicaciones sin carga útil de sistemas de aeronaves no tripuladas;</w:t>
      </w:r>
    </w:p>
    <w:p w14:paraId="7E51C441" w14:textId="53E163FC" w:rsidR="00B94D63" w:rsidRPr="004E2D58" w:rsidRDefault="00B94D63" w:rsidP="00B94D63">
      <w:pPr>
        <w:pStyle w:val="Headingb"/>
        <w:rPr>
          <w:lang w:val="es-ES" w:eastAsia="ko-KR"/>
        </w:rPr>
      </w:pPr>
      <w:r w:rsidRPr="004E2D58">
        <w:rPr>
          <w:lang w:val="es-ES" w:eastAsia="ko-KR"/>
        </w:rPr>
        <w:t>Introducción</w:t>
      </w:r>
    </w:p>
    <w:p w14:paraId="21E2F2B8" w14:textId="282BE8EF" w:rsidR="00B94D63" w:rsidRPr="00B94D63" w:rsidRDefault="00B94D63" w:rsidP="00B94D63">
      <w:pPr>
        <w:rPr>
          <w:lang w:val="es-ES"/>
        </w:rPr>
      </w:pPr>
      <w:r w:rsidRPr="00B94D63">
        <w:rPr>
          <w:lang w:val="es-ES"/>
        </w:rPr>
        <w:t>Los enlaces de control y comunicaciones sin carga útil (CNPC) de aeronaves no tripuladas (ANT) se han considerado en el UIT-R en</w:t>
      </w:r>
      <w:r>
        <w:rPr>
          <w:lang w:val="es-ES"/>
        </w:rPr>
        <w:t xml:space="preserve"> tres </w:t>
      </w:r>
      <w:r w:rsidR="00DA60A5">
        <w:rPr>
          <w:lang w:val="es-ES"/>
        </w:rPr>
        <w:t>c</w:t>
      </w:r>
      <w:r>
        <w:rPr>
          <w:lang w:val="es-ES"/>
        </w:rPr>
        <w:t>onferencias consecutivas, desde la CMR</w:t>
      </w:r>
      <w:r w:rsidRPr="00B94D63">
        <w:rPr>
          <w:lang w:val="es-ES"/>
        </w:rPr>
        <w:t>-12. Los requisitos de numerosas aplicaciones de sistemas de aeronaves no tripuladas (SANT) para comunicaciones más allá de la línea de visib</w:t>
      </w:r>
      <w:r>
        <w:rPr>
          <w:lang w:val="es-ES"/>
        </w:rPr>
        <w:t>i</w:t>
      </w:r>
      <w:r w:rsidRPr="00B94D63">
        <w:rPr>
          <w:lang w:val="es-ES"/>
        </w:rPr>
        <w:t>lidad ex</w:t>
      </w:r>
      <w:r>
        <w:rPr>
          <w:lang w:val="es-ES"/>
        </w:rPr>
        <w:t xml:space="preserve">igen la utilización de comunicaciones por satélite seguras para ofrecer CNPC completos o parciales para las ANT. </w:t>
      </w:r>
      <w:r w:rsidRPr="00B94D63">
        <w:rPr>
          <w:lang w:val="es-ES"/>
        </w:rPr>
        <w:t>La CMR-12 consideró las necesidades de espectro terrenal y de satélite para el funcionamiento de sistemas de aeronaves no tr</w:t>
      </w:r>
      <w:r>
        <w:rPr>
          <w:lang w:val="es-ES"/>
        </w:rPr>
        <w:t>i</w:t>
      </w:r>
      <w:r w:rsidRPr="00B94D63">
        <w:rPr>
          <w:lang w:val="es-ES"/>
        </w:rPr>
        <w:t xml:space="preserve">puladas en el espacio </w:t>
      </w:r>
      <w:r>
        <w:rPr>
          <w:lang w:val="es-ES"/>
        </w:rPr>
        <w:t>aéreo no segregado y garantizó, en particular, la disponibilidad de espectro suficiente para los enlaces terrenales</w:t>
      </w:r>
      <w:r w:rsidRPr="00B94D63">
        <w:rPr>
          <w:lang w:val="es-ES"/>
        </w:rPr>
        <w:t>.</w:t>
      </w:r>
    </w:p>
    <w:p w14:paraId="1A862F20" w14:textId="3F6CF0FA" w:rsidR="00B94D63" w:rsidRPr="00B94D63" w:rsidRDefault="00B94D63" w:rsidP="00B94D63">
      <w:pPr>
        <w:rPr>
          <w:lang w:val="es-ES"/>
        </w:rPr>
      </w:pPr>
      <w:r w:rsidRPr="00B94D63">
        <w:rPr>
          <w:lang w:val="es-ES"/>
        </w:rPr>
        <w:t>La experiencia adquirida de la utilización del servicio fijo por satélite (SFS) para enlaces CNPC</w:t>
      </w:r>
      <w:r w:rsidR="00DA60A5">
        <w:rPr>
          <w:lang w:val="es-ES"/>
        </w:rPr>
        <w:t> </w:t>
      </w:r>
      <w:r w:rsidRPr="00B94D63">
        <w:rPr>
          <w:lang w:val="es-ES"/>
        </w:rPr>
        <w:t>ANT en el espacio aéreo segregado no puede servir de base para la utilizac</w:t>
      </w:r>
      <w:r>
        <w:rPr>
          <w:lang w:val="es-ES"/>
        </w:rPr>
        <w:t>ión de esos enlaces en el espacio aéreo no segregado, pues la situación en el espacio aéreo sin limitación de uso es totalmente distinta</w:t>
      </w:r>
      <w:r w:rsidRPr="00B94D63">
        <w:rPr>
          <w:lang w:val="es-ES"/>
        </w:rPr>
        <w:t>.</w:t>
      </w:r>
    </w:p>
    <w:p w14:paraId="28CA8D88" w14:textId="78DB4B8B" w:rsidR="00B94D63" w:rsidRPr="00DA0498" w:rsidRDefault="00B94D63" w:rsidP="00B94D63">
      <w:pPr>
        <w:rPr>
          <w:u w:val="single"/>
          <w:lang w:val="es-ES"/>
        </w:rPr>
      </w:pPr>
      <w:r w:rsidRPr="00B94D63">
        <w:rPr>
          <w:lang w:val="es-ES"/>
        </w:rPr>
        <w:t xml:space="preserve">Hasta la fecha, el Grupo de Trabajo (GT) 5B lleva más de </w:t>
      </w:r>
      <w:r w:rsidR="00DA60A5">
        <w:rPr>
          <w:lang w:val="es-ES"/>
        </w:rPr>
        <w:t>diez</w:t>
      </w:r>
      <w:r w:rsidRPr="00B94D63">
        <w:rPr>
          <w:lang w:val="es-ES"/>
        </w:rPr>
        <w:t xml:space="preserve"> años y </w:t>
      </w:r>
      <w:r w:rsidR="00DA60A5">
        <w:rPr>
          <w:lang w:val="es-ES"/>
        </w:rPr>
        <w:t>tres</w:t>
      </w:r>
      <w:r w:rsidRPr="00B94D63">
        <w:rPr>
          <w:lang w:val="es-ES"/>
        </w:rPr>
        <w:t xml:space="preserve"> CMR preparando documentos relativos a las características de las esta</w:t>
      </w:r>
      <w:r>
        <w:rPr>
          <w:lang w:val="es-ES"/>
        </w:rPr>
        <w:t xml:space="preserve">ciones de servicios espaciales y terrenales, así como a la protección de los servicios terrenales. </w:t>
      </w:r>
      <w:r w:rsidRPr="00B94D63">
        <w:rPr>
          <w:lang w:val="es-ES"/>
        </w:rPr>
        <w:t>Al mismo tiempo, se han preparado documentos para definir las características de las estaciones terrenas de control y sin carga útil de lo</w:t>
      </w:r>
      <w:r>
        <w:rPr>
          <w:lang w:val="es-ES"/>
        </w:rPr>
        <w:t xml:space="preserve">s sistemas de aeronaves no tripuladas que comunican con estaciones espaciales del SFS. </w:t>
      </w:r>
      <w:r w:rsidR="00DA0498" w:rsidRPr="00DA0498">
        <w:rPr>
          <w:u w:val="single"/>
          <w:lang w:val="es-ES"/>
        </w:rPr>
        <w:t>Ninguno de esos documentos es concluyente, dadas las numerosas dificultades y problemas mencionados en el texto de la RPC</w:t>
      </w:r>
      <w:r w:rsidRPr="00DA0498">
        <w:rPr>
          <w:u w:val="single"/>
          <w:lang w:val="es-ES"/>
        </w:rPr>
        <w:t>.</w:t>
      </w:r>
    </w:p>
    <w:p w14:paraId="7DA46901" w14:textId="008DFB11" w:rsidR="00B94D63" w:rsidRPr="00DA0498" w:rsidRDefault="00DA0498" w:rsidP="0088221F">
      <w:pPr>
        <w:rPr>
          <w:lang w:val="es-ES"/>
        </w:rPr>
      </w:pPr>
      <w:r w:rsidRPr="00DA0498">
        <w:rPr>
          <w:lang w:val="es-ES"/>
        </w:rPr>
        <w:lastRenderedPageBreak/>
        <w:t>La Organización de la Aviación Civil Internacional (OACI), que desempeña un papel clave en</w:t>
      </w:r>
      <w:r>
        <w:rPr>
          <w:lang w:val="es-ES"/>
        </w:rPr>
        <w:t xml:space="preserve"> este punto del orden del día, va a elaborar normas y prácticas recomendadas</w:t>
      </w:r>
      <w:r w:rsidR="00B94D63" w:rsidRPr="00DA0498">
        <w:rPr>
          <w:lang w:val="es-ES"/>
        </w:rPr>
        <w:t xml:space="preserve"> (SARP). </w:t>
      </w:r>
      <w:r w:rsidRPr="00DA0498">
        <w:rPr>
          <w:lang w:val="es-ES"/>
        </w:rPr>
        <w:t>Conforme a los principios esenciales definidos para los enlaces CNPC</w:t>
      </w:r>
      <w:r w:rsidR="00DA60A5">
        <w:rPr>
          <w:lang w:val="es-ES"/>
        </w:rPr>
        <w:t> </w:t>
      </w:r>
      <w:r w:rsidRPr="00DA0498">
        <w:rPr>
          <w:lang w:val="es-ES"/>
        </w:rPr>
        <w:t>SANT por el GT</w:t>
      </w:r>
      <w:r w:rsidR="004E2D58">
        <w:rPr>
          <w:lang w:val="es-ES"/>
        </w:rPr>
        <w:t> </w:t>
      </w:r>
      <w:r w:rsidR="00B94D63" w:rsidRPr="00DA0498">
        <w:rPr>
          <w:lang w:val="es-ES"/>
        </w:rPr>
        <w:t xml:space="preserve">5B, </w:t>
      </w:r>
      <w:r w:rsidRPr="00DA0498">
        <w:rPr>
          <w:lang w:val="es-ES"/>
        </w:rPr>
        <w:t>a fin de garantizar la seguridad del vuelo de la</w:t>
      </w:r>
      <w:r>
        <w:rPr>
          <w:lang w:val="es-ES"/>
        </w:rPr>
        <w:t>s ANT, de conformidad con el número</w:t>
      </w:r>
      <w:r w:rsidR="00C67B8C">
        <w:rPr>
          <w:lang w:val="es-ES"/>
        </w:rPr>
        <w:t> </w:t>
      </w:r>
      <w:r w:rsidR="00B94D63" w:rsidRPr="00C67B8C">
        <w:rPr>
          <w:b/>
          <w:bCs/>
        </w:rPr>
        <w:t>4.10</w:t>
      </w:r>
      <w:r w:rsidR="00B94D63" w:rsidRPr="0088221F">
        <w:t xml:space="preserve"> </w:t>
      </w:r>
      <w:r w:rsidRPr="0088221F">
        <w:t>del Reglamento de Radiocomunicaciones</w:t>
      </w:r>
      <w:r w:rsidR="00B94D63" w:rsidRPr="0088221F">
        <w:t xml:space="preserve"> </w:t>
      </w:r>
      <w:r w:rsidR="00B94D63" w:rsidRPr="004E2D58">
        <w:rPr>
          <w:lang w:val="es-ES"/>
        </w:rPr>
        <w:t>(RR)</w:t>
      </w:r>
      <w:r>
        <w:rPr>
          <w:lang w:val="es-ES"/>
        </w:rPr>
        <w:t xml:space="preserve">, se necesitan medidas para garantizar que no se causan interferencias perjudiciales. </w:t>
      </w:r>
      <w:r w:rsidRPr="00DA0498">
        <w:rPr>
          <w:lang w:val="es-ES"/>
        </w:rPr>
        <w:t>Se prevé que el segundo lo</w:t>
      </w:r>
      <w:r>
        <w:rPr>
          <w:lang w:val="es-ES"/>
        </w:rPr>
        <w:t>te de SARP, cuya finalización estaba prevista para 2022, aborde las posibles solucione</w:t>
      </w:r>
      <w:r w:rsidR="00DA60A5">
        <w:rPr>
          <w:lang w:val="es-ES"/>
        </w:rPr>
        <w:t>s</w:t>
      </w:r>
      <w:r>
        <w:rPr>
          <w:lang w:val="es-ES"/>
        </w:rPr>
        <w:t xml:space="preserve"> técnicas para los sistemas del SFS y de más </w:t>
      </w:r>
      <w:r>
        <w:rPr>
          <w:i/>
          <w:iCs/>
          <w:lang w:val="es-ES"/>
        </w:rPr>
        <w:t xml:space="preserve">resuelve </w:t>
      </w:r>
      <w:r>
        <w:rPr>
          <w:lang w:val="es-ES"/>
        </w:rPr>
        <w:t>pertinentes de</w:t>
      </w:r>
      <w:r w:rsidR="00C67B8C">
        <w:rPr>
          <w:lang w:val="es-ES"/>
        </w:rPr>
        <w:t xml:space="preserve"> </w:t>
      </w:r>
      <w:r>
        <w:rPr>
          <w:lang w:val="es-ES"/>
        </w:rPr>
        <w:t>la Resolución</w:t>
      </w:r>
      <w:r w:rsidR="00C67B8C">
        <w:rPr>
          <w:lang w:val="es-ES"/>
        </w:rPr>
        <w:t> </w:t>
      </w:r>
      <w:r w:rsidR="00B94D63" w:rsidRPr="00186A03">
        <w:rPr>
          <w:b/>
          <w:bCs/>
        </w:rPr>
        <w:t>155 (Rev.C</w:t>
      </w:r>
      <w:r w:rsidRPr="00186A03">
        <w:rPr>
          <w:b/>
          <w:bCs/>
        </w:rPr>
        <w:t>MR</w:t>
      </w:r>
      <w:r w:rsidR="00B94D63" w:rsidRPr="00186A03">
        <w:rPr>
          <w:b/>
          <w:bCs/>
        </w:rPr>
        <w:noBreakHyphen/>
        <w:t>19)</w:t>
      </w:r>
      <w:r w:rsidR="00B94D63" w:rsidRPr="00DA0498">
        <w:rPr>
          <w:lang w:val="es-ES"/>
        </w:rPr>
        <w:t xml:space="preserve">. </w:t>
      </w:r>
      <w:r w:rsidRPr="00DA0498">
        <w:rPr>
          <w:lang w:val="es-ES"/>
        </w:rPr>
        <w:t>Cabe señalar que ese trabajo sigue en curso en la OACI, que reconoce qu</w:t>
      </w:r>
      <w:r>
        <w:rPr>
          <w:lang w:val="es-ES"/>
        </w:rPr>
        <w:t xml:space="preserve">e los responsables de los aspectos relacionados con la seguridad de la vida humana de la utilización de enlaces CNPC SANT son los Estados. </w:t>
      </w:r>
      <w:r w:rsidRPr="00DA0498">
        <w:rPr>
          <w:lang w:val="es-ES"/>
        </w:rPr>
        <w:t>Sin embargo, los fundamentos en que se basa el estudio por la OACI de</w:t>
      </w:r>
      <w:r>
        <w:rPr>
          <w:lang w:val="es-ES"/>
        </w:rPr>
        <w:t xml:space="preserve"> los aspectos de seguridad necesarios a que se refiere el número</w:t>
      </w:r>
      <w:r w:rsidR="004E2D58">
        <w:rPr>
          <w:lang w:val="es-ES"/>
        </w:rPr>
        <w:t> </w:t>
      </w:r>
      <w:r w:rsidR="00B94D63" w:rsidRPr="00DA0498">
        <w:rPr>
          <w:rStyle w:val="Artref"/>
          <w:b/>
          <w:bCs/>
          <w:lang w:val="es-ES"/>
        </w:rPr>
        <w:t>4.10</w:t>
      </w:r>
      <w:r w:rsidR="00B94D63" w:rsidRPr="00DA0498">
        <w:rPr>
          <w:lang w:val="es-ES"/>
        </w:rPr>
        <w:t xml:space="preserve"> </w:t>
      </w:r>
      <w:r w:rsidRPr="00DA0498">
        <w:rPr>
          <w:lang w:val="es-ES"/>
        </w:rPr>
        <w:t>d</w:t>
      </w:r>
      <w:r>
        <w:rPr>
          <w:lang w:val="es-ES"/>
        </w:rPr>
        <w:t>el</w:t>
      </w:r>
      <w:r w:rsidR="00E419D1">
        <w:rPr>
          <w:lang w:val="es-ES"/>
        </w:rPr>
        <w:t> </w:t>
      </w:r>
      <w:r>
        <w:rPr>
          <w:lang w:val="es-ES"/>
        </w:rPr>
        <w:t>RR son inestables, pues el estudio que realiza el UIT-R también lo es y el debate sobre determinados elementos fundamentales sigue abierto</w:t>
      </w:r>
      <w:r w:rsidR="00B94D63" w:rsidRPr="00DA0498">
        <w:rPr>
          <w:lang w:val="es-ES"/>
        </w:rPr>
        <w:t>.</w:t>
      </w:r>
    </w:p>
    <w:p w14:paraId="275D39F6" w14:textId="52E0D13F" w:rsidR="00B94D63" w:rsidRPr="00EF73C0" w:rsidRDefault="00DA0498" w:rsidP="00B94D63">
      <w:pPr>
        <w:rPr>
          <w:lang w:val="es-ES"/>
        </w:rPr>
      </w:pPr>
      <w:r w:rsidRPr="00DA0498">
        <w:rPr>
          <w:lang w:val="es-ES"/>
        </w:rPr>
        <w:t xml:space="preserve">En las tareas que han de llevarse a cabo en el marco de este </w:t>
      </w:r>
      <w:r>
        <w:rPr>
          <w:lang w:val="es-ES"/>
        </w:rPr>
        <w:t xml:space="preserve">punto del orden del día participan varias entidades. </w:t>
      </w:r>
      <w:r w:rsidRPr="00DA0498">
        <w:rPr>
          <w:lang w:val="es-ES"/>
        </w:rPr>
        <w:t>Tras un dilatado debate, el UIT-R lle</w:t>
      </w:r>
      <w:r>
        <w:rPr>
          <w:lang w:val="es-ES"/>
        </w:rPr>
        <w:t>g</w:t>
      </w:r>
      <w:r w:rsidRPr="00DA0498">
        <w:rPr>
          <w:lang w:val="es-ES"/>
        </w:rPr>
        <w:t>ó a la conclusión de que sólo una entida</w:t>
      </w:r>
      <w:r>
        <w:rPr>
          <w:lang w:val="es-ES"/>
        </w:rPr>
        <w:t xml:space="preserve">d debe ser responsable de todas las tareas. </w:t>
      </w:r>
      <w:r w:rsidRPr="00DA0498">
        <w:rPr>
          <w:lang w:val="es-ES"/>
        </w:rPr>
        <w:t>En la actualidad se está estudiando la posibilidad de asignar esa resp</w:t>
      </w:r>
      <w:r>
        <w:rPr>
          <w:lang w:val="es-ES"/>
        </w:rPr>
        <w:t>onsabilidad a la administración notificante de la red del SFS con que comunican las estaciones terrenas CNPC/SANT</w:t>
      </w:r>
      <w:r w:rsidR="00EF73C0">
        <w:rPr>
          <w:lang w:val="es-ES"/>
        </w:rPr>
        <w:t xml:space="preserve">. </w:t>
      </w:r>
      <w:r w:rsidR="00EF73C0" w:rsidRPr="00EF73C0">
        <w:rPr>
          <w:u w:val="single"/>
          <w:lang w:val="es-ES"/>
        </w:rPr>
        <w:t>Sin embargo, dada la naturaleza del funcionamiento, la administración notificante de</w:t>
      </w:r>
      <w:r w:rsidR="00EF73C0">
        <w:rPr>
          <w:u w:val="single"/>
          <w:lang w:val="es-ES"/>
        </w:rPr>
        <w:t xml:space="preserve"> una red/enlace del SFS normal no podrá en ningún caso aplicar el número</w:t>
      </w:r>
      <w:r w:rsidR="00C67B8C">
        <w:rPr>
          <w:u w:val="single"/>
          <w:lang w:val="es-ES"/>
        </w:rPr>
        <w:t> </w:t>
      </w:r>
      <w:r w:rsidR="00B94D63" w:rsidRPr="00C67B8C">
        <w:rPr>
          <w:b/>
          <w:bCs/>
          <w:u w:val="single"/>
        </w:rPr>
        <w:t>4.10</w:t>
      </w:r>
      <w:r w:rsidR="00B94D63" w:rsidRPr="00EF73C0">
        <w:rPr>
          <w:u w:val="single"/>
          <w:lang w:val="es-ES"/>
        </w:rPr>
        <w:t xml:space="preserve"> </w:t>
      </w:r>
      <w:r w:rsidR="00EF73C0" w:rsidRPr="00EF73C0">
        <w:rPr>
          <w:u w:val="single"/>
          <w:lang w:val="es-ES"/>
        </w:rPr>
        <w:t>d</w:t>
      </w:r>
      <w:r w:rsidR="00EF73C0">
        <w:rPr>
          <w:u w:val="single"/>
          <w:lang w:val="es-ES"/>
        </w:rPr>
        <w:t>el</w:t>
      </w:r>
      <w:r w:rsidR="00E419D1">
        <w:rPr>
          <w:u w:val="single"/>
          <w:lang w:val="es-ES"/>
        </w:rPr>
        <w:t> </w:t>
      </w:r>
      <w:r w:rsidR="00EF73C0">
        <w:rPr>
          <w:u w:val="single"/>
          <w:lang w:val="es-ES"/>
        </w:rPr>
        <w:t>RR a una asignación perteneciente al enlace utilizado para CNPC</w:t>
      </w:r>
      <w:r w:rsidR="00E419D1">
        <w:rPr>
          <w:u w:val="single"/>
          <w:lang w:val="es-ES"/>
        </w:rPr>
        <w:t> </w:t>
      </w:r>
      <w:r w:rsidR="00EF73C0">
        <w:rPr>
          <w:u w:val="single"/>
          <w:lang w:val="es-ES"/>
        </w:rPr>
        <w:t xml:space="preserve">SANT, pues su categoría reglamentaria con respecto a otras asignaciones ya no sería la de asignación comercial normal. </w:t>
      </w:r>
      <w:r w:rsidR="00EF73C0" w:rsidRPr="00EF73C0">
        <w:rPr>
          <w:u w:val="single"/>
          <w:lang w:val="es-ES"/>
        </w:rPr>
        <w:t>Por consiguiente, muchas administrac</w:t>
      </w:r>
      <w:r w:rsidR="00EF73C0">
        <w:rPr>
          <w:u w:val="single"/>
          <w:lang w:val="es-ES"/>
        </w:rPr>
        <w:t>i</w:t>
      </w:r>
      <w:r w:rsidR="00EF73C0" w:rsidRPr="00EF73C0">
        <w:rPr>
          <w:u w:val="single"/>
          <w:lang w:val="es-ES"/>
        </w:rPr>
        <w:t>ones consideran que el tema de la seguridad del vuelo queda totalmente fuera del alcance y ámbi</w:t>
      </w:r>
      <w:r w:rsidR="00EF73C0">
        <w:rPr>
          <w:u w:val="single"/>
          <w:lang w:val="es-ES"/>
        </w:rPr>
        <w:t>to de competencia de la administración notificante de la red del</w:t>
      </w:r>
      <w:r w:rsidR="00E419D1">
        <w:rPr>
          <w:u w:val="single"/>
          <w:lang w:val="es-ES"/>
        </w:rPr>
        <w:t> </w:t>
      </w:r>
      <w:r w:rsidR="00EF73C0">
        <w:rPr>
          <w:u w:val="single"/>
          <w:lang w:val="es-ES"/>
        </w:rPr>
        <w:t xml:space="preserve">SFS. </w:t>
      </w:r>
      <w:r w:rsidR="00EF73C0" w:rsidRPr="00EF73C0">
        <w:rPr>
          <w:u w:val="single"/>
          <w:lang w:val="es-ES"/>
        </w:rPr>
        <w:t>Este es uno de los grandes problemas que plantea este punto del orden del día</w:t>
      </w:r>
      <w:r w:rsidR="00B94D63" w:rsidRPr="00EF73C0">
        <w:rPr>
          <w:u w:val="single"/>
          <w:lang w:val="es-ES"/>
        </w:rPr>
        <w:t>.</w:t>
      </w:r>
      <w:r w:rsidR="00B94D63" w:rsidRPr="00EF73C0">
        <w:rPr>
          <w:lang w:val="es-ES"/>
        </w:rPr>
        <w:t xml:space="preserve"> </w:t>
      </w:r>
      <w:r w:rsidR="00EF73C0" w:rsidRPr="00EF73C0">
        <w:rPr>
          <w:lang w:val="es-ES"/>
        </w:rPr>
        <w:t>Además, para que el CNPC</w:t>
      </w:r>
      <w:r w:rsidR="00E419D1">
        <w:rPr>
          <w:lang w:val="es-ES"/>
        </w:rPr>
        <w:t> </w:t>
      </w:r>
      <w:r w:rsidR="00EF73C0" w:rsidRPr="00EF73C0">
        <w:rPr>
          <w:lang w:val="es-ES"/>
        </w:rPr>
        <w:t>SANT mencionado funcione adecuada y eficazmente, la administración notificante de la red del SFS con que comunica la estación terrena CNPC</w:t>
      </w:r>
      <w:r w:rsidR="00E419D1">
        <w:rPr>
          <w:lang w:val="es-ES"/>
        </w:rPr>
        <w:t> </w:t>
      </w:r>
      <w:r w:rsidR="00EF73C0" w:rsidRPr="00EF73C0">
        <w:rPr>
          <w:lang w:val="es-ES"/>
        </w:rPr>
        <w:t xml:space="preserve">SANT debe aceptar asumir la responsabilidad que en la actualidad se reparte entre distintos actores y, al mismo tiempo, ejercer a nivel interno las funciones de coordinación y </w:t>
      </w:r>
      <w:r w:rsidR="00EF73C0">
        <w:rPr>
          <w:lang w:val="es-ES"/>
        </w:rPr>
        <w:t>gestión con todos los actores involucrados en la ejecución de la operación</w:t>
      </w:r>
      <w:r w:rsidR="00B94D63" w:rsidRPr="00EF73C0">
        <w:rPr>
          <w:lang w:val="es-ES"/>
        </w:rPr>
        <w:t>.</w:t>
      </w:r>
    </w:p>
    <w:p w14:paraId="3E8549BD" w14:textId="46A23D80" w:rsidR="00B94D63" w:rsidRPr="00EF73C0" w:rsidRDefault="00EF73C0" w:rsidP="00B94D63">
      <w:pPr>
        <w:rPr>
          <w:u w:val="single"/>
          <w:lang w:val="es-ES"/>
        </w:rPr>
      </w:pPr>
      <w:r w:rsidRPr="00EF73C0">
        <w:rPr>
          <w:u w:val="single"/>
          <w:lang w:val="es-ES"/>
        </w:rPr>
        <w:t>No está en absoluto claro si la administración notificante de la red del SFS con que comunica el CNPC</w:t>
      </w:r>
      <w:r w:rsidR="00E419D1">
        <w:rPr>
          <w:u w:val="single"/>
          <w:lang w:val="es-ES"/>
        </w:rPr>
        <w:t> </w:t>
      </w:r>
      <w:r w:rsidRPr="00EF73C0">
        <w:rPr>
          <w:u w:val="single"/>
          <w:lang w:val="es-ES"/>
        </w:rPr>
        <w:t>SANT estará dispuesta a asumir una responsa</w:t>
      </w:r>
      <w:r>
        <w:rPr>
          <w:u w:val="single"/>
          <w:lang w:val="es-ES"/>
        </w:rPr>
        <w:t xml:space="preserve">bilidad tan amplia, importante y mal definida. </w:t>
      </w:r>
      <w:r w:rsidRPr="00EF73C0">
        <w:rPr>
          <w:u w:val="single"/>
          <w:lang w:val="es-ES"/>
        </w:rPr>
        <w:t>Una vez conocida la información técnica facilitada por el GT</w:t>
      </w:r>
      <w:r w:rsidR="00E419D1">
        <w:rPr>
          <w:u w:val="single"/>
          <w:lang w:val="es-ES"/>
        </w:rPr>
        <w:t> </w:t>
      </w:r>
      <w:r w:rsidR="00B94D63" w:rsidRPr="00EF73C0">
        <w:rPr>
          <w:u w:val="single"/>
          <w:lang w:val="es-ES"/>
        </w:rPr>
        <w:t xml:space="preserve">5B, </w:t>
      </w:r>
      <w:r w:rsidRPr="00EF73C0">
        <w:rPr>
          <w:u w:val="single"/>
          <w:lang w:val="es-ES"/>
        </w:rPr>
        <w:t>siguen en curso los debates sobre los principios del funcionamiento del CNPC</w:t>
      </w:r>
      <w:r w:rsidR="00E419D1">
        <w:rPr>
          <w:u w:val="single"/>
          <w:lang w:val="es-ES"/>
        </w:rPr>
        <w:t> </w:t>
      </w:r>
      <w:r w:rsidRPr="00EF73C0">
        <w:rPr>
          <w:u w:val="single"/>
          <w:lang w:val="es-ES"/>
        </w:rPr>
        <w:t>SANT, por ejemplo, qué administración puede y debe asumir qué responsabilidad en relación con el funcionami</w:t>
      </w:r>
      <w:r>
        <w:rPr>
          <w:u w:val="single"/>
          <w:lang w:val="es-ES"/>
        </w:rPr>
        <w:t>ento del CNPC</w:t>
      </w:r>
      <w:r w:rsidR="00E419D1">
        <w:rPr>
          <w:u w:val="single"/>
          <w:lang w:val="es-ES"/>
        </w:rPr>
        <w:t> </w:t>
      </w:r>
      <w:r>
        <w:rPr>
          <w:u w:val="single"/>
          <w:lang w:val="es-ES"/>
        </w:rPr>
        <w:t xml:space="preserve">SANT, y se llegó a la decisión de que es necesario finalizar esos debates antes </w:t>
      </w:r>
      <w:r w:rsidR="00E419D1">
        <w:rPr>
          <w:u w:val="single"/>
          <w:lang w:val="es-ES"/>
        </w:rPr>
        <w:t xml:space="preserve">de </w:t>
      </w:r>
      <w:r>
        <w:rPr>
          <w:u w:val="single"/>
          <w:lang w:val="es-ES"/>
        </w:rPr>
        <w:t>poder elaborar un texto específico para una Resolución</w:t>
      </w:r>
      <w:r w:rsidR="00B94D63" w:rsidRPr="00EF73C0">
        <w:rPr>
          <w:u w:val="single"/>
          <w:lang w:val="es-ES"/>
        </w:rPr>
        <w:t>.</w:t>
      </w:r>
    </w:p>
    <w:p w14:paraId="1A6ABA6B" w14:textId="6B4637DB" w:rsidR="00B94D63" w:rsidRPr="004E3193" w:rsidRDefault="004E3193" w:rsidP="00B94D63">
      <w:pPr>
        <w:rPr>
          <w:lang w:val="es-ES"/>
        </w:rPr>
      </w:pPr>
      <w:r w:rsidRPr="004E3193">
        <w:rPr>
          <w:lang w:val="es-ES"/>
        </w:rPr>
        <w:t xml:space="preserve">Contrariamente a lo que ocurre para otros puntos del orden del día, la opción </w:t>
      </w:r>
      <w:r w:rsidR="00E419D1">
        <w:rPr>
          <w:lang w:val="es-ES"/>
        </w:rPr>
        <w:t>«</w:t>
      </w:r>
      <w:r w:rsidRPr="004E3193">
        <w:rPr>
          <w:lang w:val="es-ES"/>
        </w:rPr>
        <w:t>ningún cambio</w:t>
      </w:r>
      <w:r w:rsidR="00E419D1">
        <w:rPr>
          <w:lang w:val="es-ES"/>
        </w:rPr>
        <w:t>»</w:t>
      </w:r>
      <w:r w:rsidRPr="004E3193">
        <w:rPr>
          <w:lang w:val="es-ES"/>
        </w:rPr>
        <w:t xml:space="preserve"> no es</w:t>
      </w:r>
      <w:r>
        <w:rPr>
          <w:lang w:val="es-ES"/>
        </w:rPr>
        <w:t xml:space="preserve"> viable para responder al punto del orden del día, pues no sería coherente con la formulación y el contenido del punto del orden del día. </w:t>
      </w:r>
      <w:r w:rsidRPr="004E3193">
        <w:rPr>
          <w:u w:val="single"/>
          <w:lang w:val="es-ES"/>
        </w:rPr>
        <w:t>La Resolución</w:t>
      </w:r>
      <w:r w:rsidR="004E2D58">
        <w:rPr>
          <w:u w:val="single"/>
          <w:lang w:val="es-ES" w:bidi="fa-IR"/>
        </w:rPr>
        <w:t> </w:t>
      </w:r>
      <w:r w:rsidR="00B94D63" w:rsidRPr="00C67B8C">
        <w:rPr>
          <w:b/>
          <w:bCs/>
          <w:u w:val="single"/>
        </w:rPr>
        <w:t>155 (Rev.C</w:t>
      </w:r>
      <w:r w:rsidRPr="00C67B8C">
        <w:rPr>
          <w:b/>
          <w:bCs/>
          <w:u w:val="single"/>
        </w:rPr>
        <w:t>MR</w:t>
      </w:r>
      <w:r w:rsidR="00B94D63" w:rsidRPr="00C67B8C">
        <w:rPr>
          <w:b/>
          <w:bCs/>
          <w:u w:val="single"/>
        </w:rPr>
        <w:noBreakHyphen/>
        <w:t>19)</w:t>
      </w:r>
      <w:r w:rsidR="00B94D63" w:rsidRPr="004E3193">
        <w:rPr>
          <w:u w:val="single"/>
          <w:lang w:val="es-ES" w:bidi="fa-IR"/>
        </w:rPr>
        <w:t xml:space="preserve"> </w:t>
      </w:r>
      <w:r w:rsidRPr="004E3193">
        <w:rPr>
          <w:u w:val="single"/>
          <w:lang w:val="es-ES" w:bidi="fa-IR"/>
        </w:rPr>
        <w:t>en vigor no es aplicable a causa de varias incoherencias, carencias y co</w:t>
      </w:r>
      <w:r>
        <w:rPr>
          <w:u w:val="single"/>
          <w:lang w:val="es-ES" w:bidi="fa-IR"/>
        </w:rPr>
        <w:t>ntradicciones, algunas de las cuales han señalado la</w:t>
      </w:r>
      <w:r w:rsidR="00E419D1">
        <w:rPr>
          <w:u w:val="single"/>
          <w:lang w:val="es-ES" w:bidi="fa-IR"/>
        </w:rPr>
        <w:t> </w:t>
      </w:r>
      <w:r>
        <w:rPr>
          <w:u w:val="single"/>
          <w:lang w:val="es-ES" w:bidi="fa-IR"/>
        </w:rPr>
        <w:t xml:space="preserve">OACI y algunas administraciones. </w:t>
      </w:r>
      <w:r w:rsidRPr="004E3193">
        <w:rPr>
          <w:u w:val="single"/>
          <w:lang w:val="es-ES" w:bidi="fa-IR"/>
        </w:rPr>
        <w:t>La única opción que t</w:t>
      </w:r>
      <w:r>
        <w:rPr>
          <w:u w:val="single"/>
          <w:lang w:val="es-ES" w:bidi="fa-IR"/>
        </w:rPr>
        <w:t>enía</w:t>
      </w:r>
      <w:r w:rsidRPr="004E3193">
        <w:rPr>
          <w:u w:val="single"/>
          <w:lang w:val="es-ES" w:bidi="fa-IR"/>
        </w:rPr>
        <w:t xml:space="preserve"> el UIT-R e</w:t>
      </w:r>
      <w:r>
        <w:rPr>
          <w:u w:val="single"/>
          <w:lang w:val="es-ES" w:bidi="fa-IR"/>
        </w:rPr>
        <w:t>ra</w:t>
      </w:r>
      <w:r w:rsidRPr="004E3193">
        <w:rPr>
          <w:u w:val="single"/>
          <w:lang w:val="es-ES" w:bidi="fa-IR"/>
        </w:rPr>
        <w:t xml:space="preserve"> revisar la Resolución sin que se</w:t>
      </w:r>
      <w:r>
        <w:rPr>
          <w:u w:val="single"/>
          <w:lang w:val="es-ES" w:bidi="fa-IR"/>
        </w:rPr>
        <w:t xml:space="preserve"> hubiese llegado a un acuerdo al respecto</w:t>
      </w:r>
      <w:r w:rsidR="00B94D63" w:rsidRPr="00E419D1">
        <w:rPr>
          <w:u w:val="single"/>
          <w:lang w:val="es-ES" w:bidi="fa-IR"/>
        </w:rPr>
        <w:t>.</w:t>
      </w:r>
      <w:r w:rsidR="00B94D63" w:rsidRPr="004E3193">
        <w:rPr>
          <w:lang w:val="es-ES" w:bidi="fa-IR"/>
        </w:rPr>
        <w:t xml:space="preserve"> </w:t>
      </w:r>
      <w:r w:rsidRPr="004E3193">
        <w:rPr>
          <w:lang w:val="es-ES" w:bidi="fa-IR"/>
        </w:rPr>
        <w:t xml:space="preserve">Aún no se ha considerado el preámbulo del proyecto de </w:t>
      </w:r>
      <w:r>
        <w:rPr>
          <w:lang w:val="es-ES" w:bidi="fa-IR"/>
        </w:rPr>
        <w:t xml:space="preserve">Resolución. </w:t>
      </w:r>
      <w:r w:rsidRPr="004E3193">
        <w:rPr>
          <w:lang w:val="es-ES" w:bidi="fa-IR"/>
        </w:rPr>
        <w:t>En cuando a la parte resolutiva (</w:t>
      </w:r>
      <w:r w:rsidRPr="004E3193">
        <w:rPr>
          <w:i/>
          <w:iCs/>
          <w:lang w:val="es-ES" w:bidi="fa-IR"/>
        </w:rPr>
        <w:t>resuelve</w:t>
      </w:r>
      <w:r w:rsidR="00B94D63" w:rsidRPr="004E3193">
        <w:rPr>
          <w:lang w:val="es-ES" w:bidi="fa-IR"/>
        </w:rPr>
        <w:t>)</w:t>
      </w:r>
      <w:r w:rsidRPr="004E3193">
        <w:rPr>
          <w:lang w:val="es-ES" w:bidi="fa-IR"/>
        </w:rPr>
        <w:t>, sólo se han ab</w:t>
      </w:r>
      <w:r>
        <w:rPr>
          <w:lang w:val="es-ES" w:bidi="fa-IR"/>
        </w:rPr>
        <w:t xml:space="preserve">ordado brevemente algunos elementos para los que se ha llegado a un acuerdo parcial. </w:t>
      </w:r>
      <w:r w:rsidRPr="004E3193">
        <w:rPr>
          <w:lang w:val="es-ES" w:bidi="fa-IR"/>
        </w:rPr>
        <w:t>Las partes restantes, incluidos los Anexos a la Resolución, no se</w:t>
      </w:r>
      <w:r>
        <w:rPr>
          <w:lang w:val="es-ES" w:bidi="fa-IR"/>
        </w:rPr>
        <w:t xml:space="preserve"> han considerado en absoluto. </w:t>
      </w:r>
      <w:r w:rsidRPr="004E3193">
        <w:rPr>
          <w:lang w:val="es-ES" w:bidi="fa-IR"/>
        </w:rPr>
        <w:t>En la RPC23-2 no hubo tiempo de finalizar las partes no</w:t>
      </w:r>
      <w:r>
        <w:rPr>
          <w:lang w:val="es-ES" w:bidi="fa-IR"/>
        </w:rPr>
        <w:t xml:space="preserve"> debatidas y no acordadas, pues su duración era incompatible con los intensos debates que suscita este tema. </w:t>
      </w:r>
      <w:r w:rsidRPr="004E3193">
        <w:rPr>
          <w:lang w:val="es-ES" w:bidi="fa-IR"/>
        </w:rPr>
        <w:t xml:space="preserve">Por consiguiente, una posible solución es </w:t>
      </w:r>
      <w:r>
        <w:rPr>
          <w:lang w:val="es-ES" w:bidi="fa-IR"/>
        </w:rPr>
        <w:t>suprimir esta Resolución, junto con la Resolución</w:t>
      </w:r>
      <w:bookmarkStart w:id="6" w:name="_Hlk110089361"/>
      <w:r w:rsidR="00E419D1">
        <w:rPr>
          <w:lang w:val="es-ES" w:bidi="fa-IR"/>
        </w:rPr>
        <w:t> </w:t>
      </w:r>
      <w:r w:rsidR="00B94D63" w:rsidRPr="004E3193">
        <w:rPr>
          <w:b/>
          <w:bCs/>
          <w:lang w:val="es-ES" w:bidi="fa-IR"/>
        </w:rPr>
        <w:t>171</w:t>
      </w:r>
      <w:r w:rsidR="00B94D63" w:rsidRPr="004E3193">
        <w:rPr>
          <w:lang w:val="es-ES" w:bidi="fa-IR"/>
        </w:rPr>
        <w:t xml:space="preserve"> </w:t>
      </w:r>
      <w:r w:rsidR="00B94D63" w:rsidRPr="004E3193">
        <w:rPr>
          <w:b/>
          <w:bCs/>
          <w:lang w:val="es-ES" w:bidi="fa-IR"/>
        </w:rPr>
        <w:t>(C</w:t>
      </w:r>
      <w:r>
        <w:rPr>
          <w:b/>
          <w:bCs/>
          <w:lang w:val="es-ES" w:bidi="fa-IR"/>
        </w:rPr>
        <w:t>MR</w:t>
      </w:r>
      <w:r w:rsidR="00B94D63" w:rsidRPr="004E3193">
        <w:rPr>
          <w:b/>
          <w:bCs/>
          <w:lang w:val="es-ES" w:bidi="fa-IR"/>
        </w:rPr>
        <w:t xml:space="preserve">-19) </w:t>
      </w:r>
      <w:r>
        <w:rPr>
          <w:lang w:val="es-ES" w:bidi="fa-IR"/>
        </w:rPr>
        <w:t>y el número</w:t>
      </w:r>
      <w:r w:rsidR="00C67B8C">
        <w:rPr>
          <w:lang w:val="es-ES" w:bidi="fa-IR"/>
        </w:rPr>
        <w:t> </w:t>
      </w:r>
      <w:r w:rsidR="00B94D63" w:rsidRPr="00C67B8C">
        <w:rPr>
          <w:b/>
          <w:bCs/>
        </w:rPr>
        <w:t>5.484B</w:t>
      </w:r>
      <w:bookmarkEnd w:id="6"/>
      <w:r>
        <w:rPr>
          <w:rStyle w:val="Artref"/>
          <w:b/>
          <w:bCs/>
          <w:lang w:val="es-ES"/>
        </w:rPr>
        <w:t xml:space="preserve"> </w:t>
      </w:r>
      <w:r>
        <w:rPr>
          <w:rStyle w:val="Artref"/>
          <w:lang w:val="es-ES"/>
        </w:rPr>
        <w:t>del RR</w:t>
      </w:r>
      <w:r w:rsidR="00B94D63" w:rsidRPr="004E3193">
        <w:rPr>
          <w:lang w:val="es-ES" w:bidi="fa-IR"/>
        </w:rPr>
        <w:t>.</w:t>
      </w:r>
    </w:p>
    <w:p w14:paraId="0B7E5DC9" w14:textId="734F217E" w:rsidR="00B94D63" w:rsidRPr="004E3193" w:rsidRDefault="004E3193" w:rsidP="00B94D63">
      <w:pPr>
        <w:rPr>
          <w:u w:val="single"/>
          <w:lang w:val="es-ES"/>
        </w:rPr>
      </w:pPr>
      <w:r w:rsidRPr="004E3193">
        <w:rPr>
          <w:lang w:val="es-ES"/>
        </w:rPr>
        <w:lastRenderedPageBreak/>
        <w:t>Cabe destacar que la gestión de la interferencia de las asignaciones de frecuencias y la aplicación del RR son responsabilidad de</w:t>
      </w:r>
      <w:r>
        <w:rPr>
          <w:lang w:val="es-ES"/>
        </w:rPr>
        <w:t xml:space="preserve"> las administraciones de la UIT, que carecen de disposiciones claras y de conclusiones. </w:t>
      </w:r>
      <w:r w:rsidRPr="004E3193">
        <w:rPr>
          <w:u w:val="single"/>
          <w:lang w:val="es-ES"/>
        </w:rPr>
        <w:t>Sin embargo, como se indica en el documento de resultados del UIT-R, no se sabe exactamente cómo se aplicaría un mecanismo de</w:t>
      </w:r>
      <w:r>
        <w:rPr>
          <w:u w:val="single"/>
          <w:lang w:val="es-ES"/>
        </w:rPr>
        <w:t xml:space="preserve"> gestión de la interferencia que todavía no existe. </w:t>
      </w:r>
      <w:r w:rsidRPr="004E3193">
        <w:rPr>
          <w:u w:val="single"/>
          <w:lang w:val="es-ES"/>
        </w:rPr>
        <w:t>También hay una cierta ambigüedad en cuanto al nivel de interferencia causada a las estaciones receptoras de esos enlaces, que todaví</w:t>
      </w:r>
      <w:r>
        <w:rPr>
          <w:u w:val="single"/>
          <w:lang w:val="es-ES"/>
        </w:rPr>
        <w:t>a no se aclara en la Resolución</w:t>
      </w:r>
      <w:r w:rsidR="00B94D63" w:rsidRPr="004E3193">
        <w:rPr>
          <w:u w:val="single"/>
          <w:lang w:val="es-ES"/>
        </w:rPr>
        <w:t>.</w:t>
      </w:r>
    </w:p>
    <w:p w14:paraId="09E0A35E" w14:textId="2CD1E701" w:rsidR="00B94D63" w:rsidRPr="004E3193" w:rsidRDefault="004E3193" w:rsidP="00B94D63">
      <w:pPr>
        <w:rPr>
          <w:lang w:val="es-ES"/>
        </w:rPr>
      </w:pPr>
      <w:r w:rsidRPr="004E3193">
        <w:rPr>
          <w:lang w:val="es-ES"/>
        </w:rPr>
        <w:t>Para responder al punto</w:t>
      </w:r>
      <w:r w:rsidR="00DB29CC">
        <w:rPr>
          <w:lang w:val="es-ES"/>
        </w:rPr>
        <w:t> </w:t>
      </w:r>
      <w:r w:rsidRPr="004E3193">
        <w:rPr>
          <w:lang w:val="es-ES"/>
        </w:rPr>
        <w:t xml:space="preserve">1.8 del orden del </w:t>
      </w:r>
      <w:r>
        <w:rPr>
          <w:lang w:val="es-ES"/>
        </w:rPr>
        <w:t>día de la CMR-23 se han identificado dos métodos</w:t>
      </w:r>
      <w:r w:rsidR="00B94D63" w:rsidRPr="004E3193">
        <w:rPr>
          <w:lang w:val="es-ES"/>
        </w:rPr>
        <w:t>:</w:t>
      </w:r>
    </w:p>
    <w:p w14:paraId="09E7FB3C" w14:textId="04509D32" w:rsidR="00B94D63" w:rsidRPr="004E3193" w:rsidRDefault="00B94D63" w:rsidP="00B94D63">
      <w:pPr>
        <w:pStyle w:val="enumlev1"/>
        <w:rPr>
          <w:lang w:val="es-ES"/>
        </w:rPr>
      </w:pPr>
      <w:r w:rsidRPr="004E3193">
        <w:rPr>
          <w:lang w:val="es-ES"/>
        </w:rPr>
        <w:t>–</w:t>
      </w:r>
      <w:r w:rsidRPr="004E3193">
        <w:rPr>
          <w:lang w:val="es-ES"/>
        </w:rPr>
        <w:tab/>
      </w:r>
      <w:r w:rsidR="00DB29CC">
        <w:rPr>
          <w:lang w:val="es-ES"/>
        </w:rPr>
        <w:t>c</w:t>
      </w:r>
      <w:r w:rsidR="004E3193" w:rsidRPr="004E3193">
        <w:rPr>
          <w:lang w:val="es-ES"/>
        </w:rPr>
        <w:t>on el Método</w:t>
      </w:r>
      <w:r w:rsidR="00DB29CC">
        <w:rPr>
          <w:lang w:val="es-ES"/>
        </w:rPr>
        <w:t> </w:t>
      </w:r>
      <w:r w:rsidR="004E3193" w:rsidRPr="004E3193">
        <w:rPr>
          <w:lang w:val="es-ES"/>
        </w:rPr>
        <w:t>A se propone suprimir el número</w:t>
      </w:r>
      <w:r w:rsidR="00C67B8C">
        <w:rPr>
          <w:lang w:val="es-ES"/>
        </w:rPr>
        <w:t> </w:t>
      </w:r>
      <w:r w:rsidRPr="00C67B8C">
        <w:rPr>
          <w:b/>
          <w:bCs/>
        </w:rPr>
        <w:t>5.484B</w:t>
      </w:r>
      <w:r w:rsidRPr="004E3193">
        <w:rPr>
          <w:lang w:val="es-ES"/>
        </w:rPr>
        <w:t xml:space="preserve"> </w:t>
      </w:r>
      <w:r w:rsidR="004E3193" w:rsidRPr="004E3193">
        <w:rPr>
          <w:lang w:val="es-ES"/>
        </w:rPr>
        <w:t>d</w:t>
      </w:r>
      <w:r w:rsidR="004E3193">
        <w:rPr>
          <w:lang w:val="es-ES"/>
        </w:rPr>
        <w:t>el RR, además de la Resolución</w:t>
      </w:r>
      <w:r w:rsidR="00DB29CC">
        <w:rPr>
          <w:lang w:val="es-ES"/>
        </w:rPr>
        <w:t> </w:t>
      </w:r>
      <w:r w:rsidRPr="004E3193">
        <w:rPr>
          <w:b/>
          <w:bCs/>
          <w:lang w:val="es-ES"/>
        </w:rPr>
        <w:t>155 (Rev.C</w:t>
      </w:r>
      <w:r w:rsidR="004E3193">
        <w:rPr>
          <w:b/>
          <w:bCs/>
          <w:lang w:val="es-ES"/>
        </w:rPr>
        <w:t>MR</w:t>
      </w:r>
      <w:r w:rsidRPr="004E3193">
        <w:rPr>
          <w:b/>
          <w:bCs/>
          <w:lang w:val="es-ES"/>
        </w:rPr>
        <w:t>-19)</w:t>
      </w:r>
      <w:r w:rsidRPr="004E3193">
        <w:rPr>
          <w:lang w:val="es-ES"/>
        </w:rPr>
        <w:t xml:space="preserve"> </w:t>
      </w:r>
      <w:r w:rsidR="004E3193">
        <w:rPr>
          <w:lang w:val="es-ES"/>
        </w:rPr>
        <w:t>y la Resolución</w:t>
      </w:r>
      <w:r w:rsidR="00DB29CC">
        <w:rPr>
          <w:lang w:val="es-ES"/>
        </w:rPr>
        <w:t> </w:t>
      </w:r>
      <w:r w:rsidRPr="004E3193">
        <w:rPr>
          <w:b/>
          <w:bCs/>
          <w:lang w:val="es-ES"/>
        </w:rPr>
        <w:t>171 (C</w:t>
      </w:r>
      <w:r w:rsidR="004E3193">
        <w:rPr>
          <w:b/>
          <w:bCs/>
          <w:lang w:val="es-ES"/>
        </w:rPr>
        <w:t>MR</w:t>
      </w:r>
      <w:r w:rsidRPr="004E3193">
        <w:rPr>
          <w:b/>
          <w:bCs/>
          <w:lang w:val="es-ES"/>
        </w:rPr>
        <w:t>-19)</w:t>
      </w:r>
      <w:r w:rsidRPr="004E3193">
        <w:rPr>
          <w:lang w:val="es-ES"/>
        </w:rPr>
        <w:t>;</w:t>
      </w:r>
    </w:p>
    <w:p w14:paraId="239DD51C" w14:textId="7D625B50" w:rsidR="00B94D63" w:rsidRPr="004E3193" w:rsidRDefault="00B94D63" w:rsidP="00B94D63">
      <w:pPr>
        <w:pStyle w:val="enumlev1"/>
        <w:rPr>
          <w:lang w:val="es-ES"/>
        </w:rPr>
      </w:pPr>
      <w:r w:rsidRPr="004E3193">
        <w:rPr>
          <w:lang w:val="es-ES"/>
        </w:rPr>
        <w:t>–</w:t>
      </w:r>
      <w:r w:rsidRPr="004E3193">
        <w:rPr>
          <w:lang w:val="es-ES"/>
        </w:rPr>
        <w:tab/>
      </w:r>
      <w:r w:rsidR="00DB29CC">
        <w:rPr>
          <w:lang w:val="es-ES"/>
        </w:rPr>
        <w:t>e</w:t>
      </w:r>
      <w:r w:rsidR="004E3193" w:rsidRPr="004E3193">
        <w:rPr>
          <w:lang w:val="es-ES"/>
        </w:rPr>
        <w:t>l objetivo del Método</w:t>
      </w:r>
      <w:r w:rsidR="00DB29CC">
        <w:rPr>
          <w:lang w:val="es-ES"/>
        </w:rPr>
        <w:t> </w:t>
      </w:r>
      <w:r w:rsidR="004E3193" w:rsidRPr="004E3193">
        <w:rPr>
          <w:lang w:val="es-ES"/>
        </w:rPr>
        <w:t>B es revisar la Resolución</w:t>
      </w:r>
      <w:r w:rsidR="00DB29CC">
        <w:rPr>
          <w:lang w:val="es-ES"/>
        </w:rPr>
        <w:t> </w:t>
      </w:r>
      <w:r w:rsidRPr="004E3193">
        <w:rPr>
          <w:b/>
          <w:bCs/>
          <w:lang w:val="es-ES"/>
        </w:rPr>
        <w:t>155 (Rev.C</w:t>
      </w:r>
      <w:r w:rsidR="004E3193" w:rsidRPr="004E3193">
        <w:rPr>
          <w:b/>
          <w:bCs/>
          <w:lang w:val="es-ES"/>
        </w:rPr>
        <w:t>M</w:t>
      </w:r>
      <w:r w:rsidR="004E3193">
        <w:rPr>
          <w:b/>
          <w:bCs/>
          <w:lang w:val="es-ES"/>
        </w:rPr>
        <w:t>R</w:t>
      </w:r>
      <w:r w:rsidRPr="004E3193">
        <w:rPr>
          <w:b/>
          <w:bCs/>
          <w:lang w:val="es-ES"/>
        </w:rPr>
        <w:t>-19)</w:t>
      </w:r>
      <w:r w:rsidRPr="004E3193">
        <w:rPr>
          <w:lang w:val="es-ES"/>
        </w:rPr>
        <w:t xml:space="preserve"> </w:t>
      </w:r>
      <w:r w:rsidR="004E3193">
        <w:rPr>
          <w:lang w:val="es-ES"/>
        </w:rPr>
        <w:t>de acuerdo con la Resolución</w:t>
      </w:r>
      <w:r w:rsidR="00DB29CC">
        <w:rPr>
          <w:lang w:val="es-ES"/>
        </w:rPr>
        <w:t> </w:t>
      </w:r>
      <w:r w:rsidRPr="004E3193">
        <w:rPr>
          <w:b/>
          <w:bCs/>
          <w:lang w:val="es-ES"/>
        </w:rPr>
        <w:t>171 (C</w:t>
      </w:r>
      <w:r w:rsidR="004E3193">
        <w:rPr>
          <w:b/>
          <w:bCs/>
          <w:lang w:val="es-ES"/>
        </w:rPr>
        <w:t>MR</w:t>
      </w:r>
      <w:r w:rsidRPr="004E3193">
        <w:rPr>
          <w:b/>
          <w:bCs/>
          <w:lang w:val="es-ES"/>
        </w:rPr>
        <w:t>-19)</w:t>
      </w:r>
      <w:r w:rsidRPr="004E3193">
        <w:rPr>
          <w:lang w:val="es-ES"/>
        </w:rPr>
        <w:t xml:space="preserve"> </w:t>
      </w:r>
      <w:r w:rsidR="004E3193">
        <w:rPr>
          <w:lang w:val="es-ES"/>
        </w:rPr>
        <w:t>y suprimir esta última. Además, este método prevé opcionalmente la revisión del número</w:t>
      </w:r>
      <w:r w:rsidR="00C67B8C">
        <w:rPr>
          <w:lang w:val="es-ES"/>
        </w:rPr>
        <w:t> </w:t>
      </w:r>
      <w:r w:rsidRPr="00C67B8C">
        <w:rPr>
          <w:b/>
          <w:bCs/>
        </w:rPr>
        <w:t>5.484B</w:t>
      </w:r>
      <w:r w:rsidRPr="004E3193">
        <w:rPr>
          <w:lang w:val="es-ES"/>
        </w:rPr>
        <w:t xml:space="preserve"> </w:t>
      </w:r>
      <w:r w:rsidR="004E3193" w:rsidRPr="004E3193">
        <w:rPr>
          <w:lang w:val="es-ES"/>
        </w:rPr>
        <w:t>d</w:t>
      </w:r>
      <w:r w:rsidR="004E3193">
        <w:rPr>
          <w:lang w:val="es-ES"/>
        </w:rPr>
        <w:t>el RR</w:t>
      </w:r>
      <w:r w:rsidRPr="004E3193">
        <w:rPr>
          <w:lang w:val="es-ES"/>
        </w:rPr>
        <w:t>.</w:t>
      </w:r>
    </w:p>
    <w:p w14:paraId="7905625E" w14:textId="004CCA9B" w:rsidR="00B94D63" w:rsidRPr="00DB29CC" w:rsidRDefault="00B94D63" w:rsidP="00B94D63">
      <w:pPr>
        <w:pStyle w:val="Headingb"/>
        <w:rPr>
          <w:rFonts w:eastAsia="MS Mincho"/>
          <w:lang w:val="es-ES" w:bidi="fa-IR"/>
        </w:rPr>
      </w:pPr>
      <w:r w:rsidRPr="00DB29CC">
        <w:rPr>
          <w:rFonts w:eastAsia="MS Mincho"/>
          <w:lang w:val="es-ES" w:bidi="fa-IR"/>
        </w:rPr>
        <w:t>Prop</w:t>
      </w:r>
      <w:r w:rsidR="004E3193" w:rsidRPr="00DB29CC">
        <w:rPr>
          <w:rFonts w:eastAsia="MS Mincho"/>
          <w:lang w:val="es-ES" w:bidi="fa-IR"/>
        </w:rPr>
        <w:t>uestas</w:t>
      </w:r>
    </w:p>
    <w:p w14:paraId="5E9BB020" w14:textId="56E5FD34" w:rsidR="00B94D63" w:rsidRPr="00C67B8C" w:rsidRDefault="004E3193" w:rsidP="00B94D63">
      <w:pPr>
        <w:rPr>
          <w:lang w:val="es-ES"/>
        </w:rPr>
      </w:pPr>
      <w:r w:rsidRPr="00C67B8C">
        <w:rPr>
          <w:lang w:val="es-ES"/>
        </w:rPr>
        <w:t>La Administración de Irán (República Islámica del) aboga firmemente por el Método</w:t>
      </w:r>
      <w:r w:rsidR="00DB29CC">
        <w:rPr>
          <w:lang w:val="es-ES"/>
        </w:rPr>
        <w:t> </w:t>
      </w:r>
      <w:r w:rsidRPr="00C67B8C">
        <w:rPr>
          <w:lang w:val="es-ES"/>
        </w:rPr>
        <w:t>A por los motivos que se exponen anteriormente. Concretamente, propone suprimir el número</w:t>
      </w:r>
      <w:r w:rsidR="00C67B8C" w:rsidRPr="00C67B8C">
        <w:rPr>
          <w:lang w:val="es-ES"/>
        </w:rPr>
        <w:t> </w:t>
      </w:r>
      <w:r w:rsidR="00B94D63" w:rsidRPr="00C67B8C">
        <w:rPr>
          <w:b/>
          <w:bCs/>
          <w:lang w:val="es-ES"/>
        </w:rPr>
        <w:t>5.484B</w:t>
      </w:r>
      <w:r w:rsidR="00B94D63" w:rsidRPr="00C67B8C">
        <w:rPr>
          <w:lang w:val="es-ES"/>
        </w:rPr>
        <w:t xml:space="preserve"> </w:t>
      </w:r>
      <w:r w:rsidRPr="00C67B8C">
        <w:rPr>
          <w:lang w:val="es-ES"/>
        </w:rPr>
        <w:t>del RR, además de la Resolución</w:t>
      </w:r>
      <w:r w:rsidR="00C67B8C" w:rsidRPr="00C67B8C">
        <w:rPr>
          <w:lang w:val="es-ES"/>
        </w:rPr>
        <w:t> </w:t>
      </w:r>
      <w:r w:rsidR="00B94D63" w:rsidRPr="00C67B8C">
        <w:rPr>
          <w:b/>
          <w:bCs/>
          <w:lang w:val="es-ES"/>
        </w:rPr>
        <w:t>155 (Rev.C</w:t>
      </w:r>
      <w:r w:rsidRPr="00C67B8C">
        <w:rPr>
          <w:b/>
          <w:bCs/>
          <w:lang w:val="es-ES"/>
        </w:rPr>
        <w:t>MR</w:t>
      </w:r>
      <w:r w:rsidR="00B94D63" w:rsidRPr="00C67B8C">
        <w:rPr>
          <w:b/>
          <w:bCs/>
          <w:lang w:val="es-ES"/>
        </w:rPr>
        <w:t>-19)</w:t>
      </w:r>
      <w:r w:rsidR="00B94D63" w:rsidRPr="00C67B8C">
        <w:rPr>
          <w:lang w:val="es-ES"/>
        </w:rPr>
        <w:t xml:space="preserve"> </w:t>
      </w:r>
      <w:r w:rsidRPr="00C67B8C">
        <w:rPr>
          <w:lang w:val="es-ES"/>
        </w:rPr>
        <w:t>y la Resolución</w:t>
      </w:r>
      <w:r w:rsidR="00C67B8C">
        <w:rPr>
          <w:lang w:val="es-ES"/>
        </w:rPr>
        <w:t> </w:t>
      </w:r>
      <w:r w:rsidR="00B94D63" w:rsidRPr="00C67B8C">
        <w:rPr>
          <w:b/>
          <w:bCs/>
          <w:lang w:val="es-ES"/>
        </w:rPr>
        <w:t>171 (C</w:t>
      </w:r>
      <w:r w:rsidRPr="00C67B8C">
        <w:rPr>
          <w:b/>
          <w:bCs/>
          <w:lang w:val="es-ES"/>
        </w:rPr>
        <w:t>MR</w:t>
      </w:r>
      <w:r w:rsidR="00B94D63" w:rsidRPr="00C67B8C">
        <w:rPr>
          <w:b/>
          <w:bCs/>
          <w:lang w:val="es-ES"/>
        </w:rPr>
        <w:t>-19)</w:t>
      </w:r>
      <w:r w:rsidR="00B94D63" w:rsidRPr="00C67B8C">
        <w:rPr>
          <w:lang w:val="es-ES"/>
        </w:rPr>
        <w:t>.</w:t>
      </w:r>
    </w:p>
    <w:p w14:paraId="7AC0A295" w14:textId="77777777" w:rsidR="008750A8" w:rsidRPr="004E3193" w:rsidRDefault="008750A8" w:rsidP="00C67B8C">
      <w:pPr>
        <w:rPr>
          <w:lang w:val="es-ES"/>
        </w:rPr>
      </w:pPr>
      <w:r w:rsidRPr="004E3193">
        <w:rPr>
          <w:lang w:val="es-ES"/>
        </w:rPr>
        <w:br w:type="page"/>
      </w:r>
    </w:p>
    <w:p w14:paraId="4B2A39B9" w14:textId="77777777" w:rsidR="002C69A2" w:rsidRPr="006537F1" w:rsidRDefault="005138AE" w:rsidP="00DB29CC">
      <w:pPr>
        <w:pStyle w:val="ArtNo"/>
      </w:pPr>
      <w:bookmarkStart w:id="7" w:name="_Toc48141301"/>
      <w:r w:rsidRPr="00DB29CC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7"/>
    </w:p>
    <w:p w14:paraId="2DF547E6" w14:textId="77777777" w:rsidR="002C69A2" w:rsidRPr="00625DBA" w:rsidRDefault="005138AE" w:rsidP="00625DBA">
      <w:pPr>
        <w:pStyle w:val="Arttitle"/>
        <w:rPr>
          <w:lang w:val="es-ES"/>
        </w:rPr>
      </w:pPr>
      <w:bookmarkStart w:id="8" w:name="_Toc48141302"/>
      <w:r w:rsidRPr="00625DBA">
        <w:rPr>
          <w:lang w:val="es-ES"/>
        </w:rPr>
        <w:t>Atribuciones de frecuencia</w:t>
      </w:r>
      <w:bookmarkEnd w:id="8"/>
    </w:p>
    <w:p w14:paraId="35D4064A" w14:textId="77777777" w:rsidR="002C69A2" w:rsidRPr="00625DBA" w:rsidRDefault="005138AE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22022684" w14:textId="77777777" w:rsidR="00CE45A6" w:rsidRPr="005138AE" w:rsidRDefault="005138AE">
      <w:pPr>
        <w:pStyle w:val="Proposal"/>
        <w:rPr>
          <w:lang w:val="en-US"/>
        </w:rPr>
      </w:pPr>
      <w:r w:rsidRPr="005138AE">
        <w:rPr>
          <w:lang w:val="en-US"/>
        </w:rPr>
        <w:t>SUP</w:t>
      </w:r>
      <w:r w:rsidRPr="005138AE">
        <w:rPr>
          <w:lang w:val="en-US"/>
        </w:rPr>
        <w:tab/>
        <w:t>IRN/148A8/1</w:t>
      </w:r>
      <w:r w:rsidRPr="005138AE">
        <w:rPr>
          <w:vanish/>
          <w:color w:val="7F7F7F" w:themeColor="text1" w:themeTint="80"/>
          <w:vertAlign w:val="superscript"/>
          <w:lang w:val="en-US"/>
        </w:rPr>
        <w:t>#1612</w:t>
      </w:r>
    </w:p>
    <w:p w14:paraId="478C636E" w14:textId="77777777" w:rsidR="002C69A2" w:rsidRPr="005138AE" w:rsidRDefault="005138AE" w:rsidP="007C70AA">
      <w:pPr>
        <w:pStyle w:val="Note"/>
        <w:rPr>
          <w:lang w:val="en-US"/>
        </w:rPr>
      </w:pPr>
      <w:r w:rsidRPr="005138AE">
        <w:rPr>
          <w:rStyle w:val="Artdef"/>
          <w:lang w:val="en-US"/>
        </w:rPr>
        <w:t>5.484B</w:t>
      </w:r>
    </w:p>
    <w:p w14:paraId="6FCF45C1" w14:textId="77777777" w:rsidR="00CE45A6" w:rsidRPr="005138AE" w:rsidRDefault="00CE45A6">
      <w:pPr>
        <w:pStyle w:val="Reasons"/>
        <w:rPr>
          <w:lang w:val="en-US"/>
        </w:rPr>
      </w:pPr>
    </w:p>
    <w:p w14:paraId="7DB3F24C" w14:textId="77777777" w:rsidR="00CE45A6" w:rsidRPr="005138AE" w:rsidRDefault="005138AE">
      <w:pPr>
        <w:pStyle w:val="Proposal"/>
        <w:rPr>
          <w:lang w:val="en-US"/>
        </w:rPr>
      </w:pPr>
      <w:r w:rsidRPr="005138AE">
        <w:rPr>
          <w:lang w:val="en-US"/>
        </w:rPr>
        <w:t>SUP</w:t>
      </w:r>
      <w:r w:rsidRPr="005138AE">
        <w:rPr>
          <w:lang w:val="en-US"/>
        </w:rPr>
        <w:tab/>
        <w:t>IRN/148A8/2</w:t>
      </w:r>
      <w:r w:rsidRPr="005138AE">
        <w:rPr>
          <w:vanish/>
          <w:color w:val="7F7F7F" w:themeColor="text1" w:themeTint="80"/>
          <w:vertAlign w:val="superscript"/>
          <w:lang w:val="en-US"/>
        </w:rPr>
        <w:t>#1613</w:t>
      </w:r>
    </w:p>
    <w:p w14:paraId="7B63511B" w14:textId="77777777" w:rsidR="002C69A2" w:rsidRPr="00504BD7" w:rsidRDefault="005138AE" w:rsidP="007C70AA">
      <w:pPr>
        <w:pStyle w:val="ResNo"/>
      </w:pPr>
      <w:bookmarkStart w:id="9" w:name="_Toc36190191"/>
      <w:r w:rsidRPr="00504BD7">
        <w:t>RESOLUCIÓN 155 (REV.CMR-19)</w:t>
      </w:r>
      <w:bookmarkEnd w:id="9"/>
    </w:p>
    <w:p w14:paraId="2C2B709F" w14:textId="77777777" w:rsidR="002C69A2" w:rsidRPr="00504BD7" w:rsidRDefault="005138AE" w:rsidP="007C70AA">
      <w:pPr>
        <w:pStyle w:val="Restitle"/>
      </w:pPr>
      <w:bookmarkStart w:id="10" w:name="_Toc36190192"/>
      <w:r w:rsidRPr="00504BD7">
        <w:t xml:space="preserve">Disposiciones reglamentarias relativas a las estaciones terrenas a bordo de aeronaves no tripuladas que funcionan con redes de satélites geoestacionarios del servicio fijo por satélite en determinadas bandas de frecuencias no </w:t>
      </w:r>
      <w:r w:rsidRPr="00504BD7">
        <w:br/>
        <w:t xml:space="preserve">sujetas a un Plan de los Apéndices 30, 30A y 30B para el control </w:t>
      </w:r>
      <w:r w:rsidRPr="00504BD7">
        <w:br/>
        <w:t xml:space="preserve">y las comunicaciones sin carga útil de sistemas de aeronaves </w:t>
      </w:r>
      <w:r w:rsidRPr="00504BD7">
        <w:br/>
        <w:t>no tripuladas en espacios aéreos no segregados</w:t>
      </w:r>
      <w:bookmarkEnd w:id="10"/>
    </w:p>
    <w:p w14:paraId="198C4853" w14:textId="77777777" w:rsidR="00CE45A6" w:rsidRDefault="00CE45A6">
      <w:pPr>
        <w:pStyle w:val="Reasons"/>
      </w:pPr>
    </w:p>
    <w:p w14:paraId="35BF5359" w14:textId="77777777" w:rsidR="00CE45A6" w:rsidRDefault="005138AE">
      <w:pPr>
        <w:pStyle w:val="Proposal"/>
      </w:pPr>
      <w:r>
        <w:t>SUP</w:t>
      </w:r>
      <w:r>
        <w:tab/>
        <w:t>IRN/148A8/3</w:t>
      </w:r>
      <w:r>
        <w:rPr>
          <w:vanish/>
          <w:color w:val="7F7F7F" w:themeColor="text1" w:themeTint="80"/>
          <w:vertAlign w:val="superscript"/>
        </w:rPr>
        <w:t>#1614</w:t>
      </w:r>
    </w:p>
    <w:p w14:paraId="07ED43D8" w14:textId="77777777" w:rsidR="002C69A2" w:rsidRPr="00504BD7" w:rsidRDefault="005138AE" w:rsidP="007C70AA">
      <w:pPr>
        <w:pStyle w:val="ResNo"/>
      </w:pPr>
      <w:bookmarkStart w:id="11" w:name="_Toc36190207"/>
      <w:r w:rsidRPr="00504BD7">
        <w:t>RESOLUCIÓN 171 (CMR-19)</w:t>
      </w:r>
      <w:bookmarkEnd w:id="11"/>
    </w:p>
    <w:p w14:paraId="34506606" w14:textId="77777777" w:rsidR="002C69A2" w:rsidRPr="00504BD7" w:rsidRDefault="005138AE" w:rsidP="007C70AA">
      <w:pPr>
        <w:pStyle w:val="Restitle"/>
      </w:pPr>
      <w:bookmarkStart w:id="12" w:name="_Toc36190208"/>
      <w:r w:rsidRPr="00504BD7">
        <w:t xml:space="preserve">Examen y posible revisión de la Resolución 155 (Rev.CMR-19) </w:t>
      </w:r>
      <w:r w:rsidRPr="00504BD7">
        <w:br/>
        <w:t>y del número 5.484B en las bandas de frecuencias</w:t>
      </w:r>
      <w:r w:rsidRPr="00504BD7">
        <w:br/>
        <w:t>a las que se aplican</w:t>
      </w:r>
      <w:bookmarkEnd w:id="12"/>
    </w:p>
    <w:p w14:paraId="68623247" w14:textId="624EE887" w:rsidR="004E3193" w:rsidRPr="002C69A2" w:rsidRDefault="005138AE" w:rsidP="004E2D58">
      <w:pPr>
        <w:pStyle w:val="Reasons"/>
        <w:rPr>
          <w:lang w:val="es-ES"/>
        </w:rPr>
      </w:pPr>
      <w:r w:rsidRPr="004E2D58">
        <w:rPr>
          <w:b/>
          <w:bCs/>
        </w:rPr>
        <w:t>Motivos:</w:t>
      </w:r>
      <w:r w:rsidRPr="004E3193">
        <w:tab/>
      </w:r>
      <w:r w:rsidR="004E3193" w:rsidRPr="004E3193">
        <w:t>La Resolución</w:t>
      </w:r>
      <w:r w:rsidR="004E2D58">
        <w:t> </w:t>
      </w:r>
      <w:r w:rsidR="004E3193" w:rsidRPr="004E2D58">
        <w:rPr>
          <w:b/>
          <w:bCs/>
        </w:rPr>
        <w:t>171 (CMR-19)</w:t>
      </w:r>
      <w:r w:rsidR="004E3193" w:rsidRPr="004E3193">
        <w:t xml:space="preserve"> exige el examen y posible revisión de la Resolución</w:t>
      </w:r>
      <w:r w:rsidR="00DB29CC">
        <w:t> </w:t>
      </w:r>
      <w:r w:rsidR="004E3193" w:rsidRPr="004E2D58">
        <w:rPr>
          <w:b/>
          <w:bCs/>
        </w:rPr>
        <w:t>155 (Rev.CMR-19)</w:t>
      </w:r>
      <w:r w:rsidR="004E3193">
        <w:t>, pues en su estado actual no permite el funcionamiento de las estaciones terrenas de</w:t>
      </w:r>
      <w:r w:rsidR="004E2D58">
        <w:t> </w:t>
      </w:r>
      <w:r w:rsidR="004E3193">
        <w:t xml:space="preserve">ANT. </w:t>
      </w:r>
      <w:r w:rsidR="004E3193" w:rsidRPr="004E3193">
        <w:t>Este punto del orden del día procede del punto</w:t>
      </w:r>
      <w:r w:rsidR="00DB29CC">
        <w:t> </w:t>
      </w:r>
      <w:r w:rsidR="004E3193" w:rsidRPr="004E3193">
        <w:t>1.3 del orde</w:t>
      </w:r>
      <w:r w:rsidR="004E3193">
        <w:t>n del día de la CMR-12 y del</w:t>
      </w:r>
      <w:r w:rsidR="004E2D58">
        <w:t> </w:t>
      </w:r>
      <w:r w:rsidR="004E3193">
        <w:t>punto</w:t>
      </w:r>
      <w:r w:rsidR="004E2D58">
        <w:t> </w:t>
      </w:r>
      <w:r w:rsidR="004E3193">
        <w:t>1.5 del orden del día de la CMR-15, así como de la consideración de este asunto por la</w:t>
      </w:r>
      <w:r w:rsidR="00DB29CC">
        <w:t> </w:t>
      </w:r>
      <w:r w:rsidR="004E3193">
        <w:t>CMR</w:t>
      </w:r>
      <w:r w:rsidR="004E2D58">
        <w:noBreakHyphen/>
      </w:r>
      <w:r w:rsidR="004E3193">
        <w:t>19, que dio como resultado la Resolución</w:t>
      </w:r>
      <w:r w:rsidR="004E2D58">
        <w:rPr>
          <w:lang w:val="es-ES"/>
        </w:rPr>
        <w:t> </w:t>
      </w:r>
      <w:r w:rsidR="004E3193" w:rsidRPr="004E2D58">
        <w:rPr>
          <w:b/>
          <w:bCs/>
        </w:rPr>
        <w:t>171 (CMR-19)</w:t>
      </w:r>
      <w:r w:rsidR="004E3193" w:rsidRPr="004E3193">
        <w:rPr>
          <w:lang w:val="es-ES"/>
        </w:rPr>
        <w:t xml:space="preserve">. Tras más de diez años de intensos estudios, sigue habiendo problemas por resolver, en particular la contradicción entre </w:t>
      </w:r>
      <w:r w:rsidR="002C69A2">
        <w:rPr>
          <w:lang w:val="es-ES"/>
        </w:rPr>
        <w:t>la relación con la seguridad</w:t>
      </w:r>
      <w:r w:rsidR="004E3193" w:rsidRPr="004E3193">
        <w:rPr>
          <w:lang w:val="es-ES"/>
        </w:rPr>
        <w:t xml:space="preserve"> del funcionamiento de los SANT y el </w:t>
      </w:r>
      <w:r w:rsidR="004E3193">
        <w:rPr>
          <w:lang w:val="es-ES"/>
        </w:rPr>
        <w:t>servicio fijo por satélite</w:t>
      </w:r>
      <w:r w:rsidR="002C69A2">
        <w:rPr>
          <w:lang w:val="es-ES"/>
        </w:rPr>
        <w:t>, que no tiene relación alguna con la seguridad</w:t>
      </w:r>
      <w:r w:rsidR="004E3193" w:rsidRPr="004E3193">
        <w:rPr>
          <w:lang w:val="es-ES"/>
        </w:rPr>
        <w:t>.</w:t>
      </w:r>
      <w:r w:rsidR="004E2D58">
        <w:rPr>
          <w:lang w:val="es-ES"/>
        </w:rPr>
        <w:br/>
      </w:r>
      <w:r w:rsidR="002C69A2" w:rsidRPr="002C69A2">
        <w:rPr>
          <w:lang w:val="es-ES"/>
        </w:rPr>
        <w:t xml:space="preserve">Las bandas de frecuencias del SFS identificadas en el </w:t>
      </w:r>
      <w:r w:rsidR="002C69A2" w:rsidRPr="002C69A2">
        <w:rPr>
          <w:i/>
          <w:iCs/>
          <w:lang w:val="es-ES"/>
        </w:rPr>
        <w:t>resuelve</w:t>
      </w:r>
      <w:r w:rsidR="00DB29CC">
        <w:rPr>
          <w:i/>
          <w:iCs/>
          <w:lang w:val="es-ES"/>
        </w:rPr>
        <w:t> </w:t>
      </w:r>
      <w:r w:rsidR="004E3193" w:rsidRPr="002C69A2">
        <w:rPr>
          <w:lang w:val="es-ES"/>
        </w:rPr>
        <w:t xml:space="preserve">1 </w:t>
      </w:r>
      <w:r w:rsidR="002C69A2" w:rsidRPr="002C69A2">
        <w:rPr>
          <w:lang w:val="es-ES"/>
        </w:rPr>
        <w:t>de la Resolución</w:t>
      </w:r>
      <w:r w:rsidR="00DB29CC">
        <w:rPr>
          <w:lang w:val="es-ES"/>
        </w:rPr>
        <w:t> </w:t>
      </w:r>
      <w:r w:rsidR="004E3193" w:rsidRPr="004E2D58">
        <w:rPr>
          <w:b/>
          <w:bCs/>
        </w:rPr>
        <w:t>155 (Rev.C</w:t>
      </w:r>
      <w:r w:rsidR="002C69A2" w:rsidRPr="004E2D58">
        <w:rPr>
          <w:b/>
          <w:bCs/>
        </w:rPr>
        <w:t>MR</w:t>
      </w:r>
      <w:r w:rsidR="004E2D58">
        <w:rPr>
          <w:b/>
          <w:bCs/>
        </w:rPr>
        <w:noBreakHyphen/>
      </w:r>
      <w:r w:rsidR="004E3193" w:rsidRPr="004E2D58">
        <w:rPr>
          <w:b/>
          <w:bCs/>
        </w:rPr>
        <w:t>19)</w:t>
      </w:r>
      <w:r w:rsidR="004E3193" w:rsidRPr="002C69A2">
        <w:rPr>
          <w:lang w:val="es-ES"/>
        </w:rPr>
        <w:t xml:space="preserve"> </w:t>
      </w:r>
      <w:r w:rsidR="002C69A2">
        <w:rPr>
          <w:lang w:val="es-ES"/>
        </w:rPr>
        <w:t xml:space="preserve">están muy congestionadas y la interferencia es habitual, incluso para redes del SFS cuya coordinación de frecuencias se ha completado. </w:t>
      </w:r>
      <w:r w:rsidR="002C69A2" w:rsidRPr="002C69A2">
        <w:rPr>
          <w:lang w:val="es-ES"/>
        </w:rPr>
        <w:t>Por consiguiente los enlaces de comunicaciones de CNPC</w:t>
      </w:r>
      <w:r w:rsidR="00DB29CC">
        <w:rPr>
          <w:lang w:val="es-ES"/>
        </w:rPr>
        <w:t> </w:t>
      </w:r>
      <w:r w:rsidR="002C69A2" w:rsidRPr="002C69A2">
        <w:rPr>
          <w:lang w:val="es-ES"/>
        </w:rPr>
        <w:t>SANT a través del SFS podrían verse in</w:t>
      </w:r>
      <w:r w:rsidR="002C69A2">
        <w:rPr>
          <w:lang w:val="es-ES"/>
        </w:rPr>
        <w:t xml:space="preserve">terrumpidos por interferencias de distintos tipos, por lo que serían suficientemente robustos. </w:t>
      </w:r>
      <w:r w:rsidR="002C69A2" w:rsidRPr="002C69A2">
        <w:rPr>
          <w:lang w:val="es-ES"/>
        </w:rPr>
        <w:t>Esto podría menoscabar la capacidad de alcanzar la calidad de se</w:t>
      </w:r>
      <w:r w:rsidR="002C69A2">
        <w:rPr>
          <w:lang w:val="es-ES"/>
        </w:rPr>
        <w:t xml:space="preserve">rvicio necesaria para el funcionamiento seguro o incluso imposibilitar el </w:t>
      </w:r>
      <w:r w:rsidR="002C69A2">
        <w:rPr>
          <w:lang w:val="es-ES"/>
        </w:rPr>
        <w:lastRenderedPageBreak/>
        <w:t xml:space="preserve">funcionamiento. </w:t>
      </w:r>
      <w:r w:rsidR="002C69A2" w:rsidRPr="002C69A2">
        <w:rPr>
          <w:lang w:val="es-ES"/>
        </w:rPr>
        <w:t>La interrupción de un enlace CNPC pondría en peligro la seguridad de la</w:t>
      </w:r>
      <w:r w:rsidR="002C69A2">
        <w:rPr>
          <w:lang w:val="es-ES"/>
        </w:rPr>
        <w:t xml:space="preserve"> aviación, incluida la de las personas</w:t>
      </w:r>
      <w:r w:rsidR="004E3193" w:rsidRPr="002C69A2">
        <w:rPr>
          <w:lang w:val="es-ES"/>
        </w:rPr>
        <w:t>.</w:t>
      </w:r>
      <w:r w:rsidR="004E2D58">
        <w:rPr>
          <w:lang w:val="es-ES"/>
        </w:rPr>
        <w:br/>
      </w:r>
      <w:r w:rsidR="002C69A2" w:rsidRPr="002C69A2">
        <w:rPr>
          <w:lang w:val="es-ES"/>
        </w:rPr>
        <w:t>Al no haberse identificado una solución satisfactoria para el funcionamiento de las estaciones terrenas de ANT, será necesario suprimir el número</w:t>
      </w:r>
      <w:r w:rsidR="004E2D58">
        <w:rPr>
          <w:lang w:val="es-ES"/>
        </w:rPr>
        <w:t> </w:t>
      </w:r>
      <w:r w:rsidR="004E3193" w:rsidRPr="004E2D58">
        <w:rPr>
          <w:b/>
          <w:bCs/>
        </w:rPr>
        <w:t>5.484B</w:t>
      </w:r>
      <w:r w:rsidR="004E3193" w:rsidRPr="002C69A2">
        <w:rPr>
          <w:lang w:val="es-ES"/>
        </w:rPr>
        <w:t xml:space="preserve"> </w:t>
      </w:r>
      <w:r w:rsidR="002C69A2" w:rsidRPr="002C69A2">
        <w:rPr>
          <w:lang w:val="es-ES"/>
        </w:rPr>
        <w:t>d</w:t>
      </w:r>
      <w:r w:rsidR="002C69A2">
        <w:rPr>
          <w:lang w:val="es-ES"/>
        </w:rPr>
        <w:t>el RR, además de</w:t>
      </w:r>
      <w:r w:rsidR="004E2D58">
        <w:rPr>
          <w:lang w:val="es-ES"/>
        </w:rPr>
        <w:t xml:space="preserve"> </w:t>
      </w:r>
      <w:r w:rsidR="002C69A2">
        <w:rPr>
          <w:lang w:val="es-ES"/>
        </w:rPr>
        <w:t>la Resolución</w:t>
      </w:r>
      <w:r w:rsidR="004E3193" w:rsidRPr="002C69A2">
        <w:rPr>
          <w:lang w:val="es-ES"/>
        </w:rPr>
        <w:t> </w:t>
      </w:r>
      <w:r w:rsidR="004E3193" w:rsidRPr="002C69A2">
        <w:rPr>
          <w:b/>
          <w:bCs/>
          <w:lang w:val="es-ES"/>
        </w:rPr>
        <w:t>155 (Rev.C</w:t>
      </w:r>
      <w:r w:rsidR="002C69A2">
        <w:rPr>
          <w:b/>
          <w:bCs/>
          <w:lang w:val="es-ES"/>
        </w:rPr>
        <w:t>MR</w:t>
      </w:r>
      <w:r w:rsidR="004E3193" w:rsidRPr="002C69A2">
        <w:rPr>
          <w:b/>
          <w:bCs/>
          <w:lang w:val="es-ES"/>
        </w:rPr>
        <w:t>-19)</w:t>
      </w:r>
      <w:r w:rsidR="004E3193" w:rsidRPr="002C69A2">
        <w:rPr>
          <w:lang w:val="es-ES"/>
        </w:rPr>
        <w:t xml:space="preserve"> </w:t>
      </w:r>
      <w:r w:rsidR="002C69A2">
        <w:rPr>
          <w:lang w:val="es-ES"/>
        </w:rPr>
        <w:t>y la Resolución</w:t>
      </w:r>
      <w:r w:rsidR="00DB29CC">
        <w:rPr>
          <w:lang w:val="es-ES"/>
        </w:rPr>
        <w:t> </w:t>
      </w:r>
      <w:r w:rsidR="004E3193" w:rsidRPr="002C69A2">
        <w:rPr>
          <w:b/>
          <w:bCs/>
          <w:lang w:val="es-ES"/>
        </w:rPr>
        <w:t>171 (C</w:t>
      </w:r>
      <w:r w:rsidR="002C69A2">
        <w:rPr>
          <w:b/>
          <w:bCs/>
          <w:lang w:val="es-ES"/>
        </w:rPr>
        <w:t>MR</w:t>
      </w:r>
      <w:r w:rsidR="004E3193" w:rsidRPr="002C69A2">
        <w:rPr>
          <w:b/>
          <w:bCs/>
          <w:lang w:val="es-ES"/>
        </w:rPr>
        <w:t>-19)</w:t>
      </w:r>
      <w:r w:rsidR="004E3193" w:rsidRPr="002C69A2">
        <w:rPr>
          <w:lang w:val="es-ES"/>
        </w:rPr>
        <w:t>.</w:t>
      </w:r>
    </w:p>
    <w:p w14:paraId="43A1F9E3" w14:textId="77777777" w:rsidR="004E2D58" w:rsidRDefault="004E2D58" w:rsidP="004E2D58"/>
    <w:p w14:paraId="37FC42AC" w14:textId="77777777" w:rsidR="004E2D58" w:rsidRDefault="004E2D58">
      <w:pPr>
        <w:jc w:val="center"/>
      </w:pPr>
      <w:r>
        <w:t>______________</w:t>
      </w:r>
    </w:p>
    <w:sectPr w:rsidR="004E2D58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DC93" w14:textId="77777777" w:rsidR="00666B37" w:rsidRDefault="00666B37">
      <w:r>
        <w:separator/>
      </w:r>
    </w:p>
  </w:endnote>
  <w:endnote w:type="continuationSeparator" w:id="0">
    <w:p w14:paraId="1F3435BB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E63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91503" w14:textId="00D0CD2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221F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A9F6" w14:textId="2A20A943" w:rsidR="0077084A" w:rsidRPr="00186A03" w:rsidRDefault="00186A03" w:rsidP="00186A03">
    <w:pPr>
      <w:pStyle w:val="Footer"/>
      <w:rPr>
        <w:lang w:val="en-US"/>
      </w:rPr>
    </w:pPr>
    <w:fldSimple w:instr=" FILENAME \p  \* MERGEFORMAT ">
      <w:r>
        <w:t>P:\ESP\ITU-R\CONF-R\CMR23\100\148ADD08S.docx</w:t>
      </w:r>
    </w:fldSimple>
    <w:r>
      <w:t xml:space="preserve"> (</w:t>
    </w:r>
    <w:r w:rsidRPr="00186A03">
      <w:t>530406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EE14" w14:textId="7797DF39" w:rsidR="0077084A" w:rsidRPr="005138AE" w:rsidRDefault="00A02EC0" w:rsidP="00186A0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86A03">
      <w:t>P:\ESP\ITU-R\CONF-R\CMR23\100\148ADD08S.docx</w:t>
    </w:r>
    <w:r>
      <w:fldChar w:fldCharType="end"/>
    </w:r>
    <w:r w:rsidR="00186A03">
      <w:t xml:space="preserve"> (</w:t>
    </w:r>
    <w:r w:rsidR="00186A03" w:rsidRPr="00186A03">
      <w:t>530406</w:t>
    </w:r>
    <w:r w:rsidR="00186A0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FF1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20098BA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58A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CC033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148(Add.8)-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23410248">
    <w:abstractNumId w:val="8"/>
  </w:num>
  <w:num w:numId="2" w16cid:durableId="7264161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0304082">
    <w:abstractNumId w:val="9"/>
  </w:num>
  <w:num w:numId="4" w16cid:durableId="1155417411">
    <w:abstractNumId w:val="7"/>
  </w:num>
  <w:num w:numId="5" w16cid:durableId="2079786555">
    <w:abstractNumId w:val="6"/>
  </w:num>
  <w:num w:numId="6" w16cid:durableId="119811961">
    <w:abstractNumId w:val="5"/>
  </w:num>
  <w:num w:numId="7" w16cid:durableId="1508252936">
    <w:abstractNumId w:val="4"/>
  </w:num>
  <w:num w:numId="8" w16cid:durableId="120614526">
    <w:abstractNumId w:val="3"/>
  </w:num>
  <w:num w:numId="9" w16cid:durableId="2118989628">
    <w:abstractNumId w:val="2"/>
  </w:num>
  <w:num w:numId="10" w16cid:durableId="399135631">
    <w:abstractNumId w:val="1"/>
  </w:num>
  <w:num w:numId="11" w16cid:durableId="20973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86A03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C69A2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E2D58"/>
    <w:rsid w:val="004E3193"/>
    <w:rsid w:val="005133B5"/>
    <w:rsid w:val="005138AE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8221F"/>
    <w:rsid w:val="008D3316"/>
    <w:rsid w:val="008E5AF2"/>
    <w:rsid w:val="0090121B"/>
    <w:rsid w:val="009144C9"/>
    <w:rsid w:val="0094091F"/>
    <w:rsid w:val="00962171"/>
    <w:rsid w:val="00966D6D"/>
    <w:rsid w:val="00973754"/>
    <w:rsid w:val="009C0BED"/>
    <w:rsid w:val="009E11EC"/>
    <w:rsid w:val="00A021CC"/>
    <w:rsid w:val="00A02EC0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70EA0"/>
    <w:rsid w:val="00B8288C"/>
    <w:rsid w:val="00B86034"/>
    <w:rsid w:val="00B94D63"/>
    <w:rsid w:val="00BE2E80"/>
    <w:rsid w:val="00BE5EDD"/>
    <w:rsid w:val="00BE6A1F"/>
    <w:rsid w:val="00C126C4"/>
    <w:rsid w:val="00C44E9E"/>
    <w:rsid w:val="00C63EB5"/>
    <w:rsid w:val="00C67B8C"/>
    <w:rsid w:val="00C87DA7"/>
    <w:rsid w:val="00CA4945"/>
    <w:rsid w:val="00CC01E0"/>
    <w:rsid w:val="00CD5FEE"/>
    <w:rsid w:val="00CE45A6"/>
    <w:rsid w:val="00CE60D2"/>
    <w:rsid w:val="00CE7431"/>
    <w:rsid w:val="00D00CA8"/>
    <w:rsid w:val="00D0288A"/>
    <w:rsid w:val="00D72A5D"/>
    <w:rsid w:val="00DA0498"/>
    <w:rsid w:val="00DA328F"/>
    <w:rsid w:val="00DA60A5"/>
    <w:rsid w:val="00DA71A3"/>
    <w:rsid w:val="00DB29CC"/>
    <w:rsid w:val="00DC1922"/>
    <w:rsid w:val="00DC629B"/>
    <w:rsid w:val="00DE1C31"/>
    <w:rsid w:val="00E05BFF"/>
    <w:rsid w:val="00E262F1"/>
    <w:rsid w:val="00E3176A"/>
    <w:rsid w:val="00E36CE4"/>
    <w:rsid w:val="00E419D1"/>
    <w:rsid w:val="00E54754"/>
    <w:rsid w:val="00E56BD3"/>
    <w:rsid w:val="00E71D14"/>
    <w:rsid w:val="00EA77F0"/>
    <w:rsid w:val="00EF73C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B2087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66D6D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R23-WRC23-C-0148!A8!MSW-S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F5F81-CB2D-492D-BFA3-F23EDE6450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5375F-B617-43F6-B9A3-9059C5C5E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D99B4-CD05-41C2-BBA4-726074A31D3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A18C19A-7258-4CE0-9935-FEB3C49BE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1661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R23-WRC23-C-0148!A8!MSW-S</vt:lpstr>
    </vt:vector>
  </TitlesOfParts>
  <Manager>Secretaría General - Pool</Manager>
  <Company>Unión Internacional de Telecomunicaciones (UIT)</Company>
  <LinksUpToDate>false</LinksUpToDate>
  <CharactersWithSpaces>10367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R23-WRC23-C-0148!A8!MSW-S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7</cp:revision>
  <cp:lastPrinted>2003-02-19T20:20:00Z</cp:lastPrinted>
  <dcterms:created xsi:type="dcterms:W3CDTF">2023-11-09T10:45:00Z</dcterms:created>
  <dcterms:modified xsi:type="dcterms:W3CDTF">2023-11-09T11:22:00Z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