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95F87" w14:paraId="7A1A1375" w14:textId="77777777" w:rsidTr="00C1305F">
        <w:trPr>
          <w:cantSplit/>
        </w:trPr>
        <w:tc>
          <w:tcPr>
            <w:tcW w:w="1418" w:type="dxa"/>
            <w:vAlign w:val="center"/>
          </w:tcPr>
          <w:p w14:paraId="120D71D6" w14:textId="77777777" w:rsidR="00C1305F" w:rsidRPr="00B95F87" w:rsidRDefault="00C1305F" w:rsidP="00B95F8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95F87">
              <w:rPr>
                <w:noProof/>
              </w:rPr>
              <w:drawing>
                <wp:inline distT="0" distB="0" distL="0" distR="0" wp14:anchorId="7C19BA93" wp14:editId="02178DC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8D4C6D5" w14:textId="28C97BB8" w:rsidR="00C1305F" w:rsidRPr="00B95F87" w:rsidRDefault="00C1305F" w:rsidP="00B95F8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95F8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95F87">
              <w:rPr>
                <w:rFonts w:ascii="Verdana" w:hAnsi="Verdana"/>
                <w:b/>
                <w:bCs/>
                <w:sz w:val="20"/>
              </w:rPr>
              <w:br/>
            </w:r>
            <w:r w:rsidRPr="00B95F8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7386C" w:rsidRPr="00B95F8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95F8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5DC93AD" w14:textId="77777777" w:rsidR="00C1305F" w:rsidRPr="00B95F87" w:rsidRDefault="00C1305F" w:rsidP="00B95F87">
            <w:pPr>
              <w:spacing w:before="0"/>
            </w:pPr>
            <w:r w:rsidRPr="00B95F87">
              <w:rPr>
                <w:noProof/>
              </w:rPr>
              <w:drawing>
                <wp:inline distT="0" distB="0" distL="0" distR="0" wp14:anchorId="5CA6757D" wp14:editId="78F61BB8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95F87" w14:paraId="121BF91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56977DF" w14:textId="77777777" w:rsidR="00BB1D82" w:rsidRPr="00B95F87" w:rsidRDefault="00BB1D82" w:rsidP="00B95F8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A289654" w14:textId="77777777" w:rsidR="00BB1D82" w:rsidRPr="00B95F87" w:rsidRDefault="00BB1D82" w:rsidP="00B95F8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95F87" w14:paraId="1391C86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62EF83C" w14:textId="77777777" w:rsidR="00BB1D82" w:rsidRPr="00B95F87" w:rsidRDefault="00BB1D82" w:rsidP="00B95F8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2F607B0" w14:textId="77777777" w:rsidR="00BB1D82" w:rsidRPr="00B95F87" w:rsidRDefault="00BB1D82" w:rsidP="00B95F8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95F87" w14:paraId="3C159538" w14:textId="77777777" w:rsidTr="00BB1D82">
        <w:trPr>
          <w:cantSplit/>
        </w:trPr>
        <w:tc>
          <w:tcPr>
            <w:tcW w:w="6911" w:type="dxa"/>
            <w:gridSpan w:val="2"/>
          </w:tcPr>
          <w:p w14:paraId="5AC0D1C1" w14:textId="77777777" w:rsidR="00BB1D82" w:rsidRPr="00B95F87" w:rsidRDefault="006D4724" w:rsidP="00B95F8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5F8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23BD2DF" w14:textId="77777777" w:rsidR="00BB1D82" w:rsidRPr="00B95F87" w:rsidRDefault="006D4724" w:rsidP="00B95F87">
            <w:pPr>
              <w:spacing w:before="0"/>
              <w:rPr>
                <w:rFonts w:ascii="Verdana" w:hAnsi="Verdana"/>
                <w:sz w:val="20"/>
              </w:rPr>
            </w:pPr>
            <w:r w:rsidRPr="00B95F87">
              <w:rPr>
                <w:rFonts w:ascii="Verdana" w:hAnsi="Verdana"/>
                <w:b/>
                <w:sz w:val="20"/>
              </w:rPr>
              <w:t>Addendum 8 au</w:t>
            </w:r>
            <w:r w:rsidRPr="00B95F87">
              <w:rPr>
                <w:rFonts w:ascii="Verdana" w:hAnsi="Verdana"/>
                <w:b/>
                <w:sz w:val="20"/>
              </w:rPr>
              <w:br/>
              <w:t>Document 148</w:t>
            </w:r>
            <w:r w:rsidR="00BB1D82" w:rsidRPr="00B95F87">
              <w:rPr>
                <w:rFonts w:ascii="Verdana" w:hAnsi="Verdana"/>
                <w:b/>
                <w:sz w:val="20"/>
              </w:rPr>
              <w:t>-</w:t>
            </w:r>
            <w:r w:rsidRPr="00B95F87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B95F87" w14:paraId="6837F717" w14:textId="77777777" w:rsidTr="00BB1D82">
        <w:trPr>
          <w:cantSplit/>
        </w:trPr>
        <w:tc>
          <w:tcPr>
            <w:tcW w:w="6911" w:type="dxa"/>
            <w:gridSpan w:val="2"/>
          </w:tcPr>
          <w:p w14:paraId="230A67E0" w14:textId="77777777" w:rsidR="00690C7B" w:rsidRPr="00B95F87" w:rsidRDefault="00690C7B" w:rsidP="00B95F8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13FD0BE" w14:textId="77777777" w:rsidR="00690C7B" w:rsidRPr="00B95F87" w:rsidRDefault="00690C7B" w:rsidP="00B95F8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5F87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B95F87" w14:paraId="5B24E8AA" w14:textId="77777777" w:rsidTr="00BB1D82">
        <w:trPr>
          <w:cantSplit/>
        </w:trPr>
        <w:tc>
          <w:tcPr>
            <w:tcW w:w="6911" w:type="dxa"/>
            <w:gridSpan w:val="2"/>
          </w:tcPr>
          <w:p w14:paraId="460F270A" w14:textId="77777777" w:rsidR="00690C7B" w:rsidRPr="00B95F87" w:rsidRDefault="00690C7B" w:rsidP="00B95F8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E5983DF" w14:textId="77777777" w:rsidR="00690C7B" w:rsidRPr="00B95F87" w:rsidRDefault="00690C7B" w:rsidP="00B95F8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5F8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95F87" w14:paraId="0EC3D858" w14:textId="77777777" w:rsidTr="00C11970">
        <w:trPr>
          <w:cantSplit/>
        </w:trPr>
        <w:tc>
          <w:tcPr>
            <w:tcW w:w="10031" w:type="dxa"/>
            <w:gridSpan w:val="4"/>
          </w:tcPr>
          <w:p w14:paraId="31FE95C1" w14:textId="77777777" w:rsidR="00690C7B" w:rsidRPr="00B95F87" w:rsidRDefault="00690C7B" w:rsidP="00B95F8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95F87" w14:paraId="23905DC6" w14:textId="77777777" w:rsidTr="0050008E">
        <w:trPr>
          <w:cantSplit/>
        </w:trPr>
        <w:tc>
          <w:tcPr>
            <w:tcW w:w="10031" w:type="dxa"/>
            <w:gridSpan w:val="4"/>
          </w:tcPr>
          <w:p w14:paraId="0A4F6989" w14:textId="5EEFFEB4" w:rsidR="00690C7B" w:rsidRPr="00B95F87" w:rsidRDefault="00690C7B" w:rsidP="00B95F87">
            <w:pPr>
              <w:pStyle w:val="Source"/>
            </w:pPr>
            <w:bookmarkStart w:id="0" w:name="dsource" w:colFirst="0" w:colLast="0"/>
            <w:r w:rsidRPr="00B95F87">
              <w:t>Iran (République islamique d</w:t>
            </w:r>
            <w:r w:rsidR="00B95F87" w:rsidRPr="00B95F87">
              <w:t>'</w:t>
            </w:r>
            <w:r w:rsidRPr="00B95F87">
              <w:t>)</w:t>
            </w:r>
          </w:p>
        </w:tc>
      </w:tr>
      <w:tr w:rsidR="00690C7B" w:rsidRPr="00B95F87" w14:paraId="2C2BFAF3" w14:textId="77777777" w:rsidTr="0050008E">
        <w:trPr>
          <w:cantSplit/>
        </w:trPr>
        <w:tc>
          <w:tcPr>
            <w:tcW w:w="10031" w:type="dxa"/>
            <w:gridSpan w:val="4"/>
          </w:tcPr>
          <w:p w14:paraId="746A46D3" w14:textId="7DB0317C" w:rsidR="00690C7B" w:rsidRPr="00B95F87" w:rsidRDefault="0097386C" w:rsidP="00B95F87">
            <w:pPr>
              <w:pStyle w:val="Title1"/>
            </w:pPr>
            <w:bookmarkStart w:id="1" w:name="dtitle1" w:colFirst="0" w:colLast="0"/>
            <w:bookmarkEnd w:id="0"/>
            <w:r w:rsidRPr="00B95F87">
              <w:t>Propositions pour les travaux de la conférence</w:t>
            </w:r>
          </w:p>
        </w:tc>
      </w:tr>
      <w:tr w:rsidR="00690C7B" w:rsidRPr="00B95F87" w14:paraId="749077F4" w14:textId="77777777" w:rsidTr="0050008E">
        <w:trPr>
          <w:cantSplit/>
        </w:trPr>
        <w:tc>
          <w:tcPr>
            <w:tcW w:w="10031" w:type="dxa"/>
            <w:gridSpan w:val="4"/>
          </w:tcPr>
          <w:p w14:paraId="2E46FE24" w14:textId="77777777" w:rsidR="00690C7B" w:rsidRPr="00B95F87" w:rsidRDefault="00690C7B" w:rsidP="00B95F87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B95F87" w14:paraId="4A2DD960" w14:textId="77777777" w:rsidTr="0050008E">
        <w:trPr>
          <w:cantSplit/>
        </w:trPr>
        <w:tc>
          <w:tcPr>
            <w:tcW w:w="10031" w:type="dxa"/>
            <w:gridSpan w:val="4"/>
          </w:tcPr>
          <w:p w14:paraId="6556B36A" w14:textId="1CF63C8E" w:rsidR="00690C7B" w:rsidRPr="00B95F87" w:rsidRDefault="00690C7B" w:rsidP="00B95F87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B95F87">
              <w:rPr>
                <w:lang w:val="fr-FR"/>
              </w:rPr>
              <w:t>Point 1.8 de l</w:t>
            </w:r>
            <w:r w:rsidR="00B95F87" w:rsidRPr="00B95F87">
              <w:rPr>
                <w:lang w:val="fr-FR"/>
              </w:rPr>
              <w:t>'</w:t>
            </w:r>
            <w:r w:rsidRPr="00B95F87">
              <w:rPr>
                <w:lang w:val="fr-FR"/>
              </w:rPr>
              <w:t>ordre du jour</w:t>
            </w:r>
          </w:p>
        </w:tc>
      </w:tr>
    </w:tbl>
    <w:bookmarkEnd w:id="3"/>
    <w:p w14:paraId="5BF918FB" w14:textId="6A7A4EA2" w:rsidR="00F313EF" w:rsidRPr="00B95F87" w:rsidRDefault="00505E3A" w:rsidP="00B95F87">
      <w:r w:rsidRPr="00B95F87">
        <w:rPr>
          <w:bCs/>
          <w:iCs/>
        </w:rPr>
        <w:t>1.8</w:t>
      </w:r>
      <w:r w:rsidRPr="00B95F87">
        <w:rPr>
          <w:bCs/>
          <w:iCs/>
        </w:rPr>
        <w:tab/>
        <w:t>envisager, sur la base des études menées par l</w:t>
      </w:r>
      <w:r w:rsidR="00B95F87" w:rsidRPr="00B95F87">
        <w:rPr>
          <w:bCs/>
          <w:iCs/>
        </w:rPr>
        <w:t>'</w:t>
      </w:r>
      <w:r w:rsidRPr="00B95F87">
        <w:rPr>
          <w:bCs/>
          <w:iCs/>
        </w:rPr>
        <w:t>UIT-R conformément à la Résolution </w:t>
      </w:r>
      <w:r w:rsidRPr="00B95F87">
        <w:rPr>
          <w:b/>
          <w:bCs/>
          <w:iCs/>
        </w:rPr>
        <w:t>171 (CMR-19)</w:t>
      </w:r>
      <w:r w:rsidRPr="00B95F87">
        <w:rPr>
          <w:bCs/>
          <w:iCs/>
        </w:rPr>
        <w:t>, des mesures réglementaires appropriées, en vue d</w:t>
      </w:r>
      <w:r w:rsidR="00B95F87" w:rsidRPr="00B95F87">
        <w:rPr>
          <w:bCs/>
          <w:iCs/>
        </w:rPr>
        <w:t>'</w:t>
      </w:r>
      <w:r w:rsidRPr="00B95F87">
        <w:rPr>
          <w:bCs/>
          <w:iCs/>
        </w:rPr>
        <w:t xml:space="preserve">examiner et, au besoin, de réviser la Résolution </w:t>
      </w:r>
      <w:r w:rsidRPr="00B95F87">
        <w:rPr>
          <w:b/>
          <w:bCs/>
          <w:iCs/>
        </w:rPr>
        <w:t>155 (Rév.CMR-19)</w:t>
      </w:r>
      <w:r w:rsidRPr="00B95F87">
        <w:rPr>
          <w:bCs/>
          <w:iCs/>
        </w:rPr>
        <w:t xml:space="preserve"> et le numéro </w:t>
      </w:r>
      <w:r w:rsidRPr="00B95F87">
        <w:rPr>
          <w:b/>
          <w:bCs/>
          <w:iCs/>
        </w:rPr>
        <w:t>5.484B</w:t>
      </w:r>
      <w:r w:rsidRPr="00B95F87">
        <w:rPr>
          <w:bCs/>
          <w:iCs/>
        </w:rPr>
        <w:t>, pour tenir compte de l</w:t>
      </w:r>
      <w:r w:rsidR="00B95F87" w:rsidRPr="00B95F87">
        <w:rPr>
          <w:bCs/>
          <w:iCs/>
        </w:rPr>
        <w:t>'</w:t>
      </w:r>
      <w:r w:rsidRPr="00B95F87">
        <w:rPr>
          <w:bCs/>
          <w:iCs/>
        </w:rPr>
        <w:t>utilisation des réseaux du service fixe par satellite pour les communications de contrôle et non associées à la charge utile des systèmes d</w:t>
      </w:r>
      <w:r w:rsidR="00B95F87" w:rsidRPr="00B95F87">
        <w:rPr>
          <w:bCs/>
          <w:iCs/>
        </w:rPr>
        <w:t>'</w:t>
      </w:r>
      <w:r w:rsidRPr="00B95F87">
        <w:rPr>
          <w:bCs/>
          <w:iCs/>
        </w:rPr>
        <w:t>aéronef sans pilote;</w:t>
      </w:r>
    </w:p>
    <w:p w14:paraId="7E403E9B" w14:textId="12C76CAB" w:rsidR="003A583E" w:rsidRPr="00B95F87" w:rsidRDefault="0097386C" w:rsidP="00B95F87">
      <w:pPr>
        <w:pStyle w:val="Headingb"/>
      </w:pPr>
      <w:r w:rsidRPr="00B95F87">
        <w:t>Introduction</w:t>
      </w:r>
    </w:p>
    <w:p w14:paraId="07A092F9" w14:textId="72D48951" w:rsidR="0097386C" w:rsidRPr="00B95F87" w:rsidRDefault="0086226B" w:rsidP="00B95F87">
      <w:r w:rsidRPr="00B95F87">
        <w:t xml:space="preserve">Les liaisons de communication </w:t>
      </w:r>
      <w:r w:rsidR="002C23D1" w:rsidRPr="00B95F87">
        <w:t xml:space="preserve">de </w:t>
      </w:r>
      <w:r w:rsidRPr="00B95F87">
        <w:t>contrôle et non</w:t>
      </w:r>
      <w:r w:rsidR="00844B23" w:rsidRPr="00B95F87">
        <w:t>-</w:t>
      </w:r>
      <w:r w:rsidRPr="00B95F87">
        <w:t xml:space="preserve">associées à la charge utile (CNPC) des aéronefs sans pilote (UA) ont </w:t>
      </w:r>
      <w:r w:rsidR="002C23D1" w:rsidRPr="00B95F87">
        <w:t xml:space="preserve">été </w:t>
      </w:r>
      <w:r w:rsidRPr="00B95F87">
        <w:t>examinées</w:t>
      </w:r>
      <w:r w:rsidR="00E77255" w:rsidRPr="00B95F87">
        <w:t xml:space="preserve"> par</w:t>
      </w:r>
      <w:r w:rsidR="003202C4" w:rsidRPr="00B95F87">
        <w:t xml:space="preserve"> </w:t>
      </w:r>
      <w:r w:rsidRPr="00B95F87">
        <w:t>l</w:t>
      </w:r>
      <w:r w:rsidR="00B95F87" w:rsidRPr="00B95F87">
        <w:t>'</w:t>
      </w:r>
      <w:r w:rsidRPr="00B95F87">
        <w:t xml:space="preserve">UIT-R durant les trois dernières conférences </w:t>
      </w:r>
      <w:r w:rsidR="00E77255" w:rsidRPr="00B95F87">
        <w:t xml:space="preserve">tenues </w:t>
      </w:r>
      <w:r w:rsidRPr="00B95F87">
        <w:t>depuis la CMR-12.</w:t>
      </w:r>
      <w:r w:rsidR="008E6BE4" w:rsidRPr="00B95F87">
        <w:t xml:space="preserve"> Les besoins de nombreuses applications des systèmes d</w:t>
      </w:r>
      <w:r w:rsidR="00B95F87" w:rsidRPr="00B95F87">
        <w:t>'</w:t>
      </w:r>
      <w:r w:rsidR="008E6BE4" w:rsidRPr="00B95F87">
        <w:t xml:space="preserve">aéronef sans pilote (UAS) </w:t>
      </w:r>
      <w:r w:rsidR="008D6789" w:rsidRPr="00B95F87">
        <w:t xml:space="preserve">en matière de </w:t>
      </w:r>
      <w:r w:rsidR="008E6BE4" w:rsidRPr="00B95F87">
        <w:t>communication au-delà de la visibilité directe nécessiteront l</w:t>
      </w:r>
      <w:r w:rsidR="00B95F87" w:rsidRPr="00B95F87">
        <w:t>'</w:t>
      </w:r>
      <w:r w:rsidR="008E6BE4" w:rsidRPr="00B95F87">
        <w:t>utilisation de communications par satellite sûres</w:t>
      </w:r>
      <w:r w:rsidR="00E77255" w:rsidRPr="00B95F87">
        <w:t>,</w:t>
      </w:r>
      <w:r w:rsidR="008E6BE4" w:rsidRPr="00B95F87">
        <w:t xml:space="preserve"> pour permettre </w:t>
      </w:r>
      <w:r w:rsidR="00E77255" w:rsidRPr="00B95F87">
        <w:t>la mise en œuvre de la totalité ou d</w:t>
      </w:r>
      <w:r w:rsidR="00B95F87" w:rsidRPr="00B95F87">
        <w:t>'</w:t>
      </w:r>
      <w:r w:rsidR="00E77255" w:rsidRPr="00B95F87">
        <w:t>une</w:t>
      </w:r>
      <w:r w:rsidR="008E6BE4" w:rsidRPr="00B95F87">
        <w:t xml:space="preserve"> partie des </w:t>
      </w:r>
      <w:r w:rsidR="00E77255" w:rsidRPr="00B95F87">
        <w:t xml:space="preserve">éléments des </w:t>
      </w:r>
      <w:r w:rsidR="00196238" w:rsidRPr="00B95F87">
        <w:t>communications </w:t>
      </w:r>
      <w:r w:rsidR="008E6BE4" w:rsidRPr="00B95F87">
        <w:t xml:space="preserve">CNPC des </w:t>
      </w:r>
      <w:r w:rsidR="00196238" w:rsidRPr="00B95F87">
        <w:t>systèmes </w:t>
      </w:r>
      <w:r w:rsidR="008E6BE4" w:rsidRPr="00B95F87">
        <w:t xml:space="preserve">UAS. La CMR-12 a examiné les besoins de spectre des services de Terre et </w:t>
      </w:r>
      <w:r w:rsidR="00196238" w:rsidRPr="00B95F87">
        <w:t>d</w:t>
      </w:r>
      <w:r w:rsidR="008E6BE4" w:rsidRPr="00B95F87">
        <w:t>es</w:t>
      </w:r>
      <w:r w:rsidR="003202C4" w:rsidRPr="00B95F87">
        <w:t xml:space="preserve"> </w:t>
      </w:r>
      <w:r w:rsidR="00E77255" w:rsidRPr="00B95F87">
        <w:t>services par</w:t>
      </w:r>
      <w:r w:rsidR="003202C4" w:rsidRPr="00B95F87">
        <w:t xml:space="preserve"> </w:t>
      </w:r>
      <w:r w:rsidR="00E77255" w:rsidRPr="00B95F87">
        <w:t>satellite</w:t>
      </w:r>
      <w:r w:rsidR="003202C4" w:rsidRPr="00B95F87">
        <w:t xml:space="preserve"> </w:t>
      </w:r>
      <w:r w:rsidR="008E6BE4" w:rsidRPr="00B95F87">
        <w:t>pour l</w:t>
      </w:r>
      <w:r w:rsidR="00B95F87" w:rsidRPr="00B95F87">
        <w:t>'</w:t>
      </w:r>
      <w:r w:rsidR="008E6BE4" w:rsidRPr="00B95F87">
        <w:t>exploitation des systèmes d</w:t>
      </w:r>
      <w:r w:rsidR="00B95F87" w:rsidRPr="00B95F87">
        <w:t>'</w:t>
      </w:r>
      <w:r w:rsidR="008E6BE4" w:rsidRPr="00B95F87">
        <w:t>aéronef sans pilote dans l</w:t>
      </w:r>
      <w:r w:rsidR="00B95F87" w:rsidRPr="00B95F87">
        <w:t>'</w:t>
      </w:r>
      <w:r w:rsidR="008E6BE4" w:rsidRPr="00B95F87">
        <w:t>espace aérien non réservé et a veillé à ce qu</w:t>
      </w:r>
      <w:r w:rsidR="00B95F87" w:rsidRPr="00B95F87">
        <w:t>'</w:t>
      </w:r>
      <w:r w:rsidR="008E6BE4" w:rsidRPr="00B95F87">
        <w:t>une quantité suffisante de spectre soit disponible, en particulier pour les liaisons de Terre</w:t>
      </w:r>
      <w:r w:rsidR="0097386C" w:rsidRPr="00B95F87">
        <w:t>.</w:t>
      </w:r>
    </w:p>
    <w:p w14:paraId="0804AAB7" w14:textId="60AB49F3" w:rsidR="0097386C" w:rsidRPr="00B95F87" w:rsidRDefault="009C01BF" w:rsidP="00B95F87">
      <w:r w:rsidRPr="00B95F87">
        <w:t>L</w:t>
      </w:r>
      <w:r w:rsidR="00B95F87" w:rsidRPr="00B95F87">
        <w:t>'</w:t>
      </w:r>
      <w:r w:rsidRPr="00B95F87">
        <w:t xml:space="preserve">expérience acquise </w:t>
      </w:r>
      <w:r w:rsidR="005D60AB" w:rsidRPr="00B95F87">
        <w:t>dans</w:t>
      </w:r>
      <w:r w:rsidR="003202C4" w:rsidRPr="00B95F87">
        <w:t xml:space="preserve"> </w:t>
      </w:r>
      <w:r w:rsidRPr="00B95F87">
        <w:t>l</w:t>
      </w:r>
      <w:r w:rsidR="00B95F87" w:rsidRPr="00B95F87">
        <w:t>'</w:t>
      </w:r>
      <w:r w:rsidRPr="00B95F87">
        <w:t>utilisation du service fixe par satellite (SFS) pour les liaisons</w:t>
      </w:r>
      <w:r w:rsidR="007A65F2" w:rsidRPr="00B95F87">
        <w:t> </w:t>
      </w:r>
      <w:r w:rsidRPr="00B95F87">
        <w:t>CNPC des aéronefs</w:t>
      </w:r>
      <w:r w:rsidR="007A65F2" w:rsidRPr="00B95F87">
        <w:t> </w:t>
      </w:r>
      <w:r w:rsidRPr="00B95F87">
        <w:t>UA dans l</w:t>
      </w:r>
      <w:r w:rsidR="00B95F87" w:rsidRPr="00B95F87">
        <w:t>'</w:t>
      </w:r>
      <w:r w:rsidRPr="00B95F87">
        <w:t xml:space="preserve">espace aérien réservé ne peut </w:t>
      </w:r>
      <w:r w:rsidR="007A65F2" w:rsidRPr="00B95F87">
        <w:t xml:space="preserve">pas </w:t>
      </w:r>
      <w:r w:rsidRPr="00B95F87">
        <w:t>servir de base à l</w:t>
      </w:r>
      <w:r w:rsidR="00B95F87" w:rsidRPr="00B95F87">
        <w:t>'</w:t>
      </w:r>
      <w:r w:rsidRPr="00B95F87">
        <w:t xml:space="preserve">utilisation de ces liaisons dans </w:t>
      </w:r>
      <w:r w:rsidR="005D60AB" w:rsidRPr="00B95F87">
        <w:t>l</w:t>
      </w:r>
      <w:r w:rsidR="00B95F87" w:rsidRPr="00B95F87">
        <w:t>'</w:t>
      </w:r>
      <w:r w:rsidRPr="00B95F87">
        <w:t>espace aérien non réservé, car la situation dans</w:t>
      </w:r>
      <w:r w:rsidR="003202C4" w:rsidRPr="00B95F87">
        <w:t xml:space="preserve"> </w:t>
      </w:r>
      <w:r w:rsidR="005D60AB" w:rsidRPr="00B95F87">
        <w:t>l</w:t>
      </w:r>
      <w:r w:rsidR="00B95F87" w:rsidRPr="00B95F87">
        <w:t>'</w:t>
      </w:r>
      <w:r w:rsidRPr="00B95F87">
        <w:t>espace aérien</w:t>
      </w:r>
      <w:r w:rsidR="005D60AB" w:rsidRPr="00B95F87">
        <w:t>,</w:t>
      </w:r>
      <w:r w:rsidRPr="00B95F87">
        <w:t xml:space="preserve"> qui </w:t>
      </w:r>
      <w:r w:rsidR="005D60AB" w:rsidRPr="00B95F87">
        <w:t>se caractérise par l</w:t>
      </w:r>
      <w:r w:rsidR="00B95F87" w:rsidRPr="00B95F87">
        <w:t>'</w:t>
      </w:r>
      <w:r w:rsidR="005D60AB" w:rsidRPr="00B95F87">
        <w:t>absence de</w:t>
      </w:r>
      <w:r w:rsidRPr="00B95F87">
        <w:t xml:space="preserve"> limitation d</w:t>
      </w:r>
      <w:r w:rsidR="00B95F87" w:rsidRPr="00B95F87">
        <w:t>'</w:t>
      </w:r>
      <w:r w:rsidRPr="00B95F87">
        <w:t>utilisation</w:t>
      </w:r>
      <w:r w:rsidR="005D60AB" w:rsidRPr="00B95F87">
        <w:t>,</w:t>
      </w:r>
      <w:r w:rsidR="003202C4" w:rsidRPr="00B95F87">
        <w:t xml:space="preserve"> </w:t>
      </w:r>
      <w:r w:rsidRPr="00B95F87">
        <w:t>est totalement différente</w:t>
      </w:r>
      <w:r w:rsidR="0097386C" w:rsidRPr="00B95F87">
        <w:t>.</w:t>
      </w:r>
    </w:p>
    <w:p w14:paraId="08502524" w14:textId="3273DD51" w:rsidR="0097386C" w:rsidRPr="00B95F87" w:rsidRDefault="00364EE4" w:rsidP="00B95F87">
      <w:r w:rsidRPr="00B95F87">
        <w:t xml:space="preserve">Le Groupe de travail (GT) 5B </w:t>
      </w:r>
      <w:r w:rsidR="005D60AB" w:rsidRPr="00B95F87">
        <w:t>a élaboré</w:t>
      </w:r>
      <w:r w:rsidRPr="00B95F87">
        <w:t>, depuis plus de 10</w:t>
      </w:r>
      <w:r w:rsidR="006721F0" w:rsidRPr="00B95F87">
        <w:t> </w:t>
      </w:r>
      <w:r w:rsidRPr="00B95F87">
        <w:t>ans</w:t>
      </w:r>
      <w:r w:rsidR="0084214E" w:rsidRPr="00B95F87">
        <w:t xml:space="preserve"> et </w:t>
      </w:r>
      <w:r w:rsidRPr="00B95F87">
        <w:t>trois CMR, plusieurs documents concernant les caractéristiques des stations des services spatiaux et des services de Terre ainsi que la protection des services de Terre. Entre</w:t>
      </w:r>
      <w:r w:rsidR="00856694" w:rsidRPr="00B95F87">
        <w:t>-</w:t>
      </w:r>
      <w:r w:rsidRPr="00B95F87">
        <w:t xml:space="preserve">temps, certains documents ont été élaborés pour fournir les caractéristiques des stations terriennes </w:t>
      </w:r>
      <w:r w:rsidR="00AD662F" w:rsidRPr="00B95F87">
        <w:t>assurant</w:t>
      </w:r>
      <w:r w:rsidR="003202C4" w:rsidRPr="00B95F87">
        <w:t xml:space="preserve"> </w:t>
      </w:r>
      <w:r w:rsidR="005D60AB" w:rsidRPr="00B95F87">
        <w:t xml:space="preserve">des </w:t>
      </w:r>
      <w:r w:rsidRPr="00B95F87">
        <w:t>communications de contrôle et non associées à la charge utile des systèmes d</w:t>
      </w:r>
      <w:r w:rsidR="00B95F87" w:rsidRPr="00B95F87">
        <w:t>'</w:t>
      </w:r>
      <w:r w:rsidRPr="00B95F87">
        <w:t xml:space="preserve">aéronef sans pilote </w:t>
      </w:r>
      <w:r w:rsidR="0084214E" w:rsidRPr="00B95F87">
        <w:t>destinées à être</w:t>
      </w:r>
      <w:r w:rsidR="00844B23" w:rsidRPr="00B95F87">
        <w:t xml:space="preserve"> utilisées</w:t>
      </w:r>
      <w:r w:rsidR="0084214E" w:rsidRPr="00B95F87">
        <w:t xml:space="preserve"> </w:t>
      </w:r>
      <w:r w:rsidRPr="00B95F87">
        <w:t xml:space="preserve">avec </w:t>
      </w:r>
      <w:r w:rsidR="005D60AB" w:rsidRPr="00B95F87">
        <w:t xml:space="preserve">des </w:t>
      </w:r>
      <w:r w:rsidRPr="00B95F87">
        <w:t xml:space="preserve">stations spatiales du SFS. </w:t>
      </w:r>
      <w:r w:rsidR="00AD662F" w:rsidRPr="00B95F87">
        <w:rPr>
          <w:u w:val="single"/>
        </w:rPr>
        <w:t xml:space="preserve">Aucun de </w:t>
      </w:r>
      <w:r w:rsidRPr="00B95F87">
        <w:rPr>
          <w:u w:val="single"/>
        </w:rPr>
        <w:t xml:space="preserve">ces documents </w:t>
      </w:r>
      <w:r w:rsidR="005D60AB" w:rsidRPr="00B95F87">
        <w:rPr>
          <w:u w:val="single"/>
        </w:rPr>
        <w:t>n</w:t>
      </w:r>
      <w:r w:rsidR="00B95F87" w:rsidRPr="00B95F87">
        <w:rPr>
          <w:u w:val="single"/>
        </w:rPr>
        <w:t>'</w:t>
      </w:r>
      <w:r w:rsidR="005D60AB" w:rsidRPr="00B95F87">
        <w:rPr>
          <w:u w:val="single"/>
        </w:rPr>
        <w:t>a permis</w:t>
      </w:r>
      <w:r w:rsidR="003202C4" w:rsidRPr="00B95F87">
        <w:rPr>
          <w:u w:val="single"/>
        </w:rPr>
        <w:t xml:space="preserve"> </w:t>
      </w:r>
      <w:r w:rsidR="005D60AB" w:rsidRPr="00B95F87">
        <w:rPr>
          <w:u w:val="single"/>
        </w:rPr>
        <w:t xml:space="preserve">de tirer des conclusions, </w:t>
      </w:r>
      <w:r w:rsidRPr="00B95F87">
        <w:rPr>
          <w:u w:val="single"/>
        </w:rPr>
        <w:t>en raison de diverses difficultés</w:t>
      </w:r>
      <w:r w:rsidR="003202C4" w:rsidRPr="00B95F87">
        <w:rPr>
          <w:u w:val="single"/>
        </w:rPr>
        <w:t xml:space="preserve"> </w:t>
      </w:r>
      <w:r w:rsidRPr="00B95F87">
        <w:rPr>
          <w:u w:val="single"/>
        </w:rPr>
        <w:t xml:space="preserve">et </w:t>
      </w:r>
      <w:r w:rsidR="005D60AB" w:rsidRPr="00B95F87">
        <w:rPr>
          <w:u w:val="single"/>
        </w:rPr>
        <w:t>de</w:t>
      </w:r>
      <w:r w:rsidR="003202C4" w:rsidRPr="00B95F87">
        <w:rPr>
          <w:u w:val="single"/>
        </w:rPr>
        <w:t xml:space="preserve"> </w:t>
      </w:r>
      <w:r w:rsidRPr="00B95F87">
        <w:rPr>
          <w:u w:val="single"/>
        </w:rPr>
        <w:t>problèmes soulevés</w:t>
      </w:r>
      <w:r w:rsidR="003202C4" w:rsidRPr="00B95F87">
        <w:rPr>
          <w:u w:val="single"/>
        </w:rPr>
        <w:t xml:space="preserve"> </w:t>
      </w:r>
      <w:r w:rsidRPr="00B95F87">
        <w:rPr>
          <w:u w:val="single"/>
        </w:rPr>
        <w:t>dans le texte de la RPC</w:t>
      </w:r>
      <w:r w:rsidR="0097386C" w:rsidRPr="00B95F87">
        <w:rPr>
          <w:u w:val="single"/>
        </w:rPr>
        <w:t>.</w:t>
      </w:r>
    </w:p>
    <w:p w14:paraId="79BD3BC6" w14:textId="4BD9BFE8" w:rsidR="0097386C" w:rsidRPr="00B95F87" w:rsidRDefault="00364EE4" w:rsidP="00B95F87">
      <w:r w:rsidRPr="00B95F87">
        <w:lastRenderedPageBreak/>
        <w:t>L</w:t>
      </w:r>
      <w:r w:rsidR="00B95F87" w:rsidRPr="00B95F87">
        <w:t>'</w:t>
      </w:r>
      <w:r w:rsidRPr="00B95F87">
        <w:t>Organisation de l</w:t>
      </w:r>
      <w:r w:rsidR="00B95F87" w:rsidRPr="00B95F87">
        <w:t>'</w:t>
      </w:r>
      <w:r w:rsidRPr="00B95F87">
        <w:t xml:space="preserve">aviation civile internationale (OACI), qui joue un rôle crucial dans </w:t>
      </w:r>
      <w:r w:rsidR="0058238A" w:rsidRPr="00B95F87">
        <w:t xml:space="preserve">le traitement de </w:t>
      </w:r>
      <w:r w:rsidRPr="00B95F87">
        <w:t>ce point de l</w:t>
      </w:r>
      <w:r w:rsidR="00B95F87" w:rsidRPr="00B95F87">
        <w:t>'</w:t>
      </w:r>
      <w:r w:rsidRPr="00B95F87">
        <w:t xml:space="preserve">ordre du jour, </w:t>
      </w:r>
      <w:r w:rsidR="00615833" w:rsidRPr="00B95F87">
        <w:t>v</w:t>
      </w:r>
      <w:r w:rsidR="0058238A" w:rsidRPr="00B95F87">
        <w:t xml:space="preserve">a </w:t>
      </w:r>
      <w:r w:rsidRPr="00B95F87">
        <w:t>élabor</w:t>
      </w:r>
      <w:r w:rsidR="00615833" w:rsidRPr="00B95F87">
        <w:t>er</w:t>
      </w:r>
      <w:r w:rsidRPr="00B95F87">
        <w:t xml:space="preserve"> </w:t>
      </w:r>
      <w:r w:rsidR="003216AF" w:rsidRPr="00B95F87">
        <w:t>d</w:t>
      </w:r>
      <w:r w:rsidRPr="00B95F87">
        <w:t xml:space="preserve">es </w:t>
      </w:r>
      <w:r w:rsidR="005D60AB" w:rsidRPr="00B95F87">
        <w:t xml:space="preserve">Normes </w:t>
      </w:r>
      <w:r w:rsidRPr="00B95F87">
        <w:t>et pratiques recommandées (SARP).</w:t>
      </w:r>
      <w:r w:rsidR="00D73A4E" w:rsidRPr="00B95F87">
        <w:t xml:space="preserve"> Conformément aux principes fondamentaux élaborés par le GT</w:t>
      </w:r>
      <w:r w:rsidR="0058238A" w:rsidRPr="00B95F87">
        <w:t> </w:t>
      </w:r>
      <w:r w:rsidR="00D73A4E" w:rsidRPr="00B95F87">
        <w:t xml:space="preserve">5B </w:t>
      </w:r>
      <w:r w:rsidR="0058238A" w:rsidRPr="00B95F87">
        <w:t xml:space="preserve">en ce qui concerne les </w:t>
      </w:r>
      <w:r w:rsidR="00D73A4E" w:rsidRPr="00B95F87">
        <w:t>liaisons</w:t>
      </w:r>
      <w:r w:rsidR="00601126" w:rsidRPr="00B95F87">
        <w:t> </w:t>
      </w:r>
      <w:r w:rsidR="0058238A" w:rsidRPr="00B95F87">
        <w:t>C</w:t>
      </w:r>
      <w:r w:rsidR="00D73A4E" w:rsidRPr="00B95F87">
        <w:t>NPC des systèmes</w:t>
      </w:r>
      <w:r w:rsidR="0058238A" w:rsidRPr="00B95F87">
        <w:t> </w:t>
      </w:r>
      <w:r w:rsidR="00D73A4E" w:rsidRPr="00B95F87">
        <w:t xml:space="preserve">UAS, </w:t>
      </w:r>
      <w:r w:rsidR="00225D30" w:rsidRPr="00B95F87">
        <w:t xml:space="preserve">en vue de garantir la sécurité des vols des aéronefs UA, </w:t>
      </w:r>
      <w:r w:rsidR="00D73A4E" w:rsidRPr="00B95F87">
        <w:t xml:space="preserve">il est nécessaire de prendre des </w:t>
      </w:r>
      <w:r w:rsidR="005D60AB" w:rsidRPr="00B95F87">
        <w:t>mesures</w:t>
      </w:r>
      <w:r w:rsidR="00D73A4E" w:rsidRPr="00B95F87">
        <w:t>, conformément au numéro</w:t>
      </w:r>
      <w:r w:rsidR="00225D30" w:rsidRPr="00B95F87">
        <w:t> </w:t>
      </w:r>
      <w:r w:rsidR="00D73A4E" w:rsidRPr="00B95F87">
        <w:rPr>
          <w:b/>
          <w:bCs/>
        </w:rPr>
        <w:t>4.10</w:t>
      </w:r>
      <w:r w:rsidR="00D73A4E" w:rsidRPr="00B95F87">
        <w:t xml:space="preserve"> du Règlement des radiocommunications (RR), pour </w:t>
      </w:r>
      <w:r w:rsidR="005D60AB" w:rsidRPr="00B95F87">
        <w:t>que ceux-ci soient exempts</w:t>
      </w:r>
      <w:r w:rsidR="00D73A4E" w:rsidRPr="00B95F87">
        <w:t xml:space="preserve"> </w:t>
      </w:r>
      <w:r w:rsidR="005D60AB" w:rsidRPr="00B95F87">
        <w:t>de</w:t>
      </w:r>
      <w:r w:rsidR="003202C4" w:rsidRPr="00B95F87">
        <w:t xml:space="preserve"> </w:t>
      </w:r>
      <w:r w:rsidR="00D73A4E" w:rsidRPr="00B95F87">
        <w:t xml:space="preserve">brouillages préjudiciables. Le second ensemble de </w:t>
      </w:r>
      <w:r w:rsidR="005D60AB" w:rsidRPr="00B95F87">
        <w:t xml:space="preserve">Normes </w:t>
      </w:r>
      <w:r w:rsidR="00D73A4E" w:rsidRPr="00B95F87">
        <w:t>et pratiques</w:t>
      </w:r>
      <w:r w:rsidR="00225D30" w:rsidRPr="00B95F87">
        <w:t> </w:t>
      </w:r>
      <w:r w:rsidR="00D73A4E" w:rsidRPr="00B95F87">
        <w:t xml:space="preserve">SARP, </w:t>
      </w:r>
      <w:r w:rsidR="005D60AB" w:rsidRPr="00B95F87">
        <w:t>dont l</w:t>
      </w:r>
      <w:r w:rsidR="00B95F87" w:rsidRPr="00B95F87">
        <w:t>'</w:t>
      </w:r>
      <w:r w:rsidR="005D60AB" w:rsidRPr="00B95F87">
        <w:t xml:space="preserve">élaboration </w:t>
      </w:r>
      <w:r w:rsidR="00443EAB" w:rsidRPr="00B95F87">
        <w:t>devait être achevé</w:t>
      </w:r>
      <w:r w:rsidR="005D60AB" w:rsidRPr="00B95F87">
        <w:t>e</w:t>
      </w:r>
      <w:r w:rsidR="00443EAB" w:rsidRPr="00B95F87">
        <w:t xml:space="preserve"> </w:t>
      </w:r>
      <w:r w:rsidR="00E5529E" w:rsidRPr="00B95F87">
        <w:t xml:space="preserve">en </w:t>
      </w:r>
      <w:r w:rsidR="00D73A4E" w:rsidRPr="00B95F87">
        <w:t>2022</w:t>
      </w:r>
      <w:r w:rsidR="00443EAB" w:rsidRPr="00B95F87">
        <w:t>,</w:t>
      </w:r>
      <w:r w:rsidR="00D73A4E" w:rsidRPr="00B95F87">
        <w:t xml:space="preserve"> </w:t>
      </w:r>
      <w:r w:rsidR="00383AD5" w:rsidRPr="00B95F87">
        <w:t xml:space="preserve">devrait </w:t>
      </w:r>
      <w:r w:rsidR="00D73A4E" w:rsidRPr="00B95F87">
        <w:t>porte</w:t>
      </w:r>
      <w:r w:rsidR="00383AD5" w:rsidRPr="00B95F87">
        <w:t>r</w:t>
      </w:r>
      <w:r w:rsidR="00D73A4E" w:rsidRPr="00B95F87">
        <w:t xml:space="preserve"> sur les solutions techniques </w:t>
      </w:r>
      <w:r w:rsidR="005D60AB" w:rsidRPr="00B95F87">
        <w:t xml:space="preserve">possibles </w:t>
      </w:r>
      <w:r w:rsidR="00D73A4E" w:rsidRPr="00B95F87">
        <w:t xml:space="preserve">pour les systèmes du SFS et les autres points pertinents du </w:t>
      </w:r>
      <w:r w:rsidR="00D73A4E" w:rsidRPr="00B95F87">
        <w:rPr>
          <w:i/>
          <w:iCs/>
        </w:rPr>
        <w:t>décide</w:t>
      </w:r>
      <w:r w:rsidR="00D73A4E" w:rsidRPr="00B95F87">
        <w:t xml:space="preserve"> de la Résolution</w:t>
      </w:r>
      <w:r w:rsidR="00443EAB" w:rsidRPr="00B95F87">
        <w:t> </w:t>
      </w:r>
      <w:r w:rsidR="00D73A4E" w:rsidRPr="00B95F87">
        <w:rPr>
          <w:b/>
          <w:bCs/>
        </w:rPr>
        <w:t>155</w:t>
      </w:r>
      <w:r w:rsidR="00443EAB" w:rsidRPr="00B95F87">
        <w:rPr>
          <w:b/>
          <w:bCs/>
        </w:rPr>
        <w:t xml:space="preserve"> (Rév.CMR-19)</w:t>
      </w:r>
      <w:r w:rsidR="00D73A4E" w:rsidRPr="00B95F87">
        <w:t>.</w:t>
      </w:r>
      <w:r w:rsidR="005E7ABD" w:rsidRPr="00B95F87">
        <w:t xml:space="preserve"> </w:t>
      </w:r>
      <w:r w:rsidR="00BD1CB6" w:rsidRPr="00B95F87">
        <w:t>Il convient de noter que ces travaux sont encore en cours au sein de l</w:t>
      </w:r>
      <w:r w:rsidR="00B95F87" w:rsidRPr="00B95F87">
        <w:t>'</w:t>
      </w:r>
      <w:r w:rsidR="00BD1CB6" w:rsidRPr="00B95F87">
        <w:t>OACI.</w:t>
      </w:r>
      <w:r w:rsidR="00127489" w:rsidRPr="00B95F87">
        <w:t xml:space="preserve"> L</w:t>
      </w:r>
      <w:r w:rsidR="00B95F87" w:rsidRPr="00B95F87">
        <w:t>'</w:t>
      </w:r>
      <w:r w:rsidR="00BD1CB6" w:rsidRPr="00B95F87">
        <w:t>OACI reconnaît que</w:t>
      </w:r>
      <w:r w:rsidR="003202C4" w:rsidRPr="00B95F87">
        <w:t xml:space="preserve"> </w:t>
      </w:r>
      <w:r w:rsidR="00127489" w:rsidRPr="00B95F87">
        <w:t>la responsabilité</w:t>
      </w:r>
      <w:r w:rsidR="003202C4" w:rsidRPr="00B95F87">
        <w:t xml:space="preserve"> </w:t>
      </w:r>
      <w:r w:rsidR="00BD1CB6" w:rsidRPr="00B95F87">
        <w:t>de</w:t>
      </w:r>
      <w:r w:rsidR="00383AD5" w:rsidRPr="00B95F87">
        <w:t>s aspects touchant</w:t>
      </w:r>
      <w:r w:rsidR="00BD1CB6" w:rsidRPr="00B95F87">
        <w:t xml:space="preserve"> </w:t>
      </w:r>
      <w:r w:rsidR="00383AD5" w:rsidRPr="00B95F87">
        <w:t xml:space="preserve">à </w:t>
      </w:r>
      <w:r w:rsidR="00BD1CB6" w:rsidRPr="00B95F87">
        <w:t>la sécurité de la vie humain</w:t>
      </w:r>
      <w:r w:rsidR="00EF545E" w:rsidRPr="00B95F87">
        <w:t>e</w:t>
      </w:r>
      <w:r w:rsidR="00127489" w:rsidRPr="00B95F87">
        <w:t xml:space="preserve"> de</w:t>
      </w:r>
      <w:r w:rsidR="003202C4" w:rsidRPr="00B95F87">
        <w:t xml:space="preserve"> </w:t>
      </w:r>
      <w:r w:rsidR="00127489" w:rsidRPr="00B95F87">
        <w:t>l</w:t>
      </w:r>
      <w:r w:rsidR="00B95F87" w:rsidRPr="00B95F87">
        <w:t>'</w:t>
      </w:r>
      <w:r w:rsidR="00127489" w:rsidRPr="00B95F87">
        <w:t>utilisation des liaisons CNPC des systèmes UAS incombe aux États</w:t>
      </w:r>
      <w:r w:rsidR="00BD1CB6" w:rsidRPr="00B95F87">
        <w:t xml:space="preserve">. Toutefois, </w:t>
      </w:r>
      <w:r w:rsidR="0039641D" w:rsidRPr="00B95F87">
        <w:t xml:space="preserve">les </w:t>
      </w:r>
      <w:r w:rsidR="00EE3571" w:rsidRPr="00B95F87">
        <w:t xml:space="preserve">études que mène </w:t>
      </w:r>
      <w:r w:rsidR="00BD1CB6" w:rsidRPr="00B95F87">
        <w:t>l</w:t>
      </w:r>
      <w:r w:rsidR="00B95F87" w:rsidRPr="00B95F87">
        <w:t>'</w:t>
      </w:r>
      <w:r w:rsidR="00BD1CB6" w:rsidRPr="00B95F87">
        <w:t xml:space="preserve">OACI </w:t>
      </w:r>
      <w:r w:rsidR="00EE3571" w:rsidRPr="00B95F87">
        <w:t xml:space="preserve">sur </w:t>
      </w:r>
      <w:r w:rsidR="00BD1CB6" w:rsidRPr="00B95F87">
        <w:t>les aspects</w:t>
      </w:r>
      <w:r w:rsidR="003202C4" w:rsidRPr="00B95F87">
        <w:t xml:space="preserve"> </w:t>
      </w:r>
      <w:r w:rsidR="00856694" w:rsidRPr="00B95F87">
        <w:t xml:space="preserve">de </w:t>
      </w:r>
      <w:r w:rsidR="00BD1CB6" w:rsidRPr="00B95F87">
        <w:t xml:space="preserve">sécurité requis </w:t>
      </w:r>
      <w:r w:rsidR="00127489" w:rsidRPr="00B95F87">
        <w:t xml:space="preserve">dont il est question </w:t>
      </w:r>
      <w:r w:rsidR="00BD1CB6" w:rsidRPr="00B95F87">
        <w:t>au numéro</w:t>
      </w:r>
      <w:r w:rsidR="00EE3571" w:rsidRPr="00B95F87">
        <w:t> </w:t>
      </w:r>
      <w:r w:rsidR="00BD1CB6" w:rsidRPr="00B95F87">
        <w:rPr>
          <w:b/>
          <w:bCs/>
        </w:rPr>
        <w:t>4.10</w:t>
      </w:r>
      <w:r w:rsidR="00BD1CB6" w:rsidRPr="00B95F87">
        <w:t xml:space="preserve"> du RR </w:t>
      </w:r>
      <w:r w:rsidR="0039641D" w:rsidRPr="00B95F87">
        <w:t xml:space="preserve">reposent sur des </w:t>
      </w:r>
      <w:r w:rsidR="00127489" w:rsidRPr="00B95F87">
        <w:t xml:space="preserve">bases </w:t>
      </w:r>
      <w:r w:rsidR="00EE3571" w:rsidRPr="00B95F87">
        <w:t>fragile</w:t>
      </w:r>
      <w:r w:rsidR="0039641D" w:rsidRPr="00B95F87">
        <w:t>s</w:t>
      </w:r>
      <w:r w:rsidR="00BD1CB6" w:rsidRPr="00B95F87">
        <w:t>,</w:t>
      </w:r>
      <w:r w:rsidR="00E5529E" w:rsidRPr="00B95F87">
        <w:t xml:space="preserve"> </w:t>
      </w:r>
      <w:r w:rsidR="00127489" w:rsidRPr="00B95F87">
        <w:t>tout comme les</w:t>
      </w:r>
      <w:r w:rsidR="0039641D" w:rsidRPr="00B95F87">
        <w:t xml:space="preserve"> </w:t>
      </w:r>
      <w:r w:rsidR="00BD1CB6" w:rsidRPr="00B95F87">
        <w:t xml:space="preserve">études </w:t>
      </w:r>
      <w:r w:rsidR="0039641D" w:rsidRPr="00B95F87">
        <w:t xml:space="preserve">de </w:t>
      </w:r>
      <w:r w:rsidR="00BD1CB6" w:rsidRPr="00B95F87">
        <w:t>l</w:t>
      </w:r>
      <w:r w:rsidR="00B95F87" w:rsidRPr="00B95F87">
        <w:t>'</w:t>
      </w:r>
      <w:r w:rsidR="00BD1CB6" w:rsidRPr="00B95F87">
        <w:t>UIT-R</w:t>
      </w:r>
      <w:r w:rsidR="0039641D" w:rsidRPr="00B95F87">
        <w:t>,</w:t>
      </w:r>
      <w:r w:rsidR="00BD1CB6" w:rsidRPr="00B95F87">
        <w:t xml:space="preserve"> </w:t>
      </w:r>
      <w:r w:rsidR="0039641D" w:rsidRPr="00B95F87">
        <w:t xml:space="preserve">et </w:t>
      </w:r>
      <w:r w:rsidR="00BD1CB6" w:rsidRPr="00B95F87">
        <w:t xml:space="preserve">plusieurs questions fondamentales </w:t>
      </w:r>
      <w:r w:rsidR="00950B83" w:rsidRPr="00B95F87">
        <w:t xml:space="preserve">sont </w:t>
      </w:r>
      <w:r w:rsidR="00EE3571" w:rsidRPr="00B95F87">
        <w:t xml:space="preserve">encore </w:t>
      </w:r>
      <w:r w:rsidR="00950B83" w:rsidRPr="00B95F87">
        <w:t xml:space="preserve">débattues </w:t>
      </w:r>
      <w:r w:rsidR="00EE3571" w:rsidRPr="00B95F87">
        <w:t>à ce jour</w:t>
      </w:r>
      <w:r w:rsidR="00127489" w:rsidRPr="00B95F87">
        <w:t>, sans résultat</w:t>
      </w:r>
      <w:r w:rsidR="0097386C" w:rsidRPr="00B95F87">
        <w:t>.</w:t>
      </w:r>
    </w:p>
    <w:p w14:paraId="052D9363" w14:textId="21D7C00A" w:rsidR="0097386C" w:rsidRPr="00B95F87" w:rsidRDefault="00A8266E" w:rsidP="00B95F87">
      <w:r w:rsidRPr="00B95F87">
        <w:t>Plusieurs entités participent chacune à certaines parties des tâches à accomplir au titre de ce point de l</w:t>
      </w:r>
      <w:r w:rsidR="00B95F87" w:rsidRPr="00B95F87">
        <w:t>'</w:t>
      </w:r>
      <w:r w:rsidRPr="00B95F87">
        <w:t xml:space="preserve">ordre du jour. </w:t>
      </w:r>
      <w:r w:rsidR="004B7966" w:rsidRPr="00B95F87">
        <w:t xml:space="preserve">Au terme </w:t>
      </w:r>
      <w:r w:rsidR="00BE63AE" w:rsidRPr="00B95F87">
        <w:t>de longues discussions, l</w:t>
      </w:r>
      <w:r w:rsidR="00B95F87" w:rsidRPr="00B95F87">
        <w:t>'</w:t>
      </w:r>
      <w:r w:rsidR="00BE63AE" w:rsidRPr="00B95F87">
        <w:t xml:space="preserve">UIT-R </w:t>
      </w:r>
      <w:r w:rsidR="0039641D" w:rsidRPr="00B95F87">
        <w:t xml:space="preserve">a </w:t>
      </w:r>
      <w:r w:rsidR="00BE63AE" w:rsidRPr="00B95F87">
        <w:t>conclu qu</w:t>
      </w:r>
      <w:r w:rsidR="00B95F87" w:rsidRPr="00B95F87">
        <w:t>'</w:t>
      </w:r>
      <w:r w:rsidR="0039641D" w:rsidRPr="00B95F87">
        <w:t xml:space="preserve">une </w:t>
      </w:r>
      <w:r w:rsidR="00BE63AE" w:rsidRPr="00B95F87">
        <w:t xml:space="preserve">seule </w:t>
      </w:r>
      <w:r w:rsidR="00127489" w:rsidRPr="00B95F87">
        <w:t xml:space="preserve">et même </w:t>
      </w:r>
      <w:r w:rsidR="00BE63AE" w:rsidRPr="00B95F87">
        <w:t xml:space="preserve">entité devrait </w:t>
      </w:r>
      <w:r w:rsidR="00127489" w:rsidRPr="00B95F87">
        <w:t>être responsable</w:t>
      </w:r>
      <w:r w:rsidR="003202C4" w:rsidRPr="00B95F87">
        <w:t xml:space="preserve"> </w:t>
      </w:r>
      <w:r w:rsidR="00BE63AE" w:rsidRPr="00B95F87">
        <w:t xml:space="preserve">de toutes les tâches. </w:t>
      </w:r>
      <w:r w:rsidR="00982ADD" w:rsidRPr="00B95F87">
        <w:t>Cette responsabilité est actuellement à l</w:t>
      </w:r>
      <w:r w:rsidR="00B95F87" w:rsidRPr="00B95F87">
        <w:t>'</w:t>
      </w:r>
      <w:r w:rsidR="00982ADD" w:rsidRPr="00B95F87">
        <w:t>étude et devrait être confiée à l</w:t>
      </w:r>
      <w:r w:rsidR="00B95F87" w:rsidRPr="00B95F87">
        <w:t>'</w:t>
      </w:r>
      <w:r w:rsidR="00982ADD" w:rsidRPr="00B95F87">
        <w:t>administration notificatrice du réseau du SFS avec lequel communiquent les stations terriennes UA</w:t>
      </w:r>
      <w:r w:rsidR="004B7966" w:rsidRPr="00B95F87">
        <w:t>S</w:t>
      </w:r>
      <w:r w:rsidR="00982ADD" w:rsidRPr="00B95F87">
        <w:t xml:space="preserve">/CNPC. </w:t>
      </w:r>
      <w:r w:rsidR="0097386C" w:rsidRPr="00B95F87">
        <w:rPr>
          <w:u w:val="single"/>
        </w:rPr>
        <w:t>Toutefois, compte tenu de la nature de l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>exploitation, l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 xml:space="preserve">administration notificatrice de réseaux/liaisons classiques du SFS </w:t>
      </w:r>
      <w:r w:rsidR="00982ADD" w:rsidRPr="00B95F87">
        <w:rPr>
          <w:u w:val="single"/>
        </w:rPr>
        <w:t xml:space="preserve">ne sera certainement </w:t>
      </w:r>
      <w:r w:rsidR="0097386C" w:rsidRPr="00B95F87">
        <w:rPr>
          <w:u w:val="single"/>
        </w:rPr>
        <w:t>pas en mesure d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>appliquer le numéro</w:t>
      </w:r>
      <w:r w:rsidR="00982ADD" w:rsidRPr="00B95F87">
        <w:rPr>
          <w:u w:val="single"/>
        </w:rPr>
        <w:t> </w:t>
      </w:r>
      <w:r w:rsidR="0097386C" w:rsidRPr="00B95F87">
        <w:rPr>
          <w:b/>
          <w:bCs/>
          <w:u w:val="single"/>
        </w:rPr>
        <w:t>4.10</w:t>
      </w:r>
      <w:r w:rsidR="0097386C" w:rsidRPr="00B95F87">
        <w:rPr>
          <w:u w:val="single"/>
        </w:rPr>
        <w:t xml:space="preserve"> du RR aux assignations associées à la liaison utilisée pour les communications</w:t>
      </w:r>
      <w:r w:rsidR="00601126" w:rsidRPr="00B95F87">
        <w:rPr>
          <w:u w:val="single"/>
        </w:rPr>
        <w:t> </w:t>
      </w:r>
      <w:r w:rsidR="0097386C" w:rsidRPr="00B95F87">
        <w:rPr>
          <w:u w:val="single"/>
        </w:rPr>
        <w:t>CNPC d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>un système UAS, étant donné que cela modifierait le statut réglementaire d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>une assignation</w:t>
      </w:r>
      <w:r w:rsidR="00982ADD" w:rsidRPr="00B95F87">
        <w:rPr>
          <w:u w:val="single"/>
        </w:rPr>
        <w:t xml:space="preserve"> commerciale </w:t>
      </w:r>
      <w:r w:rsidR="004B7966" w:rsidRPr="00B95F87">
        <w:rPr>
          <w:u w:val="single"/>
        </w:rPr>
        <w:t>classique</w:t>
      </w:r>
      <w:r w:rsidR="0097386C" w:rsidRPr="00B95F87">
        <w:rPr>
          <w:u w:val="single"/>
        </w:rPr>
        <w:t xml:space="preserve"> vis-à-vis d</w:t>
      </w:r>
      <w:r w:rsidR="00B95F87" w:rsidRPr="00B95F87">
        <w:rPr>
          <w:u w:val="single"/>
        </w:rPr>
        <w:t>'</w:t>
      </w:r>
      <w:r w:rsidR="0097386C" w:rsidRPr="00B95F87">
        <w:rPr>
          <w:u w:val="single"/>
        </w:rPr>
        <w:t>autres assignations.</w:t>
      </w:r>
      <w:r w:rsidR="00C800B8" w:rsidRPr="00B95F87">
        <w:rPr>
          <w:u w:val="single"/>
        </w:rPr>
        <w:t xml:space="preserve"> Par conséquent, </w:t>
      </w:r>
      <w:r w:rsidR="00127489" w:rsidRPr="00B95F87">
        <w:rPr>
          <w:u w:val="single"/>
        </w:rPr>
        <w:t>bon nombre d</w:t>
      </w:r>
      <w:r w:rsidR="00B95F87" w:rsidRPr="00B95F87">
        <w:rPr>
          <w:u w:val="single"/>
        </w:rPr>
        <w:t>'</w:t>
      </w:r>
      <w:r w:rsidR="00FB0987" w:rsidRPr="00B95F87">
        <w:rPr>
          <w:u w:val="single"/>
        </w:rPr>
        <w:t xml:space="preserve">administrations pensent que </w:t>
      </w:r>
      <w:r w:rsidR="00C800B8" w:rsidRPr="00B95F87">
        <w:rPr>
          <w:u w:val="single"/>
        </w:rPr>
        <w:t xml:space="preserve">la question de la sécurité des vols outrepasse totalement les possibilités et </w:t>
      </w:r>
      <w:r w:rsidR="00127489" w:rsidRPr="00B95F87">
        <w:rPr>
          <w:u w:val="single"/>
        </w:rPr>
        <w:t>la capacité</w:t>
      </w:r>
      <w:r w:rsidR="003202C4" w:rsidRPr="00B95F87">
        <w:rPr>
          <w:u w:val="single"/>
        </w:rPr>
        <w:t xml:space="preserve"> </w:t>
      </w:r>
      <w:r w:rsidR="00C800B8" w:rsidRPr="00B95F87">
        <w:rPr>
          <w:u w:val="single"/>
        </w:rPr>
        <w:t>de l</w:t>
      </w:r>
      <w:r w:rsidR="00B95F87" w:rsidRPr="00B95F87">
        <w:rPr>
          <w:u w:val="single"/>
        </w:rPr>
        <w:t>'</w:t>
      </w:r>
      <w:r w:rsidR="00C800B8" w:rsidRPr="00B95F87">
        <w:rPr>
          <w:u w:val="single"/>
        </w:rPr>
        <w:t xml:space="preserve">administration notificatrice du réseau du SFS. </w:t>
      </w:r>
      <w:r w:rsidR="00797A70" w:rsidRPr="00B95F87">
        <w:rPr>
          <w:u w:val="single"/>
        </w:rPr>
        <w:t xml:space="preserve">Cette question </w:t>
      </w:r>
      <w:r w:rsidR="00FB0987" w:rsidRPr="00B95F87">
        <w:rPr>
          <w:u w:val="single"/>
        </w:rPr>
        <w:t>constitue</w:t>
      </w:r>
      <w:r w:rsidR="00C800B8" w:rsidRPr="00B95F87">
        <w:rPr>
          <w:u w:val="single"/>
        </w:rPr>
        <w:t xml:space="preserve"> l</w:t>
      </w:r>
      <w:r w:rsidR="00B95F87" w:rsidRPr="00B95F87">
        <w:rPr>
          <w:u w:val="single"/>
        </w:rPr>
        <w:t>'</w:t>
      </w:r>
      <w:r w:rsidR="00C800B8" w:rsidRPr="00B95F87">
        <w:rPr>
          <w:u w:val="single"/>
        </w:rPr>
        <w:t>un</w:t>
      </w:r>
      <w:r w:rsidR="00CA7BDE" w:rsidRPr="00B95F87">
        <w:rPr>
          <w:u w:val="single"/>
        </w:rPr>
        <w:t>e</w:t>
      </w:r>
      <w:r w:rsidR="00C800B8" w:rsidRPr="00B95F87">
        <w:rPr>
          <w:u w:val="single"/>
        </w:rPr>
        <w:t xml:space="preserve"> des plus </w:t>
      </w:r>
      <w:r w:rsidR="00CA7BDE" w:rsidRPr="00B95F87">
        <w:rPr>
          <w:u w:val="single"/>
        </w:rPr>
        <w:t xml:space="preserve">grandes </w:t>
      </w:r>
      <w:r w:rsidR="00C800B8" w:rsidRPr="00B95F87">
        <w:rPr>
          <w:u w:val="single"/>
        </w:rPr>
        <w:t>diffic</w:t>
      </w:r>
      <w:r w:rsidR="00CA7BDE" w:rsidRPr="00B95F87">
        <w:rPr>
          <w:u w:val="single"/>
        </w:rPr>
        <w:t>ultés</w:t>
      </w:r>
      <w:r w:rsidR="00C800B8" w:rsidRPr="00B95F87">
        <w:rPr>
          <w:u w:val="single"/>
        </w:rPr>
        <w:t xml:space="preserve"> de ce point de l</w:t>
      </w:r>
      <w:r w:rsidR="00B95F87" w:rsidRPr="00B95F87">
        <w:rPr>
          <w:u w:val="single"/>
        </w:rPr>
        <w:t>'</w:t>
      </w:r>
      <w:r w:rsidR="00C800B8" w:rsidRPr="00B95F87">
        <w:rPr>
          <w:u w:val="single"/>
        </w:rPr>
        <w:t>ordre du jour.</w:t>
      </w:r>
      <w:r w:rsidR="00C800B8" w:rsidRPr="00B95F87">
        <w:t xml:space="preserve"> En outre, pour que les liaisons</w:t>
      </w:r>
      <w:r w:rsidR="00CC71CC" w:rsidRPr="00B95F87">
        <w:t> </w:t>
      </w:r>
      <w:r w:rsidR="00C800B8" w:rsidRPr="00B95F87">
        <w:t>CNPC des systèmes</w:t>
      </w:r>
      <w:r w:rsidR="00CC71CC" w:rsidRPr="00B95F87">
        <w:t> </w:t>
      </w:r>
      <w:r w:rsidR="00C800B8" w:rsidRPr="00B95F87">
        <w:t>UAS susmentionné</w:t>
      </w:r>
      <w:r w:rsidR="00797A70" w:rsidRPr="00B95F87">
        <w:t>e</w:t>
      </w:r>
      <w:r w:rsidR="00C800B8" w:rsidRPr="00B95F87">
        <w:t>s puissent fonctionner correctement et efficacement, l</w:t>
      </w:r>
      <w:r w:rsidR="00B95F87" w:rsidRPr="00B95F87">
        <w:t>'</w:t>
      </w:r>
      <w:r w:rsidR="00C800B8" w:rsidRPr="00B95F87">
        <w:t>administration notificatrice du réseau du SFS avec lequel communique la station terrienne assurant des liaisons</w:t>
      </w:r>
      <w:r w:rsidR="00CC71CC" w:rsidRPr="00B95F87">
        <w:t> </w:t>
      </w:r>
      <w:r w:rsidR="00C800B8" w:rsidRPr="00B95F87">
        <w:t>CNPC de systèmes</w:t>
      </w:r>
      <w:r w:rsidR="00CC71CC" w:rsidRPr="00B95F87">
        <w:t> </w:t>
      </w:r>
      <w:r w:rsidR="00C800B8" w:rsidRPr="00B95F87">
        <w:t>UAS doit accepter d</w:t>
      </w:r>
      <w:r w:rsidR="00B95F87" w:rsidRPr="00B95F87">
        <w:t>'</w:t>
      </w:r>
      <w:r w:rsidR="00C800B8" w:rsidRPr="00B95F87">
        <w:t xml:space="preserve">assumer ces responsabilités générales, qui sont actuellement réparties entre </w:t>
      </w:r>
      <w:r w:rsidR="00CC71CC" w:rsidRPr="00B95F87">
        <w:t>divers</w:t>
      </w:r>
      <w:r w:rsidR="00C800B8" w:rsidRPr="00B95F87">
        <w:t xml:space="preserve"> acteurs, et </w:t>
      </w:r>
      <w:r w:rsidR="00CC71CC" w:rsidRPr="00B95F87">
        <w:t xml:space="preserve">ainsi </w:t>
      </w:r>
      <w:r w:rsidR="00C800B8" w:rsidRPr="00B95F87">
        <w:t>assurer en interne la coordination et la gestion des responsabilités avec tous les principaux acteurs participant à l</w:t>
      </w:r>
      <w:r w:rsidR="00B95F87" w:rsidRPr="00B95F87">
        <w:t>'</w:t>
      </w:r>
      <w:r w:rsidR="00C800B8" w:rsidRPr="00B95F87">
        <w:t>exécution de l</w:t>
      </w:r>
      <w:r w:rsidR="00B95F87" w:rsidRPr="00B95F87">
        <w:t>'</w:t>
      </w:r>
      <w:r w:rsidR="00C800B8" w:rsidRPr="00B95F87">
        <w:t>opération.</w:t>
      </w:r>
    </w:p>
    <w:p w14:paraId="5966A7C7" w14:textId="54999460" w:rsidR="0097386C" w:rsidRPr="00B95F87" w:rsidRDefault="00956843" w:rsidP="00B95F87">
      <w:pPr>
        <w:rPr>
          <w:u w:val="single"/>
        </w:rPr>
      </w:pPr>
      <w:r w:rsidRPr="00B95F87">
        <w:rPr>
          <w:u w:val="single"/>
        </w:rPr>
        <w:t>On ne sait absolument pas si</w:t>
      </w:r>
      <w:r w:rsidR="00C800B8" w:rsidRPr="00B95F87">
        <w:rPr>
          <w:u w:val="single"/>
        </w:rPr>
        <w:t xml:space="preserve"> l</w:t>
      </w:r>
      <w:r w:rsidR="00B95F87" w:rsidRPr="00B95F87">
        <w:rPr>
          <w:u w:val="single"/>
        </w:rPr>
        <w:t>'</w:t>
      </w:r>
      <w:r w:rsidR="00C800B8" w:rsidRPr="00B95F87">
        <w:rPr>
          <w:u w:val="single"/>
        </w:rPr>
        <w:t xml:space="preserve">administration notificatrice du réseau du SFS avec lequel </w:t>
      </w:r>
      <w:r w:rsidRPr="00B95F87">
        <w:rPr>
          <w:u w:val="single"/>
        </w:rPr>
        <w:t xml:space="preserve">communique </w:t>
      </w:r>
      <w:r w:rsidR="005536F7" w:rsidRPr="00B95F87">
        <w:rPr>
          <w:u w:val="single"/>
        </w:rPr>
        <w:t>la station terrienne assur</w:t>
      </w:r>
      <w:r w:rsidRPr="00B95F87">
        <w:rPr>
          <w:u w:val="single"/>
        </w:rPr>
        <w:t>ant</w:t>
      </w:r>
      <w:r w:rsidR="005536F7" w:rsidRPr="00B95F87">
        <w:rPr>
          <w:u w:val="single"/>
        </w:rPr>
        <w:t xml:space="preserve"> </w:t>
      </w:r>
      <w:r w:rsidR="00C800B8" w:rsidRPr="00B95F87">
        <w:rPr>
          <w:u w:val="single"/>
        </w:rPr>
        <w:t>les liaisons</w:t>
      </w:r>
      <w:r w:rsidR="002A5825" w:rsidRPr="00B95F87">
        <w:rPr>
          <w:u w:val="single"/>
        </w:rPr>
        <w:t> </w:t>
      </w:r>
      <w:r w:rsidR="00C800B8" w:rsidRPr="00B95F87">
        <w:rPr>
          <w:u w:val="single"/>
        </w:rPr>
        <w:t>CNPC des systèmes</w:t>
      </w:r>
      <w:r w:rsidR="002A5825" w:rsidRPr="00B95F87">
        <w:rPr>
          <w:u w:val="single"/>
        </w:rPr>
        <w:t> </w:t>
      </w:r>
      <w:r w:rsidR="00C800B8" w:rsidRPr="00B95F87">
        <w:rPr>
          <w:u w:val="single"/>
        </w:rPr>
        <w:t xml:space="preserve">UAS </w:t>
      </w:r>
      <w:r w:rsidRPr="00B95F87">
        <w:rPr>
          <w:u w:val="single"/>
        </w:rPr>
        <w:t xml:space="preserve">serait prête à </w:t>
      </w:r>
      <w:r w:rsidR="00C800B8" w:rsidRPr="00B95F87">
        <w:rPr>
          <w:u w:val="single"/>
        </w:rPr>
        <w:t xml:space="preserve">accepter des responsabilités aussi </w:t>
      </w:r>
      <w:r w:rsidR="00797A70" w:rsidRPr="00B95F87">
        <w:rPr>
          <w:u w:val="single"/>
        </w:rPr>
        <w:t>grandes</w:t>
      </w:r>
      <w:r w:rsidR="00C800B8" w:rsidRPr="00B95F87">
        <w:rPr>
          <w:u w:val="single"/>
        </w:rPr>
        <w:t xml:space="preserve">, </w:t>
      </w:r>
      <w:r w:rsidR="005536F7" w:rsidRPr="00B95F87">
        <w:rPr>
          <w:u w:val="single"/>
        </w:rPr>
        <w:t xml:space="preserve">lourdes </w:t>
      </w:r>
      <w:r w:rsidR="00C800B8" w:rsidRPr="00B95F87">
        <w:rPr>
          <w:u w:val="single"/>
        </w:rPr>
        <w:t>et peu claires.</w:t>
      </w:r>
      <w:r w:rsidR="00F87C38" w:rsidRPr="00B95F87">
        <w:rPr>
          <w:u w:val="single"/>
        </w:rPr>
        <w:t xml:space="preserve"> En conséquence, </w:t>
      </w:r>
      <w:r w:rsidRPr="00B95F87">
        <w:rPr>
          <w:u w:val="single"/>
        </w:rPr>
        <w:t>compte tenu d</w:t>
      </w:r>
      <w:r w:rsidR="00F87C38" w:rsidRPr="00B95F87">
        <w:rPr>
          <w:u w:val="single"/>
        </w:rPr>
        <w:t xml:space="preserve">es </w:t>
      </w:r>
      <w:r w:rsidR="00797A70" w:rsidRPr="00B95F87">
        <w:rPr>
          <w:u w:val="single"/>
        </w:rPr>
        <w:t xml:space="preserve">spécifications </w:t>
      </w:r>
      <w:r w:rsidR="00F87C38" w:rsidRPr="00B95F87">
        <w:rPr>
          <w:u w:val="single"/>
        </w:rPr>
        <w:t>techniques fournies par le GT</w:t>
      </w:r>
      <w:r w:rsidR="002A5825" w:rsidRPr="00B95F87">
        <w:rPr>
          <w:u w:val="single"/>
        </w:rPr>
        <w:t> </w:t>
      </w:r>
      <w:r w:rsidR="00F87C38" w:rsidRPr="00B95F87">
        <w:rPr>
          <w:u w:val="single"/>
        </w:rPr>
        <w:t xml:space="preserve">5B, les discussions </w:t>
      </w:r>
      <w:r w:rsidR="005508E2" w:rsidRPr="00B95F87">
        <w:rPr>
          <w:u w:val="single"/>
        </w:rPr>
        <w:t>portant</w:t>
      </w:r>
      <w:r w:rsidR="0064201E" w:rsidRPr="00B95F87">
        <w:rPr>
          <w:u w:val="single"/>
        </w:rPr>
        <w:t xml:space="preserve"> </w:t>
      </w:r>
      <w:r w:rsidR="00F87C38" w:rsidRPr="00B95F87">
        <w:rPr>
          <w:u w:val="single"/>
        </w:rPr>
        <w:t>sur les principes régissant l</w:t>
      </w:r>
      <w:r w:rsidR="00B95F87" w:rsidRPr="00B95F87">
        <w:rPr>
          <w:u w:val="single"/>
        </w:rPr>
        <w:t>'</w:t>
      </w:r>
      <w:r w:rsidR="00F87C38" w:rsidRPr="00B95F87">
        <w:rPr>
          <w:u w:val="single"/>
        </w:rPr>
        <w:t>exploitation des liaisons</w:t>
      </w:r>
      <w:r w:rsidR="002A5825" w:rsidRPr="00B95F87">
        <w:rPr>
          <w:u w:val="single"/>
        </w:rPr>
        <w:t> </w:t>
      </w:r>
      <w:r w:rsidR="00F87C38" w:rsidRPr="00B95F87">
        <w:rPr>
          <w:u w:val="single"/>
        </w:rPr>
        <w:t>CNPC des systèmes</w:t>
      </w:r>
      <w:r w:rsidR="002A5825" w:rsidRPr="00B95F87">
        <w:rPr>
          <w:u w:val="single"/>
        </w:rPr>
        <w:t> </w:t>
      </w:r>
      <w:r w:rsidR="00F87C38" w:rsidRPr="00B95F87">
        <w:rPr>
          <w:u w:val="single"/>
        </w:rPr>
        <w:t xml:space="preserve">UAS, par exemple </w:t>
      </w:r>
      <w:r w:rsidR="002A5825" w:rsidRPr="00B95F87">
        <w:rPr>
          <w:u w:val="single"/>
        </w:rPr>
        <w:t>en ce qui concerne</w:t>
      </w:r>
      <w:r w:rsidR="00F87C38" w:rsidRPr="00B95F87">
        <w:rPr>
          <w:u w:val="single"/>
        </w:rPr>
        <w:t xml:space="preserve"> les responsabilités que pourraient et devraient assumer chaque administration </w:t>
      </w:r>
      <w:r w:rsidR="00CC5482" w:rsidRPr="00B95F87">
        <w:rPr>
          <w:u w:val="single"/>
        </w:rPr>
        <w:t>à cet égard</w:t>
      </w:r>
      <w:r w:rsidR="00F87C38" w:rsidRPr="00B95F87">
        <w:rPr>
          <w:u w:val="single"/>
        </w:rPr>
        <w:t xml:space="preserve">, </w:t>
      </w:r>
      <w:r w:rsidR="00797A70" w:rsidRPr="00B95F87">
        <w:rPr>
          <w:u w:val="single"/>
        </w:rPr>
        <w:t xml:space="preserve">sont </w:t>
      </w:r>
      <w:r w:rsidR="005508E2" w:rsidRPr="00B95F87">
        <w:rPr>
          <w:u w:val="single"/>
        </w:rPr>
        <w:t>toujours en cours</w:t>
      </w:r>
      <w:r w:rsidR="001A5D22" w:rsidRPr="00B95F87">
        <w:rPr>
          <w:u w:val="single"/>
        </w:rPr>
        <w:t>,</w:t>
      </w:r>
      <w:r w:rsidR="00F87C38" w:rsidRPr="00B95F87">
        <w:rPr>
          <w:u w:val="single"/>
        </w:rPr>
        <w:t xml:space="preserve"> et il a été décidé</w:t>
      </w:r>
      <w:r w:rsidR="003202C4" w:rsidRPr="00B95F87">
        <w:rPr>
          <w:u w:val="single"/>
        </w:rPr>
        <w:t xml:space="preserve"> </w:t>
      </w:r>
      <w:r w:rsidR="00F87C38" w:rsidRPr="00B95F87">
        <w:rPr>
          <w:u w:val="single"/>
        </w:rPr>
        <w:t>de mener à</w:t>
      </w:r>
      <w:r w:rsidR="003202C4" w:rsidRPr="00B95F87">
        <w:rPr>
          <w:u w:val="single"/>
        </w:rPr>
        <w:t xml:space="preserve"> </w:t>
      </w:r>
      <w:r w:rsidR="00797A70" w:rsidRPr="00B95F87">
        <w:rPr>
          <w:u w:val="single"/>
        </w:rPr>
        <w:t xml:space="preserve">bonne fin </w:t>
      </w:r>
      <w:r w:rsidR="00F87C38" w:rsidRPr="00B95F87">
        <w:rPr>
          <w:u w:val="single"/>
        </w:rPr>
        <w:t>ces discussions avant de passer à l</w:t>
      </w:r>
      <w:r w:rsidR="00B95F87" w:rsidRPr="00B95F87">
        <w:rPr>
          <w:u w:val="single"/>
        </w:rPr>
        <w:t>'</w:t>
      </w:r>
      <w:r w:rsidR="00F87C38" w:rsidRPr="00B95F87">
        <w:rPr>
          <w:u w:val="single"/>
        </w:rPr>
        <w:t>élaboration d</w:t>
      </w:r>
      <w:r w:rsidR="00B95F87" w:rsidRPr="00B95F87">
        <w:rPr>
          <w:u w:val="single"/>
        </w:rPr>
        <w:t>'</w:t>
      </w:r>
      <w:r w:rsidR="00F87C38" w:rsidRPr="00B95F87">
        <w:rPr>
          <w:u w:val="single"/>
        </w:rPr>
        <w:t xml:space="preserve">un texte spécifique pour une </w:t>
      </w:r>
      <w:r w:rsidR="00E217D0">
        <w:rPr>
          <w:u w:val="single"/>
        </w:rPr>
        <w:t>r</w:t>
      </w:r>
      <w:r w:rsidR="00F87C38" w:rsidRPr="00B95F87">
        <w:rPr>
          <w:u w:val="single"/>
        </w:rPr>
        <w:t>ésolution</w:t>
      </w:r>
      <w:r w:rsidR="0097386C" w:rsidRPr="00B95F87">
        <w:rPr>
          <w:u w:val="single"/>
        </w:rPr>
        <w:t>.</w:t>
      </w:r>
    </w:p>
    <w:p w14:paraId="6527DD61" w14:textId="2A10790B" w:rsidR="0097386C" w:rsidRPr="00B95F87" w:rsidRDefault="00F87C38" w:rsidP="00B95F87">
      <w:r w:rsidRPr="00B95F87">
        <w:t>Contrairement à d</w:t>
      </w:r>
      <w:r w:rsidR="00B95F87" w:rsidRPr="00B95F87">
        <w:t>'</w:t>
      </w:r>
      <w:r w:rsidRPr="00B95F87">
        <w:t>autres points de l</w:t>
      </w:r>
      <w:r w:rsidR="00B95F87" w:rsidRPr="00B95F87">
        <w:t>'</w:t>
      </w:r>
      <w:r w:rsidRPr="00B95F87">
        <w:t xml:space="preserve">ordre du jour, la </w:t>
      </w:r>
      <w:r w:rsidR="002A5825" w:rsidRPr="00B95F87">
        <w:t xml:space="preserve">méthode </w:t>
      </w:r>
      <w:r w:rsidRPr="00B95F87">
        <w:t>visant à n</w:t>
      </w:r>
      <w:r w:rsidR="00B95F87" w:rsidRPr="00B95F87">
        <w:t>'</w:t>
      </w:r>
      <w:r w:rsidRPr="00B95F87">
        <w:t>apporter aucune modification</w:t>
      </w:r>
      <w:r w:rsidR="003202C4" w:rsidRPr="00B95F87">
        <w:t xml:space="preserve"> </w:t>
      </w:r>
      <w:r w:rsidR="00797A70" w:rsidRPr="00B95F87">
        <w:t xml:space="preserve">(NOC) </w:t>
      </w:r>
      <w:r w:rsidRPr="00B95F87">
        <w:t>n</w:t>
      </w:r>
      <w:r w:rsidR="00B95F87" w:rsidRPr="00B95F87">
        <w:t>'</w:t>
      </w:r>
      <w:r w:rsidRPr="00B95F87">
        <w:t>est pas</w:t>
      </w:r>
      <w:r w:rsidR="003202C4" w:rsidRPr="00B95F87">
        <w:t xml:space="preserve"> </w:t>
      </w:r>
      <w:r w:rsidR="00797A70" w:rsidRPr="00B95F87">
        <w:t xml:space="preserve">une option </w:t>
      </w:r>
      <w:r w:rsidRPr="00B95F87">
        <w:t>viable pour traiter le point de l</w:t>
      </w:r>
      <w:r w:rsidR="00B95F87" w:rsidRPr="00B95F87">
        <w:t>'</w:t>
      </w:r>
      <w:r w:rsidRPr="00B95F87">
        <w:t>ordre du jour</w:t>
      </w:r>
      <w:r w:rsidR="002A5825" w:rsidRPr="00B95F87">
        <w:t>,</w:t>
      </w:r>
      <w:r w:rsidRPr="00B95F87">
        <w:t xml:space="preserve"> car cela </w:t>
      </w:r>
      <w:r w:rsidR="00797A70" w:rsidRPr="00B95F87">
        <w:t>ne serait pas conforme au</w:t>
      </w:r>
      <w:r w:rsidR="003202C4" w:rsidRPr="00B95F87">
        <w:t xml:space="preserve"> </w:t>
      </w:r>
      <w:r w:rsidRPr="00B95F87">
        <w:t>texte et</w:t>
      </w:r>
      <w:r w:rsidR="003202C4" w:rsidRPr="00B95F87">
        <w:t xml:space="preserve"> </w:t>
      </w:r>
      <w:r w:rsidR="00797A70" w:rsidRPr="00B95F87">
        <w:t xml:space="preserve">au </w:t>
      </w:r>
      <w:r w:rsidRPr="00B95F87">
        <w:t>libellé du titre du point de l</w:t>
      </w:r>
      <w:r w:rsidR="00B95F87" w:rsidRPr="00B95F87">
        <w:t>'</w:t>
      </w:r>
      <w:r w:rsidRPr="00B95F87">
        <w:t xml:space="preserve">ordre du jour. </w:t>
      </w:r>
      <w:r w:rsidR="003A0F87" w:rsidRPr="00B95F87">
        <w:rPr>
          <w:u w:val="single"/>
        </w:rPr>
        <w:t>L</w:t>
      </w:r>
      <w:r w:rsidR="00B95F87" w:rsidRPr="00B95F87">
        <w:rPr>
          <w:u w:val="single"/>
        </w:rPr>
        <w:t>'</w:t>
      </w:r>
      <w:r w:rsidR="003A0F87" w:rsidRPr="00B95F87">
        <w:rPr>
          <w:u w:val="single"/>
        </w:rPr>
        <w:t>actuelle Résolution </w:t>
      </w:r>
      <w:r w:rsidR="003A0F87" w:rsidRPr="00B95F87">
        <w:rPr>
          <w:b/>
          <w:bCs/>
          <w:u w:val="single"/>
        </w:rPr>
        <w:t>155 (Rév.CMR-19)</w:t>
      </w:r>
      <w:r w:rsidR="003A0F87" w:rsidRPr="00B95F87">
        <w:rPr>
          <w:u w:val="single"/>
        </w:rPr>
        <w:t xml:space="preserve"> n</w:t>
      </w:r>
      <w:r w:rsidR="00B95F87" w:rsidRPr="00B95F87">
        <w:rPr>
          <w:u w:val="single"/>
        </w:rPr>
        <w:t>'</w:t>
      </w:r>
      <w:r w:rsidR="003A0F87" w:rsidRPr="00B95F87">
        <w:rPr>
          <w:u w:val="single"/>
        </w:rPr>
        <w:t>est pas applicable</w:t>
      </w:r>
      <w:r w:rsidR="00797A70" w:rsidRPr="00B95F87">
        <w:rPr>
          <w:u w:val="single"/>
        </w:rPr>
        <w:t>,</w:t>
      </w:r>
      <w:r w:rsidR="003202C4" w:rsidRPr="00B95F87">
        <w:rPr>
          <w:u w:val="single"/>
        </w:rPr>
        <w:t xml:space="preserve"> </w:t>
      </w:r>
      <w:r w:rsidR="003A0F87" w:rsidRPr="00B95F87">
        <w:rPr>
          <w:u w:val="single"/>
        </w:rPr>
        <w:t>en raison de plusieurs incohérences, lacunes et contradictions, dont certaines ont été soulevées par l</w:t>
      </w:r>
      <w:r w:rsidR="00B95F87" w:rsidRPr="00B95F87">
        <w:rPr>
          <w:u w:val="single"/>
        </w:rPr>
        <w:t>'</w:t>
      </w:r>
      <w:r w:rsidR="003A0F87" w:rsidRPr="00B95F87">
        <w:rPr>
          <w:u w:val="single"/>
        </w:rPr>
        <w:t xml:space="preserve">OACI et </w:t>
      </w:r>
      <w:r w:rsidR="00797A70" w:rsidRPr="00B95F87">
        <w:rPr>
          <w:u w:val="single"/>
        </w:rPr>
        <w:t xml:space="preserve">certaines </w:t>
      </w:r>
      <w:r w:rsidR="003A0F87" w:rsidRPr="00B95F87">
        <w:rPr>
          <w:u w:val="single"/>
        </w:rPr>
        <w:t>administrations.</w:t>
      </w:r>
      <w:r w:rsidR="002F2A1C" w:rsidRPr="00B95F87">
        <w:rPr>
          <w:u w:val="single"/>
        </w:rPr>
        <w:t xml:space="preserve"> </w:t>
      </w:r>
      <w:r w:rsidR="00797A70" w:rsidRPr="00B95F87">
        <w:rPr>
          <w:u w:val="single"/>
        </w:rPr>
        <w:t>L</w:t>
      </w:r>
      <w:r w:rsidR="002F2A1C" w:rsidRPr="00B95F87">
        <w:rPr>
          <w:u w:val="single"/>
        </w:rPr>
        <w:t>a seule option qui se présent</w:t>
      </w:r>
      <w:r w:rsidR="009F5849" w:rsidRPr="00B95F87">
        <w:rPr>
          <w:u w:val="single"/>
        </w:rPr>
        <w:t>ait</w:t>
      </w:r>
      <w:r w:rsidR="002F2A1C" w:rsidRPr="00B95F87">
        <w:rPr>
          <w:u w:val="single"/>
        </w:rPr>
        <w:t xml:space="preserve"> à l</w:t>
      </w:r>
      <w:r w:rsidR="00B95F87" w:rsidRPr="00B95F87">
        <w:rPr>
          <w:u w:val="single"/>
        </w:rPr>
        <w:t>'</w:t>
      </w:r>
      <w:r w:rsidR="002F2A1C" w:rsidRPr="00B95F87">
        <w:rPr>
          <w:u w:val="single"/>
        </w:rPr>
        <w:t xml:space="preserve">UIT-R </w:t>
      </w:r>
      <w:r w:rsidR="009F5849" w:rsidRPr="00B95F87">
        <w:rPr>
          <w:u w:val="single"/>
        </w:rPr>
        <w:t xml:space="preserve">était </w:t>
      </w:r>
      <w:r w:rsidR="002F2A1C" w:rsidRPr="00B95F87">
        <w:rPr>
          <w:u w:val="single"/>
        </w:rPr>
        <w:t>de réviser la Résolution</w:t>
      </w:r>
      <w:r w:rsidR="00797A70" w:rsidRPr="00B95F87">
        <w:rPr>
          <w:u w:val="single"/>
        </w:rPr>
        <w:t xml:space="preserve"> au sujet de laquelle aucun accord n</w:t>
      </w:r>
      <w:r w:rsidR="00B95F87" w:rsidRPr="00B95F87">
        <w:rPr>
          <w:u w:val="single"/>
        </w:rPr>
        <w:t>'</w:t>
      </w:r>
      <w:r w:rsidR="00797A70" w:rsidRPr="00B95F87">
        <w:rPr>
          <w:u w:val="single"/>
        </w:rPr>
        <w:t>avait été trouvé</w:t>
      </w:r>
      <w:r w:rsidR="002F2A1C" w:rsidRPr="00B95F87">
        <w:rPr>
          <w:u w:val="single"/>
        </w:rPr>
        <w:t>.</w:t>
      </w:r>
      <w:r w:rsidR="002F2A1C" w:rsidRPr="00B95F87">
        <w:t xml:space="preserve"> En ce qui concerne le dispositif (</w:t>
      </w:r>
      <w:r w:rsidR="002F2A1C" w:rsidRPr="00B95F87">
        <w:rPr>
          <w:i/>
          <w:iCs/>
        </w:rPr>
        <w:t>décide</w:t>
      </w:r>
      <w:r w:rsidR="002F2A1C" w:rsidRPr="00B95F87">
        <w:t xml:space="preserve">), seuls certains éléments ont été brièvement examinés et </w:t>
      </w:r>
      <w:r w:rsidR="00797A70" w:rsidRPr="00B95F87">
        <w:t xml:space="preserve">en partie </w:t>
      </w:r>
      <w:r w:rsidR="002F2A1C" w:rsidRPr="00B95F87">
        <w:t>approuvés. Le</w:t>
      </w:r>
      <w:r w:rsidR="0048426A" w:rsidRPr="00B95F87">
        <w:t>s</w:t>
      </w:r>
      <w:r w:rsidR="003202C4" w:rsidRPr="00B95F87">
        <w:t xml:space="preserve"> </w:t>
      </w:r>
      <w:r w:rsidR="00797A70" w:rsidRPr="00B95F87">
        <w:t xml:space="preserve">autres </w:t>
      </w:r>
      <w:r w:rsidR="0048426A" w:rsidRPr="00B95F87">
        <w:t>parties</w:t>
      </w:r>
      <w:r w:rsidR="002F2A1C" w:rsidRPr="00B95F87">
        <w:t xml:space="preserve">, y compris plusieurs </w:t>
      </w:r>
      <w:r w:rsidR="00797A70" w:rsidRPr="00B95F87">
        <w:t xml:space="preserve">Annexes </w:t>
      </w:r>
      <w:r w:rsidR="002F2A1C" w:rsidRPr="00B95F87">
        <w:t>de la Résolution, n</w:t>
      </w:r>
      <w:r w:rsidR="00B95F87" w:rsidRPr="00B95F87">
        <w:t>'</w:t>
      </w:r>
      <w:r w:rsidR="0048426A" w:rsidRPr="00B95F87">
        <w:t>ont</w:t>
      </w:r>
      <w:r w:rsidR="002F2A1C" w:rsidRPr="00B95F87">
        <w:t xml:space="preserve"> pas été examiné</w:t>
      </w:r>
      <w:r w:rsidR="0048426A" w:rsidRPr="00B95F87">
        <w:t>es</w:t>
      </w:r>
      <w:r w:rsidR="002F2A1C" w:rsidRPr="00B95F87">
        <w:t xml:space="preserve"> du tout. </w:t>
      </w:r>
      <w:r w:rsidR="00797A70" w:rsidRPr="00B95F87">
        <w:t>La</w:t>
      </w:r>
      <w:r w:rsidR="003202C4" w:rsidRPr="00B95F87">
        <w:t xml:space="preserve"> </w:t>
      </w:r>
      <w:r w:rsidR="002F2A1C" w:rsidRPr="00B95F87">
        <w:t>RPC23-2</w:t>
      </w:r>
      <w:r w:rsidR="00797A70" w:rsidRPr="00B95F87">
        <w:t xml:space="preserve"> n</w:t>
      </w:r>
      <w:r w:rsidR="00B95F87" w:rsidRPr="00B95F87">
        <w:t>'</w:t>
      </w:r>
      <w:r w:rsidR="00797A70" w:rsidRPr="00B95F87">
        <w:t>aura pas le temps d</w:t>
      </w:r>
      <w:r w:rsidR="00B95F87" w:rsidRPr="00B95F87">
        <w:t>'</w:t>
      </w:r>
      <w:r w:rsidR="00797A70" w:rsidRPr="00B95F87">
        <w:t>achever</w:t>
      </w:r>
      <w:r w:rsidR="003202C4" w:rsidRPr="00B95F87">
        <w:t xml:space="preserve"> </w:t>
      </w:r>
      <w:r w:rsidR="00797A70" w:rsidRPr="00B95F87">
        <w:t>l</w:t>
      </w:r>
      <w:r w:rsidR="00B95F87" w:rsidRPr="00B95F87">
        <w:t>'</w:t>
      </w:r>
      <w:r w:rsidR="00797A70" w:rsidRPr="00B95F87">
        <w:t xml:space="preserve">examen des </w:t>
      </w:r>
      <w:r w:rsidR="002F2A1C" w:rsidRPr="00B95F87">
        <w:lastRenderedPageBreak/>
        <w:t>parties qui n</w:t>
      </w:r>
      <w:r w:rsidR="00B95F87" w:rsidRPr="00B95F87">
        <w:t>'</w:t>
      </w:r>
      <w:r w:rsidR="002F2A1C" w:rsidRPr="00B95F87">
        <w:t xml:space="preserve">ont pas été </w:t>
      </w:r>
      <w:r w:rsidR="00797A70" w:rsidRPr="00B95F87">
        <w:t xml:space="preserve">étudiées </w:t>
      </w:r>
      <w:r w:rsidR="002F2A1C" w:rsidRPr="00B95F87">
        <w:t xml:space="preserve">et approuvées, </w:t>
      </w:r>
      <w:r w:rsidR="00140D51" w:rsidRPr="00B95F87">
        <w:t xml:space="preserve">car </w:t>
      </w:r>
      <w:r w:rsidR="002F2A1C" w:rsidRPr="00B95F87">
        <w:t xml:space="preserve">les </w:t>
      </w:r>
      <w:r w:rsidR="00140D51" w:rsidRPr="00B95F87">
        <w:t>débats que suscite cette question</w:t>
      </w:r>
      <w:r w:rsidR="00B07A83" w:rsidRPr="00B95F87">
        <w:t xml:space="preserve"> seront extrêmement</w:t>
      </w:r>
      <w:r w:rsidR="003202C4" w:rsidRPr="00B95F87">
        <w:t xml:space="preserve"> </w:t>
      </w:r>
      <w:r w:rsidR="00B07A83" w:rsidRPr="00B95F87">
        <w:t xml:space="preserve">intenses et </w:t>
      </w:r>
      <w:r w:rsidR="00140D51" w:rsidRPr="00B95F87">
        <w:t>dépass</w:t>
      </w:r>
      <w:r w:rsidR="00B07A83" w:rsidRPr="00B95F87">
        <w:t>eront les délais impartis</w:t>
      </w:r>
      <w:r w:rsidR="002F2A1C" w:rsidRPr="00B95F87">
        <w:t xml:space="preserve">. Par conséquent, </w:t>
      </w:r>
      <w:r w:rsidR="0040029B" w:rsidRPr="00B95F87">
        <w:t xml:space="preserve">la solution à cet épineux problème pourrait consister à supprimer </w:t>
      </w:r>
      <w:r w:rsidR="00CB1A38" w:rsidRPr="00B95F87">
        <w:t xml:space="preserve">cette Résolution, </w:t>
      </w:r>
      <w:r w:rsidR="002F2A1C" w:rsidRPr="00B95F87">
        <w:t>ainsi que la Résolution </w:t>
      </w:r>
      <w:r w:rsidR="002F2A1C" w:rsidRPr="00B95F87">
        <w:rPr>
          <w:b/>
          <w:bCs/>
        </w:rPr>
        <w:t>171 (CMR-19)</w:t>
      </w:r>
      <w:r w:rsidR="002F2A1C" w:rsidRPr="00B95F87">
        <w:t xml:space="preserve"> et le renvoi </w:t>
      </w:r>
      <w:r w:rsidR="002F2A1C" w:rsidRPr="00B95F87">
        <w:rPr>
          <w:b/>
          <w:bCs/>
        </w:rPr>
        <w:t>5.484B</w:t>
      </w:r>
      <w:r w:rsidR="002F2A1C" w:rsidRPr="00B95F87">
        <w:t xml:space="preserve"> </w:t>
      </w:r>
      <w:r w:rsidR="00620EB9" w:rsidRPr="00B95F87">
        <w:t xml:space="preserve">correspondant </w:t>
      </w:r>
      <w:r w:rsidR="002F2A1C" w:rsidRPr="00B95F87">
        <w:t>du RR</w:t>
      </w:r>
      <w:r w:rsidR="0097386C" w:rsidRPr="00B95F87">
        <w:t>.</w:t>
      </w:r>
    </w:p>
    <w:p w14:paraId="5980DF79" w14:textId="5943C72C" w:rsidR="0097386C" w:rsidRPr="00B95F87" w:rsidRDefault="00444531" w:rsidP="00B95F87">
      <w:pPr>
        <w:rPr>
          <w:u w:val="single"/>
        </w:rPr>
      </w:pPr>
      <w:r w:rsidRPr="00B95F87">
        <w:t>Il convient de souligner</w:t>
      </w:r>
      <w:r w:rsidR="00B07A83" w:rsidRPr="00B95F87">
        <w:t xml:space="preserve"> que la gestion des</w:t>
      </w:r>
      <w:r w:rsidR="003202C4" w:rsidRPr="00B95F87">
        <w:t xml:space="preserve"> </w:t>
      </w:r>
      <w:r w:rsidRPr="00B95F87">
        <w:t xml:space="preserve">brouillages concernant les assignations de </w:t>
      </w:r>
      <w:r w:rsidR="00B07A83" w:rsidRPr="00B95F87">
        <w:t>fréquence et la mise en œuvre du RR sont des questions qui doivent être traitées par les administrations membres de l</w:t>
      </w:r>
      <w:r w:rsidR="00B95F87" w:rsidRPr="00B95F87">
        <w:t>'</w:t>
      </w:r>
      <w:r w:rsidR="00B07A83" w:rsidRPr="00B95F87">
        <w:t>UIT</w:t>
      </w:r>
      <w:r w:rsidR="003202C4" w:rsidRPr="00B95F87">
        <w:t xml:space="preserve"> </w:t>
      </w:r>
      <w:r w:rsidR="00B07A83" w:rsidRPr="00B95F87">
        <w:t>et qu</w:t>
      </w:r>
      <w:r w:rsidR="00B95F87" w:rsidRPr="00B95F87">
        <w:t>'</w:t>
      </w:r>
      <w:r w:rsidR="009F314C" w:rsidRPr="00B95F87">
        <w:t>il n</w:t>
      </w:r>
      <w:r w:rsidR="00B95F87" w:rsidRPr="00B95F87">
        <w:t>'</w:t>
      </w:r>
      <w:r w:rsidR="009F314C" w:rsidRPr="00B95F87">
        <w:t>existe</w:t>
      </w:r>
      <w:r w:rsidR="003202C4" w:rsidRPr="00B95F87">
        <w:t xml:space="preserve"> </w:t>
      </w:r>
      <w:r w:rsidR="00B07A83" w:rsidRPr="00B95F87">
        <w:t xml:space="preserve">aucune </w:t>
      </w:r>
      <w:r w:rsidR="00A476B3" w:rsidRPr="00B95F87">
        <w:t>disposition ni</w:t>
      </w:r>
      <w:r w:rsidR="003202C4" w:rsidRPr="00B95F87">
        <w:t xml:space="preserve"> </w:t>
      </w:r>
      <w:r w:rsidR="00B07A83" w:rsidRPr="00B95F87">
        <w:t xml:space="preserve">aucune </w:t>
      </w:r>
      <w:r w:rsidR="009F314C" w:rsidRPr="00B95F87">
        <w:t>conclusion</w:t>
      </w:r>
      <w:r w:rsidR="00B07A83" w:rsidRPr="00B95F87">
        <w:t xml:space="preserve"> claire à cet égard</w:t>
      </w:r>
      <w:r w:rsidR="00767171" w:rsidRPr="00B95F87">
        <w:t xml:space="preserve">. </w:t>
      </w:r>
      <w:r w:rsidR="00767171" w:rsidRPr="00B95F87">
        <w:rPr>
          <w:u w:val="single"/>
        </w:rPr>
        <w:t xml:space="preserve">Toutefois, comme cela a été indiqué dans les documents </w:t>
      </w:r>
      <w:r w:rsidR="00B07A83" w:rsidRPr="00B95F87">
        <w:rPr>
          <w:u w:val="single"/>
        </w:rPr>
        <w:t>établis par</w:t>
      </w:r>
      <w:r w:rsidR="003202C4" w:rsidRPr="00B95F87">
        <w:rPr>
          <w:u w:val="single"/>
        </w:rPr>
        <w:t xml:space="preserve"> </w:t>
      </w:r>
      <w:r w:rsidR="00767171" w:rsidRPr="00B95F87">
        <w:rPr>
          <w:u w:val="single"/>
        </w:rPr>
        <w:t>l</w:t>
      </w:r>
      <w:r w:rsidR="00B95F87" w:rsidRPr="00B95F87">
        <w:rPr>
          <w:u w:val="single"/>
        </w:rPr>
        <w:t>'</w:t>
      </w:r>
      <w:r w:rsidR="00767171" w:rsidRPr="00B95F87">
        <w:rPr>
          <w:u w:val="single"/>
        </w:rPr>
        <w:t>UIT-R,</w:t>
      </w:r>
      <w:r w:rsidR="003202C4" w:rsidRPr="00B95F87">
        <w:rPr>
          <w:u w:val="single"/>
        </w:rPr>
        <w:t xml:space="preserve"> </w:t>
      </w:r>
      <w:r w:rsidR="00B07A83" w:rsidRPr="00B95F87">
        <w:rPr>
          <w:u w:val="single"/>
        </w:rPr>
        <w:t xml:space="preserve">on ne sait pas très bien comment </w:t>
      </w:r>
      <w:r w:rsidR="00767171" w:rsidRPr="00B95F87">
        <w:rPr>
          <w:u w:val="single"/>
        </w:rPr>
        <w:t xml:space="preserve">ce mécanisme de gestion des brouillages, </w:t>
      </w:r>
      <w:r w:rsidR="00B07A83" w:rsidRPr="00B95F87">
        <w:rPr>
          <w:u w:val="single"/>
        </w:rPr>
        <w:t>qui n</w:t>
      </w:r>
      <w:r w:rsidR="00B95F87" w:rsidRPr="00B95F87">
        <w:rPr>
          <w:u w:val="single"/>
        </w:rPr>
        <w:t>'</w:t>
      </w:r>
      <w:r w:rsidR="00C86432" w:rsidRPr="00B95F87">
        <w:rPr>
          <w:u w:val="single"/>
        </w:rPr>
        <w:t>exist</w:t>
      </w:r>
      <w:r w:rsidR="00B07A83" w:rsidRPr="00B95F87">
        <w:rPr>
          <w:u w:val="single"/>
        </w:rPr>
        <w:t>e pas actuellement, serait mis en œuvre</w:t>
      </w:r>
      <w:r w:rsidR="00767171" w:rsidRPr="00B95F87">
        <w:rPr>
          <w:u w:val="single"/>
        </w:rPr>
        <w:t>. Il existe également une ambiguïté concernant le niveau de brouillage causé aux stations de réception de ces liaisons, qui n</w:t>
      </w:r>
      <w:r w:rsidR="00B95F87" w:rsidRPr="00B95F87">
        <w:rPr>
          <w:u w:val="single"/>
        </w:rPr>
        <w:t>'</w:t>
      </w:r>
      <w:r w:rsidR="00767171" w:rsidRPr="00B95F87">
        <w:rPr>
          <w:u w:val="single"/>
        </w:rPr>
        <w:t>a pas encore été clarifiée dans la Résolution</w:t>
      </w:r>
      <w:r w:rsidR="0097386C" w:rsidRPr="00B95F87">
        <w:rPr>
          <w:u w:val="single"/>
        </w:rPr>
        <w:t>.</w:t>
      </w:r>
    </w:p>
    <w:p w14:paraId="2A7D6013" w14:textId="580913A3" w:rsidR="0097386C" w:rsidRPr="00B95F87" w:rsidRDefault="0097386C" w:rsidP="00B95F87">
      <w:r w:rsidRPr="00B95F87">
        <w:t>Deux méthodes ont été identifiées pour traiter le point</w:t>
      </w:r>
      <w:r w:rsidR="00C35971" w:rsidRPr="00B95F87">
        <w:t> </w:t>
      </w:r>
      <w:r w:rsidRPr="00B95F87">
        <w:t>1.8 de l</w:t>
      </w:r>
      <w:r w:rsidR="00B95F87" w:rsidRPr="00B95F87">
        <w:t>'</w:t>
      </w:r>
      <w:r w:rsidRPr="00B95F87">
        <w:t>ordre du jour de la CMR-23:</w:t>
      </w:r>
    </w:p>
    <w:p w14:paraId="099A41B9" w14:textId="4F6DDA1A" w:rsidR="0097386C" w:rsidRPr="00B95F87" w:rsidRDefault="0097386C" w:rsidP="00B95F87">
      <w:pPr>
        <w:pStyle w:val="enumlev1"/>
      </w:pPr>
      <w:r w:rsidRPr="00B95F87">
        <w:t>–</w:t>
      </w:r>
      <w:r w:rsidRPr="00B95F87">
        <w:tab/>
      </w:r>
      <w:r w:rsidR="00601126" w:rsidRPr="00B95F87">
        <w:t>S</w:t>
      </w:r>
      <w:r w:rsidRPr="00B95F87">
        <w:t>elon la Méthode</w:t>
      </w:r>
      <w:r w:rsidR="00CD7E1C" w:rsidRPr="00B95F87">
        <w:t> </w:t>
      </w:r>
      <w:r w:rsidRPr="00B95F87">
        <w:t>A, il est proposé de supprimer le numéro</w:t>
      </w:r>
      <w:r w:rsidR="00CD7E1C" w:rsidRPr="00B95F87">
        <w:t> </w:t>
      </w:r>
      <w:r w:rsidRPr="00B95F87">
        <w:rPr>
          <w:b/>
          <w:bCs/>
        </w:rPr>
        <w:t>5.484B</w:t>
      </w:r>
      <w:r w:rsidRPr="00B95F87">
        <w:t xml:space="preserve"> du RR ainsi que les Résolutions</w:t>
      </w:r>
      <w:r w:rsidR="00CD7E1C" w:rsidRPr="00B95F87">
        <w:t> </w:t>
      </w:r>
      <w:r w:rsidRPr="00B95F87">
        <w:rPr>
          <w:b/>
          <w:bCs/>
        </w:rPr>
        <w:t>155 (Rév.CMR-19)</w:t>
      </w:r>
      <w:r w:rsidRPr="00B95F87">
        <w:t xml:space="preserve"> et </w:t>
      </w:r>
      <w:r w:rsidRPr="00B95F87">
        <w:rPr>
          <w:b/>
          <w:bCs/>
        </w:rPr>
        <w:t>171 (CMR-19)</w:t>
      </w:r>
      <w:r w:rsidR="00601126" w:rsidRPr="00B95F87">
        <w:t>.</w:t>
      </w:r>
    </w:p>
    <w:p w14:paraId="6254A320" w14:textId="05544140" w:rsidR="0097386C" w:rsidRPr="00B95F87" w:rsidRDefault="0097386C" w:rsidP="00B95F87">
      <w:pPr>
        <w:pStyle w:val="enumlev1"/>
      </w:pPr>
      <w:r w:rsidRPr="00B95F87">
        <w:t>–</w:t>
      </w:r>
      <w:r w:rsidRPr="00B95F87">
        <w:tab/>
        <w:t>La Méthode</w:t>
      </w:r>
      <w:r w:rsidR="001645BD" w:rsidRPr="00B95F87">
        <w:t> </w:t>
      </w:r>
      <w:r w:rsidRPr="00B95F87">
        <w:t>B consiste à réviser la Résolution</w:t>
      </w:r>
      <w:r w:rsidR="001645BD" w:rsidRPr="00B95F87">
        <w:t> </w:t>
      </w:r>
      <w:r w:rsidRPr="00B95F87">
        <w:rPr>
          <w:b/>
        </w:rPr>
        <w:t>155</w:t>
      </w:r>
      <w:r w:rsidRPr="00B95F87">
        <w:t xml:space="preserve"> </w:t>
      </w:r>
      <w:r w:rsidRPr="00B95F87">
        <w:rPr>
          <w:b/>
        </w:rPr>
        <w:t>(Rév</w:t>
      </w:r>
      <w:r w:rsidRPr="00B95F87">
        <w:t>.</w:t>
      </w:r>
      <w:r w:rsidRPr="00B95F87">
        <w:rPr>
          <w:b/>
        </w:rPr>
        <w:t>CMR-19)</w:t>
      </w:r>
      <w:r w:rsidRPr="00B95F87">
        <w:t>, conformément à la Résolution </w:t>
      </w:r>
      <w:r w:rsidRPr="00B95F87">
        <w:rPr>
          <w:b/>
        </w:rPr>
        <w:t>171 (CMR-19)</w:t>
      </w:r>
      <w:r w:rsidRPr="00B95F87">
        <w:rPr>
          <w:bCs/>
        </w:rPr>
        <w:t xml:space="preserve">, </w:t>
      </w:r>
      <w:r w:rsidRPr="00B95F87">
        <w:t>et à supprimer en conséquence la Résolution</w:t>
      </w:r>
      <w:r w:rsidR="001645BD" w:rsidRPr="00B95F87">
        <w:t> </w:t>
      </w:r>
      <w:r w:rsidRPr="00B95F87">
        <w:rPr>
          <w:b/>
        </w:rPr>
        <w:t>171 (CMR</w:t>
      </w:r>
      <w:r w:rsidR="00601126" w:rsidRPr="00B95F87">
        <w:rPr>
          <w:b/>
        </w:rPr>
        <w:noBreakHyphen/>
      </w:r>
      <w:r w:rsidRPr="00B95F87">
        <w:rPr>
          <w:b/>
        </w:rPr>
        <w:t>19)</w:t>
      </w:r>
      <w:r w:rsidRPr="00B95F87">
        <w:t>. En outre, cette méthode prévoit la possibilité de réviser le numéro</w:t>
      </w:r>
      <w:r w:rsidR="001645BD" w:rsidRPr="00B95F87">
        <w:t> </w:t>
      </w:r>
      <w:r w:rsidRPr="00B95F87">
        <w:rPr>
          <w:b/>
        </w:rPr>
        <w:t>5.484B</w:t>
      </w:r>
      <w:r w:rsidRPr="00B95F87">
        <w:t>.</w:t>
      </w:r>
    </w:p>
    <w:p w14:paraId="5A273187" w14:textId="34E7506C" w:rsidR="0097386C" w:rsidRPr="00B95F87" w:rsidRDefault="0097386C" w:rsidP="00B95F87">
      <w:pPr>
        <w:pStyle w:val="Headingb"/>
      </w:pPr>
      <w:r w:rsidRPr="00B95F87">
        <w:t>Propositions</w:t>
      </w:r>
    </w:p>
    <w:p w14:paraId="290506F1" w14:textId="6FA9133E" w:rsidR="0097386C" w:rsidRPr="00B95F87" w:rsidRDefault="00040C3A" w:rsidP="00B95F87">
      <w:r w:rsidRPr="00B95F87">
        <w:t xml:space="preserve">Pour les raisons </w:t>
      </w:r>
      <w:r w:rsidR="00194DBA" w:rsidRPr="00B95F87">
        <w:t>exposées ci-dessus</w:t>
      </w:r>
      <w:r w:rsidRPr="00B95F87">
        <w:t>, l</w:t>
      </w:r>
      <w:r w:rsidR="00B95F87" w:rsidRPr="00B95F87">
        <w:t>'</w:t>
      </w:r>
      <w:r w:rsidRPr="00B95F87">
        <w:t>Administration de l</w:t>
      </w:r>
      <w:r w:rsidR="00B95F87" w:rsidRPr="00B95F87">
        <w:t>'</w:t>
      </w:r>
      <w:r w:rsidR="00C35971" w:rsidRPr="00B95F87">
        <w:t>Iran (</w:t>
      </w:r>
      <w:r w:rsidRPr="00B95F87">
        <w:t>République islamique d</w:t>
      </w:r>
      <w:r w:rsidR="00B95F87" w:rsidRPr="00B95F87">
        <w:t>'</w:t>
      </w:r>
      <w:r w:rsidR="00C35971" w:rsidRPr="00B95F87">
        <w:t>)</w:t>
      </w:r>
      <w:r w:rsidRPr="00B95F87">
        <w:t xml:space="preserve"> est résolument favorable à la Méthode</w:t>
      </w:r>
      <w:r w:rsidR="00636978" w:rsidRPr="00B95F87">
        <w:t> </w:t>
      </w:r>
      <w:r w:rsidRPr="00B95F87">
        <w:t xml:space="preserve">A, </w:t>
      </w:r>
      <w:r w:rsidR="00B07A83" w:rsidRPr="00B95F87">
        <w:t>qui consiste à</w:t>
      </w:r>
      <w:r w:rsidR="003202C4" w:rsidRPr="00B95F87">
        <w:t xml:space="preserve"> </w:t>
      </w:r>
      <w:r w:rsidRPr="00B95F87">
        <w:t>supprimer le numéro </w:t>
      </w:r>
      <w:r w:rsidRPr="00B95F87">
        <w:rPr>
          <w:b/>
          <w:bCs/>
        </w:rPr>
        <w:t>5.484B</w:t>
      </w:r>
      <w:r w:rsidRPr="00B95F87">
        <w:t xml:space="preserve"> du RR ainsi que les Résolution</w:t>
      </w:r>
      <w:r w:rsidR="00844B23" w:rsidRPr="00B95F87">
        <w:t>s</w:t>
      </w:r>
      <w:r w:rsidRPr="00B95F87">
        <w:t> </w:t>
      </w:r>
      <w:r w:rsidRPr="00B95F87">
        <w:rPr>
          <w:b/>
          <w:bCs/>
        </w:rPr>
        <w:t>155 (Rév.CMR-19)</w:t>
      </w:r>
      <w:r w:rsidRPr="00B95F87">
        <w:t xml:space="preserve"> et </w:t>
      </w:r>
      <w:r w:rsidRPr="00B95F87">
        <w:rPr>
          <w:b/>
          <w:bCs/>
        </w:rPr>
        <w:t>171 (CMR-19)</w:t>
      </w:r>
      <w:r w:rsidR="0097386C" w:rsidRPr="00B95F87">
        <w:t>.</w:t>
      </w:r>
    </w:p>
    <w:p w14:paraId="01AEAFF5" w14:textId="7DD7FEBD" w:rsidR="0015203F" w:rsidRPr="00B95F87" w:rsidRDefault="0015203F" w:rsidP="00B95F87">
      <w:r w:rsidRPr="00B95F87">
        <w:br w:type="page"/>
      </w:r>
    </w:p>
    <w:p w14:paraId="25A0EFFF" w14:textId="77777777" w:rsidR="00F313EF" w:rsidRPr="00B95F87" w:rsidRDefault="00505E3A" w:rsidP="00B95F87">
      <w:pPr>
        <w:pStyle w:val="ArtNo"/>
        <w:spacing w:before="0"/>
      </w:pPr>
      <w:bookmarkStart w:id="4" w:name="_Toc455752914"/>
      <w:bookmarkStart w:id="5" w:name="_Toc455756153"/>
      <w:r w:rsidRPr="00B95F87">
        <w:lastRenderedPageBreak/>
        <w:t xml:space="preserve">ARTICLE </w:t>
      </w:r>
      <w:r w:rsidRPr="00B95F87">
        <w:rPr>
          <w:rStyle w:val="href"/>
          <w:color w:val="000000"/>
        </w:rPr>
        <w:t>5</w:t>
      </w:r>
      <w:bookmarkEnd w:id="4"/>
      <w:bookmarkEnd w:id="5"/>
    </w:p>
    <w:p w14:paraId="2A23C0A3" w14:textId="77777777" w:rsidR="00F313EF" w:rsidRPr="00B95F87" w:rsidRDefault="00505E3A" w:rsidP="00B95F87">
      <w:pPr>
        <w:pStyle w:val="Arttitle"/>
      </w:pPr>
      <w:bookmarkStart w:id="6" w:name="_Toc455752915"/>
      <w:bookmarkStart w:id="7" w:name="_Toc455756154"/>
      <w:r w:rsidRPr="00B95F87">
        <w:t>Attribution des bandes de fréquences</w:t>
      </w:r>
      <w:bookmarkEnd w:id="6"/>
      <w:bookmarkEnd w:id="7"/>
    </w:p>
    <w:p w14:paraId="38A20422" w14:textId="6C5AE5DF" w:rsidR="00F313EF" w:rsidRPr="00B95F87" w:rsidRDefault="00505E3A" w:rsidP="00B95F87">
      <w:pPr>
        <w:pStyle w:val="Section1"/>
        <w:keepNext/>
        <w:rPr>
          <w:b w:val="0"/>
          <w:color w:val="000000"/>
        </w:rPr>
      </w:pPr>
      <w:r w:rsidRPr="00B95F87">
        <w:t>Section IV – Tableau d</w:t>
      </w:r>
      <w:r w:rsidR="00B95F87" w:rsidRPr="00B95F87">
        <w:t>'</w:t>
      </w:r>
      <w:r w:rsidRPr="00B95F87">
        <w:t>attribution des bandes de fréquences</w:t>
      </w:r>
      <w:r w:rsidRPr="00B95F87">
        <w:br/>
      </w:r>
      <w:r w:rsidRPr="00B95F87">
        <w:rPr>
          <w:b w:val="0"/>
          <w:bCs/>
        </w:rPr>
        <w:t xml:space="preserve">(Voir le numéro </w:t>
      </w:r>
      <w:r w:rsidRPr="00B95F87">
        <w:t>2.1</w:t>
      </w:r>
      <w:r w:rsidRPr="00B95F87">
        <w:rPr>
          <w:b w:val="0"/>
          <w:bCs/>
        </w:rPr>
        <w:t>)</w:t>
      </w:r>
      <w:r w:rsidRPr="00B95F87">
        <w:rPr>
          <w:b w:val="0"/>
          <w:color w:val="000000"/>
        </w:rPr>
        <w:br/>
      </w:r>
    </w:p>
    <w:p w14:paraId="3A855ACD" w14:textId="77777777" w:rsidR="00DA4989" w:rsidRPr="00827544" w:rsidRDefault="00505E3A" w:rsidP="00B95F87">
      <w:pPr>
        <w:pStyle w:val="Proposal"/>
        <w:rPr>
          <w:lang w:val="en-GB"/>
        </w:rPr>
      </w:pPr>
      <w:r w:rsidRPr="00827544">
        <w:rPr>
          <w:lang w:val="en-GB"/>
        </w:rPr>
        <w:t>SUP</w:t>
      </w:r>
      <w:r w:rsidRPr="00827544">
        <w:rPr>
          <w:lang w:val="en-GB"/>
        </w:rPr>
        <w:tab/>
        <w:t>IRN/148A8/1</w:t>
      </w:r>
      <w:r w:rsidRPr="00827544">
        <w:rPr>
          <w:vanish/>
          <w:color w:val="7F7F7F" w:themeColor="text1" w:themeTint="80"/>
          <w:vertAlign w:val="superscript"/>
          <w:lang w:val="en-GB"/>
        </w:rPr>
        <w:t>#1612</w:t>
      </w:r>
    </w:p>
    <w:p w14:paraId="28F94B22" w14:textId="77777777" w:rsidR="00F313EF" w:rsidRPr="00827544" w:rsidRDefault="00505E3A" w:rsidP="00B95F87">
      <w:pPr>
        <w:pStyle w:val="Note"/>
        <w:rPr>
          <w:szCs w:val="24"/>
          <w:lang w:val="en-GB"/>
        </w:rPr>
      </w:pPr>
      <w:r w:rsidRPr="00827544">
        <w:rPr>
          <w:rStyle w:val="Artdef"/>
          <w:lang w:val="en-GB"/>
        </w:rPr>
        <w:t>5.484B</w:t>
      </w:r>
    </w:p>
    <w:p w14:paraId="7EC416F6" w14:textId="77777777" w:rsidR="00DA4989" w:rsidRPr="00827544" w:rsidRDefault="00DA4989" w:rsidP="00B95F87">
      <w:pPr>
        <w:pStyle w:val="Reasons"/>
        <w:rPr>
          <w:lang w:val="en-GB"/>
        </w:rPr>
      </w:pPr>
    </w:p>
    <w:p w14:paraId="43B1E3BD" w14:textId="77777777" w:rsidR="00DA4989" w:rsidRPr="00827544" w:rsidRDefault="00505E3A" w:rsidP="00B95F87">
      <w:pPr>
        <w:pStyle w:val="Proposal"/>
        <w:rPr>
          <w:lang w:val="en-GB"/>
        </w:rPr>
      </w:pPr>
      <w:r w:rsidRPr="00827544">
        <w:rPr>
          <w:lang w:val="en-GB"/>
        </w:rPr>
        <w:t>SUP</w:t>
      </w:r>
      <w:r w:rsidRPr="00827544">
        <w:rPr>
          <w:lang w:val="en-GB"/>
        </w:rPr>
        <w:tab/>
        <w:t>IRN/148A8/2</w:t>
      </w:r>
      <w:r w:rsidRPr="00827544">
        <w:rPr>
          <w:vanish/>
          <w:color w:val="7F7F7F" w:themeColor="text1" w:themeTint="80"/>
          <w:vertAlign w:val="superscript"/>
          <w:lang w:val="en-GB"/>
        </w:rPr>
        <w:t>#1613</w:t>
      </w:r>
    </w:p>
    <w:p w14:paraId="1A7A939E" w14:textId="77777777" w:rsidR="00F313EF" w:rsidRPr="00B95F87" w:rsidRDefault="00505E3A" w:rsidP="00B95F87">
      <w:pPr>
        <w:pStyle w:val="ResNo"/>
      </w:pPr>
      <w:bookmarkStart w:id="8" w:name="_Toc35933759"/>
      <w:r w:rsidRPr="00B95F87">
        <w:t xml:space="preserve">RÉSOLUTION </w:t>
      </w:r>
      <w:r w:rsidRPr="00B95F87">
        <w:rPr>
          <w:rStyle w:val="href"/>
        </w:rPr>
        <w:t>155</w:t>
      </w:r>
      <w:r w:rsidRPr="00B95F87">
        <w:t xml:space="preserve"> (RÉV.CMR-19)</w:t>
      </w:r>
      <w:bookmarkEnd w:id="8"/>
    </w:p>
    <w:p w14:paraId="6B7DD296" w14:textId="5B21CC24" w:rsidR="00F313EF" w:rsidRPr="00B95F87" w:rsidRDefault="00505E3A" w:rsidP="00B95F87">
      <w:pPr>
        <w:pStyle w:val="Restitle"/>
      </w:pPr>
      <w:r w:rsidRPr="00B95F87">
        <w:t>Dispositions réglementaires relatives aux stations terriennes à bord d</w:t>
      </w:r>
      <w:r w:rsidR="00B95F87" w:rsidRPr="00B95F87">
        <w:t>'</w:t>
      </w:r>
      <w:r w:rsidRPr="00B95F87">
        <w:t>un aéronef sans pilote qui fonctionnent avec des réseaux à satellite géostationnaire du service fixe par satellite dans certaines bandes de fréquences ne relevant pas d</w:t>
      </w:r>
      <w:r w:rsidR="00B95F87" w:rsidRPr="00B95F87">
        <w:t>'</w:t>
      </w:r>
      <w:r w:rsidRPr="00B95F87">
        <w:t>un Plan des Appendices 30, 30A et 30B pour les communications</w:t>
      </w:r>
      <w:r w:rsidRPr="00B95F87">
        <w:br/>
        <w:t>de contrôle et non associées à la charge utile des systèmes d</w:t>
      </w:r>
      <w:r w:rsidR="00B95F87" w:rsidRPr="00B95F87">
        <w:t>'</w:t>
      </w:r>
      <w:r w:rsidRPr="00B95F87">
        <w:t>aéronef</w:t>
      </w:r>
      <w:r w:rsidRPr="00B95F87">
        <w:br/>
        <w:t>sans pilote dans des espaces aériens non réservés</w:t>
      </w:r>
      <w:r w:rsidRPr="00B95F87">
        <w:rPr>
          <w:vertAlign w:val="superscript"/>
          <w:lang w:eastAsia="zh-CN"/>
        </w:rPr>
        <w:t>*</w:t>
      </w:r>
    </w:p>
    <w:p w14:paraId="5504BB8D" w14:textId="77777777" w:rsidR="00DA4989" w:rsidRPr="00B95F87" w:rsidRDefault="00DA4989" w:rsidP="00B95F87">
      <w:pPr>
        <w:pStyle w:val="Reasons"/>
      </w:pPr>
    </w:p>
    <w:p w14:paraId="319C0231" w14:textId="77777777" w:rsidR="00DA4989" w:rsidRPr="00B95F87" w:rsidRDefault="00505E3A" w:rsidP="00B95F87">
      <w:pPr>
        <w:pStyle w:val="Proposal"/>
      </w:pPr>
      <w:r w:rsidRPr="00B95F87">
        <w:t>SUP</w:t>
      </w:r>
      <w:r w:rsidRPr="00B95F87">
        <w:tab/>
        <w:t>IRN/148A8/3</w:t>
      </w:r>
      <w:r w:rsidRPr="00B95F87">
        <w:rPr>
          <w:vanish/>
          <w:color w:val="7F7F7F" w:themeColor="text1" w:themeTint="80"/>
          <w:vertAlign w:val="superscript"/>
        </w:rPr>
        <w:t>#1614</w:t>
      </w:r>
    </w:p>
    <w:p w14:paraId="490CCFD7" w14:textId="77777777" w:rsidR="00F313EF" w:rsidRPr="00B95F87" w:rsidRDefault="00505E3A" w:rsidP="00B95F87">
      <w:pPr>
        <w:pStyle w:val="ResNo"/>
      </w:pPr>
      <w:r w:rsidRPr="00B95F87">
        <w:t>RÉSOLUTION 171 (CMR-19)</w:t>
      </w:r>
    </w:p>
    <w:p w14:paraId="0B8E543C" w14:textId="5C26AFA9" w:rsidR="00F313EF" w:rsidRPr="00B95F87" w:rsidRDefault="00505E3A" w:rsidP="00B95F87">
      <w:pPr>
        <w:pStyle w:val="Restitle"/>
      </w:pPr>
      <w:r w:rsidRPr="00B95F87">
        <w:t xml:space="preserve">Examen et révision éventuelle de la Résolution 155 (Rév.CMR-19) et du numéro 5.484B dans les bandes de fréquences auxquelles les dispositions </w:t>
      </w:r>
      <w:r w:rsidRPr="00B95F87">
        <w:br/>
        <w:t>de cette Résolution et de ce numéro s</w:t>
      </w:r>
      <w:r w:rsidR="00B95F87" w:rsidRPr="00B95F87">
        <w:t>'</w:t>
      </w:r>
      <w:r w:rsidRPr="00B95F87">
        <w:t>appliquent</w:t>
      </w:r>
    </w:p>
    <w:p w14:paraId="6E422F33" w14:textId="7992DD11" w:rsidR="00DA4989" w:rsidRPr="00B95F87" w:rsidRDefault="00505E3A" w:rsidP="00B95F87">
      <w:pPr>
        <w:pStyle w:val="Reasons"/>
      </w:pPr>
      <w:r w:rsidRPr="00B95F87">
        <w:rPr>
          <w:b/>
        </w:rPr>
        <w:t>Motifs:</w:t>
      </w:r>
      <w:r w:rsidRPr="00B95F87">
        <w:tab/>
      </w:r>
      <w:r w:rsidR="00AC62AA" w:rsidRPr="00B95F87">
        <w:t>La Résolution </w:t>
      </w:r>
      <w:r w:rsidR="00AC62AA" w:rsidRPr="00B95F87">
        <w:rPr>
          <w:b/>
          <w:bCs/>
        </w:rPr>
        <w:t>171 (CMR-19)</w:t>
      </w:r>
      <w:r w:rsidR="00AC62AA" w:rsidRPr="00B95F87">
        <w:t xml:space="preserve"> prescrit un examen et une révision éventuelle de la Résolution </w:t>
      </w:r>
      <w:r w:rsidR="00AC62AA" w:rsidRPr="00B95F87">
        <w:rPr>
          <w:b/>
          <w:bCs/>
        </w:rPr>
        <w:t>155 (Rév.CMR-19)</w:t>
      </w:r>
      <w:r w:rsidR="00AC62AA" w:rsidRPr="00B95F87">
        <w:t>, étant donné que cette Résolution, sous sa forme actuelle, ne permet pa</w:t>
      </w:r>
      <w:r w:rsidR="00686403" w:rsidRPr="00B95F87">
        <w:t>s</w:t>
      </w:r>
      <w:r w:rsidR="00AC62AA" w:rsidRPr="00B95F87">
        <w:t xml:space="preserve"> l</w:t>
      </w:r>
      <w:r w:rsidR="00B95F87" w:rsidRPr="00B95F87">
        <w:t>'</w:t>
      </w:r>
      <w:r w:rsidR="00AC62AA" w:rsidRPr="00B95F87">
        <w:t xml:space="preserve">exploitation des stations terriennes associées à </w:t>
      </w:r>
      <w:r w:rsidR="00194DBA" w:rsidRPr="00B95F87">
        <w:t xml:space="preserve">des </w:t>
      </w:r>
      <w:r w:rsidR="00AC62AA" w:rsidRPr="00B95F87">
        <w:t>aéronef</w:t>
      </w:r>
      <w:r w:rsidR="00194DBA" w:rsidRPr="00B95F87">
        <w:t>s</w:t>
      </w:r>
      <w:r w:rsidR="00BE13F9" w:rsidRPr="00B95F87">
        <w:t xml:space="preserve"> </w:t>
      </w:r>
      <w:r w:rsidR="00AC62AA" w:rsidRPr="00B95F87">
        <w:t>UA. Ce point de l</w:t>
      </w:r>
      <w:r w:rsidR="00B95F87" w:rsidRPr="00B95F87">
        <w:t>'</w:t>
      </w:r>
      <w:r w:rsidR="00AC62AA" w:rsidRPr="00B95F87">
        <w:t>ordre du jour découle du point 1.3 de l</w:t>
      </w:r>
      <w:r w:rsidR="00B95F87" w:rsidRPr="00B95F87">
        <w:t>'</w:t>
      </w:r>
      <w:r w:rsidR="00AC62AA" w:rsidRPr="00B95F87">
        <w:t>ordre du jour de la CMR-12 et du point 1.5 de l</w:t>
      </w:r>
      <w:r w:rsidR="00B95F87" w:rsidRPr="00B95F87">
        <w:t>'</w:t>
      </w:r>
      <w:r w:rsidR="00AC62AA" w:rsidRPr="00B95F87">
        <w:t>ordre du jour de la</w:t>
      </w:r>
      <w:r w:rsidR="00C76BF2" w:rsidRPr="00B95F87">
        <w:t> </w:t>
      </w:r>
      <w:r w:rsidR="00AC62AA" w:rsidRPr="00B95F87">
        <w:t>CMR</w:t>
      </w:r>
      <w:r w:rsidR="00601126" w:rsidRPr="00B95F87">
        <w:noBreakHyphen/>
      </w:r>
      <w:r w:rsidR="00AC62AA" w:rsidRPr="00B95F87">
        <w:t>15, ainsi que de l</w:t>
      </w:r>
      <w:r w:rsidR="00B95F87" w:rsidRPr="00B95F87">
        <w:t>'</w:t>
      </w:r>
      <w:r w:rsidR="00AC62AA" w:rsidRPr="00B95F87">
        <w:t>examen de cette question par la CMR-19, qui a donné lieu à l</w:t>
      </w:r>
      <w:r w:rsidR="00B95F87" w:rsidRPr="00B95F87">
        <w:t>'</w:t>
      </w:r>
      <w:r w:rsidR="00AC62AA" w:rsidRPr="00B95F87">
        <w:t>élaboration de la Résolution </w:t>
      </w:r>
      <w:r w:rsidR="00AC62AA" w:rsidRPr="00B95F87">
        <w:rPr>
          <w:b/>
          <w:bCs/>
        </w:rPr>
        <w:t>171 (CMR-19)</w:t>
      </w:r>
      <w:r w:rsidR="00AC62AA" w:rsidRPr="00B95F87">
        <w:t>. Au terme de plus de dix ans d</w:t>
      </w:r>
      <w:r w:rsidR="00B95F87" w:rsidRPr="00B95F87">
        <w:t>'</w:t>
      </w:r>
      <w:r w:rsidR="00AC62AA" w:rsidRPr="00B95F87">
        <w:t>études approfondies, certains problèmes essentiels n</w:t>
      </w:r>
      <w:r w:rsidR="00B95F87" w:rsidRPr="00B95F87">
        <w:t>'</w:t>
      </w:r>
      <w:r w:rsidR="00AC62AA" w:rsidRPr="00B95F87">
        <w:t>ont toujours pas été résolus, en particulier la contradiction entre la vocation de sécurité de l</w:t>
      </w:r>
      <w:r w:rsidR="00B95F87" w:rsidRPr="00B95F87">
        <w:t>'</w:t>
      </w:r>
      <w:r w:rsidR="00AC62AA" w:rsidRPr="00B95F87">
        <w:t>exploitation des systèmes</w:t>
      </w:r>
      <w:r w:rsidR="00BE13F9" w:rsidRPr="00B95F87">
        <w:t xml:space="preserve"> </w:t>
      </w:r>
      <w:r w:rsidR="00AC62AA" w:rsidRPr="00B95F87">
        <w:t>UAS et le fait que le service fixe par satellite n</w:t>
      </w:r>
      <w:r w:rsidR="00B95F87" w:rsidRPr="00B95F87">
        <w:t>'</w:t>
      </w:r>
      <w:r w:rsidR="00AC62AA" w:rsidRPr="00B95F87">
        <w:t>a pas trait à la sécurité</w:t>
      </w:r>
      <w:r w:rsidR="00406033" w:rsidRPr="00B95F87">
        <w:t>.</w:t>
      </w:r>
    </w:p>
    <w:p w14:paraId="24449A1D" w14:textId="570F2689" w:rsidR="00406033" w:rsidRPr="00B95F87" w:rsidRDefault="002D3728" w:rsidP="00827544">
      <w:pPr>
        <w:spacing w:before="0"/>
      </w:pPr>
      <w:r w:rsidRPr="00B95F87">
        <w:t xml:space="preserve">Les bandes de fréquences du SFS identifiées au point 1 du </w:t>
      </w:r>
      <w:r w:rsidRPr="00B95F87">
        <w:rPr>
          <w:i/>
          <w:iCs/>
        </w:rPr>
        <w:t>décide</w:t>
      </w:r>
      <w:r w:rsidRPr="00B95F87">
        <w:t xml:space="preserve"> de la Résolution </w:t>
      </w:r>
      <w:r w:rsidRPr="00B95F87">
        <w:rPr>
          <w:b/>
          <w:bCs/>
        </w:rPr>
        <w:t>155 (Rév.CMR</w:t>
      </w:r>
      <w:r w:rsidR="00601126" w:rsidRPr="00B95F87">
        <w:rPr>
          <w:b/>
          <w:bCs/>
        </w:rPr>
        <w:noBreakHyphen/>
      </w:r>
      <w:r w:rsidRPr="00B95F87">
        <w:rPr>
          <w:b/>
          <w:bCs/>
        </w:rPr>
        <w:t>19)</w:t>
      </w:r>
      <w:r w:rsidRPr="00B95F87">
        <w:t xml:space="preserve"> sont très encombrées et sont exposées à des brouillages à intervalles réguliers, y</w:t>
      </w:r>
      <w:r w:rsidR="00601126" w:rsidRPr="00B95F87">
        <w:t> </w:t>
      </w:r>
      <w:r w:rsidRPr="00B95F87">
        <w:t>compris en ce qui concerne les réseaux du SFS pour lesquels l</w:t>
      </w:r>
      <w:r w:rsidR="00B95F87" w:rsidRPr="00B95F87">
        <w:t>'</w:t>
      </w:r>
      <w:r w:rsidRPr="00B95F87">
        <w:t>ensemble de la coordination a été menée à bonne fin.</w:t>
      </w:r>
      <w:r w:rsidR="00A24A7C" w:rsidRPr="00B95F87">
        <w:t xml:space="preserve"> Par conséquent, les liaisons de communication</w:t>
      </w:r>
      <w:r w:rsidR="00BE13F9" w:rsidRPr="00B95F87">
        <w:t xml:space="preserve"> </w:t>
      </w:r>
      <w:r w:rsidR="00A24A7C" w:rsidRPr="00B95F87">
        <w:t>CNPC des systèmes</w:t>
      </w:r>
      <w:r w:rsidR="00BE13F9" w:rsidRPr="00B95F87">
        <w:t xml:space="preserve"> </w:t>
      </w:r>
      <w:r w:rsidR="00A24A7C" w:rsidRPr="00B95F87">
        <w:t>UAS assurées par l</w:t>
      </w:r>
      <w:r w:rsidR="00B95F87" w:rsidRPr="00B95F87">
        <w:t>'</w:t>
      </w:r>
      <w:r w:rsidR="00A24A7C" w:rsidRPr="00B95F87">
        <w:t xml:space="preserve">intermédiaire du SFS peuvent être interrompues par diverses formes de brouillages et </w:t>
      </w:r>
      <w:r w:rsidR="00A24A7C" w:rsidRPr="00B95F87">
        <w:lastRenderedPageBreak/>
        <w:t>ne sont donc pas suffisamment robustes, ce qui pourrait avoir des incidences négatives sur la capacité de fournir la qualité de service nécessaire pour garantir la sécurité d</w:t>
      </w:r>
      <w:r w:rsidR="00B95F87" w:rsidRPr="00B95F87">
        <w:t>'</w:t>
      </w:r>
      <w:r w:rsidR="00A24A7C" w:rsidRPr="00B95F87">
        <w:t>exploitation, voire rendre toute exploitation impossible. L</w:t>
      </w:r>
      <w:r w:rsidR="00B95F87" w:rsidRPr="00B95F87">
        <w:t>'</w:t>
      </w:r>
      <w:r w:rsidR="00A24A7C" w:rsidRPr="00B95F87">
        <w:t>interruption des liaisons</w:t>
      </w:r>
      <w:r w:rsidR="00BE13F9" w:rsidRPr="00B95F87">
        <w:t xml:space="preserve"> </w:t>
      </w:r>
      <w:r w:rsidR="00A24A7C" w:rsidRPr="00B95F87">
        <w:t xml:space="preserve">CNPC constituerait ainsi un incident </w:t>
      </w:r>
      <w:proofErr w:type="gramStart"/>
      <w:r w:rsidR="00A24A7C" w:rsidRPr="00B95F87">
        <w:t>ayant</w:t>
      </w:r>
      <w:proofErr w:type="gramEnd"/>
      <w:r w:rsidR="00A24A7C" w:rsidRPr="00B95F87">
        <w:t xml:space="preserve"> des conséquences pour la sécurité de l</w:t>
      </w:r>
      <w:r w:rsidR="00B95F87" w:rsidRPr="00B95F87">
        <w:t>'</w:t>
      </w:r>
      <w:r w:rsidR="00A24A7C" w:rsidRPr="00B95F87">
        <w:t>aviation, y compris la sécurité des personnes</w:t>
      </w:r>
      <w:r w:rsidR="00406033" w:rsidRPr="00B95F87">
        <w:t>.</w:t>
      </w:r>
    </w:p>
    <w:p w14:paraId="48BA558F" w14:textId="5F618555" w:rsidR="003202C4" w:rsidRPr="00B95F87" w:rsidRDefault="00FC2818" w:rsidP="00827544">
      <w:pPr>
        <w:spacing w:before="0"/>
      </w:pPr>
      <w:r w:rsidRPr="00B95F87">
        <w:t>Aucune solution satisfaisante n</w:t>
      </w:r>
      <w:r w:rsidR="00B95F87" w:rsidRPr="00B95F87">
        <w:t>'</w:t>
      </w:r>
      <w:r w:rsidRPr="00B95F87">
        <w:t>ayant été identifiée pour l</w:t>
      </w:r>
      <w:r w:rsidR="00B95F87" w:rsidRPr="00B95F87">
        <w:t>'</w:t>
      </w:r>
      <w:r w:rsidRPr="00B95F87">
        <w:t>exploitation des stations terriennes associées à un aéronef</w:t>
      </w:r>
      <w:r w:rsidR="00BE13F9" w:rsidRPr="00B95F87">
        <w:t xml:space="preserve"> </w:t>
      </w:r>
      <w:r w:rsidRPr="00B95F87">
        <w:t>UA, il serait donc nécessaire de supprimer le numéro </w:t>
      </w:r>
      <w:r w:rsidRPr="00B95F87">
        <w:rPr>
          <w:b/>
          <w:bCs/>
        </w:rPr>
        <w:t>5.484B</w:t>
      </w:r>
      <w:r w:rsidRPr="00B95F87">
        <w:t xml:space="preserve"> du RR, ainsi que les Résolutions </w:t>
      </w:r>
      <w:r w:rsidRPr="00B95F87">
        <w:rPr>
          <w:b/>
          <w:bCs/>
        </w:rPr>
        <w:t>155 (Rév.CMR-19)</w:t>
      </w:r>
      <w:r w:rsidRPr="00B95F87">
        <w:t xml:space="preserve"> et </w:t>
      </w:r>
      <w:r w:rsidRPr="00B95F87">
        <w:rPr>
          <w:b/>
          <w:bCs/>
        </w:rPr>
        <w:t>171 (CMR-19)</w:t>
      </w:r>
      <w:r w:rsidR="00406033" w:rsidRPr="00B95F87">
        <w:t>.</w:t>
      </w:r>
    </w:p>
    <w:p w14:paraId="0F69EF50" w14:textId="77777777" w:rsidR="00406033" w:rsidRPr="00B95F87" w:rsidRDefault="00406033" w:rsidP="00B95F87">
      <w:pPr>
        <w:jc w:val="center"/>
      </w:pPr>
      <w:r w:rsidRPr="00B95F87">
        <w:t>______________</w:t>
      </w:r>
    </w:p>
    <w:sectPr w:rsidR="00406033" w:rsidRPr="00B95F8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8313" w14:textId="77777777" w:rsidR="00175C7E" w:rsidRDefault="00175C7E">
      <w:r>
        <w:separator/>
      </w:r>
    </w:p>
  </w:endnote>
  <w:endnote w:type="continuationSeparator" w:id="0">
    <w:p w14:paraId="227F10F1" w14:textId="77777777" w:rsidR="00175C7E" w:rsidRDefault="001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88F4" w14:textId="401969E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7544">
      <w:rPr>
        <w:noProof/>
      </w:rPr>
      <w:t>18.11.23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6C90" w14:textId="300DEA39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126" w:rsidRPr="00601126">
      <w:rPr>
        <w:lang w:val="en-US"/>
      </w:rPr>
      <w:t>P:\FRA\ITU-R\CONF-R\CMR23\100</w:t>
    </w:r>
    <w:r w:rsidR="00601126">
      <w:rPr>
        <w:lang w:val="en-US"/>
      </w:rPr>
      <w:t>\148ADD08F.docx</w:t>
    </w:r>
    <w:r>
      <w:fldChar w:fldCharType="end"/>
    </w:r>
    <w:r w:rsidR="00505E3A" w:rsidRPr="00844B23">
      <w:rPr>
        <w:lang w:val="en-US"/>
      </w:rPr>
      <w:t xml:space="preserve"> (530406)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54E9" w14:textId="699B83F6" w:rsidR="00936D25" w:rsidRPr="00601126" w:rsidRDefault="00601126" w:rsidP="0060112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Pr="00601126">
      <w:rPr>
        <w:lang w:val="en-US"/>
      </w:rPr>
      <w:t>P:\FRA\ITU-R\CONF-R\CMR23\100</w:t>
    </w:r>
    <w:r>
      <w:rPr>
        <w:lang w:val="en-US"/>
      </w:rPr>
      <w:t>\148ADD08F.docx</w:t>
    </w:r>
    <w:r>
      <w:fldChar w:fldCharType="end"/>
    </w:r>
    <w:r w:rsidRPr="00844B23">
      <w:rPr>
        <w:lang w:val="en-US"/>
      </w:rPr>
      <w:t xml:space="preserve"> (530406)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4D94" w14:textId="77777777" w:rsidR="00175C7E" w:rsidRDefault="00175C7E">
      <w:r>
        <w:rPr>
          <w:b/>
        </w:rPr>
        <w:t>_______________</w:t>
      </w:r>
    </w:p>
  </w:footnote>
  <w:footnote w:type="continuationSeparator" w:id="0">
    <w:p w14:paraId="11C9AB7C" w14:textId="77777777" w:rsidR="00175C7E" w:rsidRDefault="0017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86F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4C0EC4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148(Add.8)-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9474925">
    <w:abstractNumId w:val="0"/>
  </w:num>
  <w:num w:numId="2" w16cid:durableId="16824629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0C3A"/>
    <w:rsid w:val="00063A1F"/>
    <w:rsid w:val="00080E2C"/>
    <w:rsid w:val="00081366"/>
    <w:rsid w:val="000863B3"/>
    <w:rsid w:val="000A4755"/>
    <w:rsid w:val="000A55AE"/>
    <w:rsid w:val="000B1AD9"/>
    <w:rsid w:val="000B2E0C"/>
    <w:rsid w:val="000B3D0C"/>
    <w:rsid w:val="000F03E2"/>
    <w:rsid w:val="001167B9"/>
    <w:rsid w:val="001267A0"/>
    <w:rsid w:val="00127489"/>
    <w:rsid w:val="00133FEB"/>
    <w:rsid w:val="00140D51"/>
    <w:rsid w:val="0015203F"/>
    <w:rsid w:val="00160C64"/>
    <w:rsid w:val="001645BD"/>
    <w:rsid w:val="00175C7E"/>
    <w:rsid w:val="0018169B"/>
    <w:rsid w:val="0019352B"/>
    <w:rsid w:val="00194DBA"/>
    <w:rsid w:val="001960D0"/>
    <w:rsid w:val="00196238"/>
    <w:rsid w:val="001A11F6"/>
    <w:rsid w:val="001A5D22"/>
    <w:rsid w:val="001F17E8"/>
    <w:rsid w:val="00204306"/>
    <w:rsid w:val="00225CF2"/>
    <w:rsid w:val="00225D30"/>
    <w:rsid w:val="00232FD2"/>
    <w:rsid w:val="0026554E"/>
    <w:rsid w:val="002A4622"/>
    <w:rsid w:val="002A5825"/>
    <w:rsid w:val="002A6F8F"/>
    <w:rsid w:val="002B17E5"/>
    <w:rsid w:val="002C0EBF"/>
    <w:rsid w:val="002C23D1"/>
    <w:rsid w:val="002C28A4"/>
    <w:rsid w:val="002D3728"/>
    <w:rsid w:val="002D7E0A"/>
    <w:rsid w:val="002F2A1C"/>
    <w:rsid w:val="00302EE0"/>
    <w:rsid w:val="00315AFE"/>
    <w:rsid w:val="003202C4"/>
    <w:rsid w:val="003216AF"/>
    <w:rsid w:val="003411F6"/>
    <w:rsid w:val="003606A6"/>
    <w:rsid w:val="00364EE4"/>
    <w:rsid w:val="0036650C"/>
    <w:rsid w:val="00383AD5"/>
    <w:rsid w:val="00393ACD"/>
    <w:rsid w:val="0039641D"/>
    <w:rsid w:val="003A0F87"/>
    <w:rsid w:val="003A583E"/>
    <w:rsid w:val="003E112B"/>
    <w:rsid w:val="003E1D1C"/>
    <w:rsid w:val="003E7B05"/>
    <w:rsid w:val="003F3719"/>
    <w:rsid w:val="003F6F2D"/>
    <w:rsid w:val="0040029B"/>
    <w:rsid w:val="00406033"/>
    <w:rsid w:val="00443EAB"/>
    <w:rsid w:val="00444531"/>
    <w:rsid w:val="00466211"/>
    <w:rsid w:val="00476153"/>
    <w:rsid w:val="00483196"/>
    <w:rsid w:val="004834A9"/>
    <w:rsid w:val="0048426A"/>
    <w:rsid w:val="004B7966"/>
    <w:rsid w:val="004D01FC"/>
    <w:rsid w:val="004E2387"/>
    <w:rsid w:val="004E28C3"/>
    <w:rsid w:val="004F1F8E"/>
    <w:rsid w:val="00505E3A"/>
    <w:rsid w:val="00512A32"/>
    <w:rsid w:val="005343DA"/>
    <w:rsid w:val="005508E2"/>
    <w:rsid w:val="005536F7"/>
    <w:rsid w:val="00560874"/>
    <w:rsid w:val="005611A1"/>
    <w:rsid w:val="00574B06"/>
    <w:rsid w:val="0058238A"/>
    <w:rsid w:val="00586CF2"/>
    <w:rsid w:val="005A7C75"/>
    <w:rsid w:val="005C3768"/>
    <w:rsid w:val="005C6C3F"/>
    <w:rsid w:val="005D60AB"/>
    <w:rsid w:val="005E7ABD"/>
    <w:rsid w:val="00601126"/>
    <w:rsid w:val="00613635"/>
    <w:rsid w:val="00615833"/>
    <w:rsid w:val="0062093D"/>
    <w:rsid w:val="00620EB9"/>
    <w:rsid w:val="006261C3"/>
    <w:rsid w:val="00636978"/>
    <w:rsid w:val="00637ECF"/>
    <w:rsid w:val="0064201E"/>
    <w:rsid w:val="00647B59"/>
    <w:rsid w:val="006721F0"/>
    <w:rsid w:val="00686403"/>
    <w:rsid w:val="00690C7B"/>
    <w:rsid w:val="006A4B45"/>
    <w:rsid w:val="006D4724"/>
    <w:rsid w:val="006F5FA2"/>
    <w:rsid w:val="0070076C"/>
    <w:rsid w:val="00701BAE"/>
    <w:rsid w:val="00721F04"/>
    <w:rsid w:val="00730E95"/>
    <w:rsid w:val="00742328"/>
    <w:rsid w:val="007426B9"/>
    <w:rsid w:val="00764342"/>
    <w:rsid w:val="00767171"/>
    <w:rsid w:val="00774362"/>
    <w:rsid w:val="00775239"/>
    <w:rsid w:val="00786598"/>
    <w:rsid w:val="00790C74"/>
    <w:rsid w:val="00797A70"/>
    <w:rsid w:val="007A04E8"/>
    <w:rsid w:val="007A65F2"/>
    <w:rsid w:val="007B2C34"/>
    <w:rsid w:val="007F282B"/>
    <w:rsid w:val="00827544"/>
    <w:rsid w:val="00830086"/>
    <w:rsid w:val="0084214E"/>
    <w:rsid w:val="00844B23"/>
    <w:rsid w:val="00851625"/>
    <w:rsid w:val="00856694"/>
    <w:rsid w:val="0086226B"/>
    <w:rsid w:val="00863C0A"/>
    <w:rsid w:val="0089339A"/>
    <w:rsid w:val="008A3120"/>
    <w:rsid w:val="008A4B97"/>
    <w:rsid w:val="008C5B8E"/>
    <w:rsid w:val="008C5DD5"/>
    <w:rsid w:val="008C7123"/>
    <w:rsid w:val="008D41BE"/>
    <w:rsid w:val="008D58D3"/>
    <w:rsid w:val="008D6789"/>
    <w:rsid w:val="008E3BC9"/>
    <w:rsid w:val="008E6BE4"/>
    <w:rsid w:val="00923064"/>
    <w:rsid w:val="00930FFD"/>
    <w:rsid w:val="00936D25"/>
    <w:rsid w:val="00941EA5"/>
    <w:rsid w:val="00950B83"/>
    <w:rsid w:val="00956843"/>
    <w:rsid w:val="00964700"/>
    <w:rsid w:val="00966C16"/>
    <w:rsid w:val="0097386C"/>
    <w:rsid w:val="00982ADD"/>
    <w:rsid w:val="0098732F"/>
    <w:rsid w:val="009A045F"/>
    <w:rsid w:val="009A6A2B"/>
    <w:rsid w:val="009C01BF"/>
    <w:rsid w:val="009C7E7C"/>
    <w:rsid w:val="009E124A"/>
    <w:rsid w:val="009E2013"/>
    <w:rsid w:val="009F314C"/>
    <w:rsid w:val="009F5849"/>
    <w:rsid w:val="00A00473"/>
    <w:rsid w:val="00A03C9B"/>
    <w:rsid w:val="00A24A7C"/>
    <w:rsid w:val="00A37105"/>
    <w:rsid w:val="00A476B3"/>
    <w:rsid w:val="00A5535D"/>
    <w:rsid w:val="00A606C3"/>
    <w:rsid w:val="00A71BC2"/>
    <w:rsid w:val="00A8266E"/>
    <w:rsid w:val="00A83B09"/>
    <w:rsid w:val="00A84541"/>
    <w:rsid w:val="00AA5A67"/>
    <w:rsid w:val="00AC62AA"/>
    <w:rsid w:val="00AD662F"/>
    <w:rsid w:val="00AE36A0"/>
    <w:rsid w:val="00B00294"/>
    <w:rsid w:val="00B07A83"/>
    <w:rsid w:val="00B3749C"/>
    <w:rsid w:val="00B64FD0"/>
    <w:rsid w:val="00B92F68"/>
    <w:rsid w:val="00B95F87"/>
    <w:rsid w:val="00BA5BD0"/>
    <w:rsid w:val="00BB1D82"/>
    <w:rsid w:val="00BC217E"/>
    <w:rsid w:val="00BD1CB6"/>
    <w:rsid w:val="00BD51C5"/>
    <w:rsid w:val="00BE13F9"/>
    <w:rsid w:val="00BE63AE"/>
    <w:rsid w:val="00BF0354"/>
    <w:rsid w:val="00BF26E7"/>
    <w:rsid w:val="00C01F4E"/>
    <w:rsid w:val="00C1305F"/>
    <w:rsid w:val="00C35971"/>
    <w:rsid w:val="00C53FCA"/>
    <w:rsid w:val="00C62B47"/>
    <w:rsid w:val="00C71DEB"/>
    <w:rsid w:val="00C76BAF"/>
    <w:rsid w:val="00C76BF2"/>
    <w:rsid w:val="00C800B8"/>
    <w:rsid w:val="00C814B9"/>
    <w:rsid w:val="00C86432"/>
    <w:rsid w:val="00CA784A"/>
    <w:rsid w:val="00CA7BDE"/>
    <w:rsid w:val="00CB1A38"/>
    <w:rsid w:val="00CB685A"/>
    <w:rsid w:val="00CC5482"/>
    <w:rsid w:val="00CC71CC"/>
    <w:rsid w:val="00CD2ADA"/>
    <w:rsid w:val="00CD516F"/>
    <w:rsid w:val="00CD51E5"/>
    <w:rsid w:val="00CD7E1C"/>
    <w:rsid w:val="00D05411"/>
    <w:rsid w:val="00D119A7"/>
    <w:rsid w:val="00D25256"/>
    <w:rsid w:val="00D25FBA"/>
    <w:rsid w:val="00D32B28"/>
    <w:rsid w:val="00D3426F"/>
    <w:rsid w:val="00D42954"/>
    <w:rsid w:val="00D66EAC"/>
    <w:rsid w:val="00D71C4F"/>
    <w:rsid w:val="00D730DF"/>
    <w:rsid w:val="00D73A4E"/>
    <w:rsid w:val="00D772F0"/>
    <w:rsid w:val="00D77BDC"/>
    <w:rsid w:val="00DA4989"/>
    <w:rsid w:val="00DC402B"/>
    <w:rsid w:val="00DC60F4"/>
    <w:rsid w:val="00DD0065"/>
    <w:rsid w:val="00DE0932"/>
    <w:rsid w:val="00DF15E8"/>
    <w:rsid w:val="00E03A27"/>
    <w:rsid w:val="00E049F1"/>
    <w:rsid w:val="00E14254"/>
    <w:rsid w:val="00E217D0"/>
    <w:rsid w:val="00E37A25"/>
    <w:rsid w:val="00E537FF"/>
    <w:rsid w:val="00E5529E"/>
    <w:rsid w:val="00E60CB2"/>
    <w:rsid w:val="00E6539B"/>
    <w:rsid w:val="00E70A31"/>
    <w:rsid w:val="00E723A7"/>
    <w:rsid w:val="00E77255"/>
    <w:rsid w:val="00E97BD4"/>
    <w:rsid w:val="00EA3F38"/>
    <w:rsid w:val="00EA5AB6"/>
    <w:rsid w:val="00EC7615"/>
    <w:rsid w:val="00ED16AA"/>
    <w:rsid w:val="00ED488E"/>
    <w:rsid w:val="00ED6B8D"/>
    <w:rsid w:val="00EE3571"/>
    <w:rsid w:val="00EE3D7B"/>
    <w:rsid w:val="00EF545E"/>
    <w:rsid w:val="00EF662E"/>
    <w:rsid w:val="00F10064"/>
    <w:rsid w:val="00F148F1"/>
    <w:rsid w:val="00F246CF"/>
    <w:rsid w:val="00F313EF"/>
    <w:rsid w:val="00F533A0"/>
    <w:rsid w:val="00F56C64"/>
    <w:rsid w:val="00F711A7"/>
    <w:rsid w:val="00F87C38"/>
    <w:rsid w:val="00FA3BBF"/>
    <w:rsid w:val="00FB0987"/>
    <w:rsid w:val="00FC2818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D751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226B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364E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4E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4EE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EE4"/>
    <w:rPr>
      <w:rFonts w:ascii="Times New Roman" w:hAnsi="Times New Roman"/>
      <w:b/>
      <w:bCs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DF295F-F5CE-4AEC-9377-1C8C669B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5410D-4E15-4698-859A-2BEE723F57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711F69F-1135-4417-8A0E-D86B6F6271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F31EA3-0450-45E8-A170-356BEDC061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1772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R23-WRC23-C-0148!A8!MSW-F</vt:lpstr>
      <vt:lpstr>R23-WRC23-C-0148!A8!MSW-F</vt:lpstr>
    </vt:vector>
  </TitlesOfParts>
  <Manager>Secrétariat général - Pool</Manager>
  <Company>Union internationale des télécommunications (UIT)</Company>
  <LinksUpToDate>false</LinksUpToDate>
  <CharactersWithSpaces>11593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9</cp:revision>
  <cp:lastPrinted>2003-06-05T19:34:00Z</cp:lastPrinted>
  <dcterms:created xsi:type="dcterms:W3CDTF">2023-11-16T17:05:00Z</dcterms:created>
  <dcterms:modified xsi:type="dcterms:W3CDTF">2023-11-18T13:43:00Z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