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47"/>
        <w:gridCol w:w="4954"/>
        <w:gridCol w:w="958"/>
        <w:gridCol w:w="1928"/>
      </w:tblGrid>
      <w:tr w:rsidR="00752552" w:rsidRPr="00C651C3" w14:paraId="7F1B501C" w14:textId="77777777" w:rsidTr="00752552">
        <w:trPr>
          <w:cantSplit/>
          <w:trHeight w:val="20"/>
        </w:trPr>
        <w:tc>
          <w:tcPr>
            <w:tcW w:w="1589" w:type="dxa"/>
            <w:vAlign w:val="center"/>
          </w:tcPr>
          <w:p w14:paraId="55C0DBB0" w14:textId="77777777" w:rsidR="00752552" w:rsidRPr="00C651C3" w:rsidRDefault="00752552" w:rsidP="00752552">
            <w:pPr>
              <w:spacing w:before="0"/>
              <w:jc w:val="left"/>
              <w:rPr>
                <w:b/>
                <w:bCs/>
                <w:rtl/>
                <w:lang w:bidi="ar-EG"/>
              </w:rPr>
            </w:pPr>
            <w:r w:rsidRPr="00C651C3">
              <w:rPr>
                <w:noProof/>
                <w:lang w:val="en-GB" w:bidi="ar-EG"/>
              </w:rPr>
              <w:drawing>
                <wp:inline distT="0" distB="0" distL="0" distR="0" wp14:anchorId="4749B609" wp14:editId="71D94903">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5" w:type="dxa"/>
            <w:gridSpan w:val="2"/>
          </w:tcPr>
          <w:p w14:paraId="62B8CEEB" w14:textId="77777777" w:rsidR="00752552" w:rsidRPr="00C651C3" w:rsidRDefault="00752552" w:rsidP="00752552">
            <w:pPr>
              <w:pStyle w:val="LOGO"/>
              <w:framePr w:hSpace="0" w:wrap="auto" w:xAlign="left" w:yAlign="inline"/>
              <w:rPr>
                <w:rtl/>
              </w:rPr>
            </w:pPr>
            <w:r w:rsidRPr="00C651C3">
              <w:rPr>
                <w:rtl/>
              </w:rPr>
              <w:t xml:space="preserve">المؤتمر العالمي للاتصالات الراديوية </w:t>
            </w:r>
            <w:r w:rsidRPr="00C651C3">
              <w:t>(WRC-23)</w:t>
            </w:r>
          </w:p>
          <w:p w14:paraId="66E7015C" w14:textId="77777777" w:rsidR="00752552" w:rsidRPr="00C651C3" w:rsidRDefault="00752552" w:rsidP="00752552">
            <w:pPr>
              <w:rPr>
                <w:b/>
                <w:bCs/>
                <w:rtl/>
                <w:lang w:bidi="ar-EG"/>
              </w:rPr>
            </w:pPr>
            <w:r w:rsidRPr="00C651C3">
              <w:rPr>
                <w:b/>
                <w:bCs/>
                <w:sz w:val="26"/>
                <w:szCs w:val="26"/>
                <w:rtl/>
              </w:rPr>
              <w:t xml:space="preserve">دبي، </w:t>
            </w:r>
            <w:r w:rsidRPr="00C651C3">
              <w:rPr>
                <w:b/>
                <w:bCs/>
                <w:sz w:val="26"/>
                <w:szCs w:val="26"/>
                <w:lang w:bidi="ar-EG"/>
              </w:rPr>
              <w:t>20</w:t>
            </w:r>
            <w:r w:rsidRPr="00C651C3">
              <w:rPr>
                <w:b/>
                <w:bCs/>
                <w:sz w:val="26"/>
                <w:szCs w:val="26"/>
                <w:rtl/>
                <w:lang w:bidi="ar-EG"/>
              </w:rPr>
              <w:t xml:space="preserve"> نوفمبر – </w:t>
            </w:r>
            <w:r w:rsidRPr="00C651C3">
              <w:rPr>
                <w:b/>
                <w:bCs/>
                <w:sz w:val="26"/>
                <w:szCs w:val="26"/>
                <w:lang w:bidi="ar-EG"/>
              </w:rPr>
              <w:t>15</w:t>
            </w:r>
            <w:r w:rsidRPr="00C651C3">
              <w:rPr>
                <w:b/>
                <w:bCs/>
                <w:sz w:val="26"/>
                <w:szCs w:val="26"/>
                <w:rtl/>
                <w:lang w:bidi="ar-EG"/>
              </w:rPr>
              <w:t xml:space="preserve"> ديسمبر </w:t>
            </w:r>
            <w:r w:rsidRPr="00C651C3">
              <w:rPr>
                <w:b/>
                <w:bCs/>
                <w:sz w:val="26"/>
                <w:szCs w:val="26"/>
                <w:lang w:bidi="ar-EG"/>
              </w:rPr>
              <w:t>2023</w:t>
            </w:r>
          </w:p>
        </w:tc>
        <w:tc>
          <w:tcPr>
            <w:tcW w:w="1982" w:type="dxa"/>
            <w:vAlign w:val="center"/>
          </w:tcPr>
          <w:p w14:paraId="472C0727" w14:textId="77777777" w:rsidR="00752552" w:rsidRPr="00C651C3" w:rsidRDefault="00752552" w:rsidP="00752552">
            <w:pPr>
              <w:jc w:val="right"/>
              <w:rPr>
                <w:rtl/>
                <w:lang w:bidi="ar-EG"/>
              </w:rPr>
            </w:pPr>
            <w:bookmarkStart w:id="0" w:name="ditulogo"/>
            <w:bookmarkEnd w:id="0"/>
            <w:r w:rsidRPr="00C651C3">
              <w:rPr>
                <w:noProof/>
              </w:rPr>
              <w:drawing>
                <wp:inline distT="0" distB="0" distL="0" distR="0" wp14:anchorId="37D2FED0" wp14:editId="34863BD1">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C651C3" w14:paraId="430BC037" w14:textId="77777777" w:rsidTr="00752552">
        <w:trPr>
          <w:cantSplit/>
          <w:trHeight w:val="20"/>
        </w:trPr>
        <w:tc>
          <w:tcPr>
            <w:tcW w:w="6696" w:type="dxa"/>
            <w:gridSpan w:val="2"/>
            <w:tcBorders>
              <w:bottom w:val="single" w:sz="12" w:space="0" w:color="auto"/>
            </w:tcBorders>
          </w:tcPr>
          <w:p w14:paraId="55DD466B" w14:textId="77777777" w:rsidR="000D1EE4" w:rsidRPr="00C651C3" w:rsidRDefault="000D1EE4" w:rsidP="000D1EE4">
            <w:pPr>
              <w:rPr>
                <w:rtl/>
                <w:lang w:bidi="ar-EG"/>
              </w:rPr>
            </w:pPr>
          </w:p>
        </w:tc>
        <w:tc>
          <w:tcPr>
            <w:tcW w:w="2970" w:type="dxa"/>
            <w:gridSpan w:val="2"/>
            <w:tcBorders>
              <w:bottom w:val="single" w:sz="12" w:space="0" w:color="auto"/>
            </w:tcBorders>
          </w:tcPr>
          <w:p w14:paraId="24E367A4" w14:textId="77777777" w:rsidR="000D1EE4" w:rsidRPr="00C651C3" w:rsidRDefault="000D1EE4" w:rsidP="000D1EE4">
            <w:pPr>
              <w:rPr>
                <w:lang w:val="en-GB" w:bidi="ar-EG"/>
              </w:rPr>
            </w:pPr>
          </w:p>
        </w:tc>
      </w:tr>
      <w:tr w:rsidR="000D1EE4" w:rsidRPr="00C651C3" w14:paraId="2163DC33" w14:textId="77777777" w:rsidTr="00752552">
        <w:trPr>
          <w:cantSplit/>
          <w:trHeight w:val="20"/>
        </w:trPr>
        <w:tc>
          <w:tcPr>
            <w:tcW w:w="6696" w:type="dxa"/>
            <w:gridSpan w:val="2"/>
            <w:tcBorders>
              <w:top w:val="single" w:sz="12" w:space="0" w:color="auto"/>
            </w:tcBorders>
          </w:tcPr>
          <w:p w14:paraId="34D9DC51" w14:textId="77777777" w:rsidR="000D1EE4" w:rsidRPr="00C651C3" w:rsidRDefault="000D1EE4" w:rsidP="000D1EE4">
            <w:pPr>
              <w:rPr>
                <w:b/>
                <w:bCs/>
                <w:rtl/>
                <w:lang w:bidi="ar-EG"/>
              </w:rPr>
            </w:pPr>
          </w:p>
        </w:tc>
        <w:tc>
          <w:tcPr>
            <w:tcW w:w="2970" w:type="dxa"/>
            <w:gridSpan w:val="2"/>
            <w:tcBorders>
              <w:top w:val="single" w:sz="12" w:space="0" w:color="auto"/>
            </w:tcBorders>
          </w:tcPr>
          <w:p w14:paraId="24E5DD34" w14:textId="77777777" w:rsidR="000D1EE4" w:rsidRPr="00C651C3" w:rsidRDefault="000D1EE4" w:rsidP="000D1EE4">
            <w:pPr>
              <w:rPr>
                <w:b/>
                <w:bCs/>
                <w:lang w:bidi="ar-EG"/>
              </w:rPr>
            </w:pPr>
          </w:p>
        </w:tc>
      </w:tr>
      <w:tr w:rsidR="000D1EE4" w:rsidRPr="00C651C3" w14:paraId="403AA8CE" w14:textId="77777777" w:rsidTr="00752552">
        <w:trPr>
          <w:cantSplit/>
        </w:trPr>
        <w:tc>
          <w:tcPr>
            <w:tcW w:w="6696" w:type="dxa"/>
            <w:gridSpan w:val="2"/>
          </w:tcPr>
          <w:p w14:paraId="0F034EDF" w14:textId="77777777" w:rsidR="000D1EE4" w:rsidRPr="00C651C3" w:rsidRDefault="00E50850" w:rsidP="00C651C3">
            <w:pPr>
              <w:pStyle w:val="Committee"/>
              <w:bidi/>
              <w:rPr>
                <w:rFonts w:hint="cs"/>
                <w:rtl/>
                <w:lang w:bidi="ar-EG"/>
              </w:rPr>
            </w:pPr>
            <w:r w:rsidRPr="00C651C3">
              <w:rPr>
                <w:rtl/>
                <w:lang w:bidi="ar-EG"/>
              </w:rPr>
              <w:t>الجلسة العامة</w:t>
            </w:r>
          </w:p>
        </w:tc>
        <w:tc>
          <w:tcPr>
            <w:tcW w:w="2970" w:type="dxa"/>
            <w:gridSpan w:val="2"/>
          </w:tcPr>
          <w:p w14:paraId="0CF57949" w14:textId="77777777" w:rsidR="000D1EE4" w:rsidRPr="00C651C3" w:rsidRDefault="00E50850" w:rsidP="00C651C3">
            <w:pPr>
              <w:jc w:val="left"/>
              <w:rPr>
                <w:b/>
                <w:bCs/>
                <w:rtl/>
                <w:lang w:bidi="ar-EG"/>
              </w:rPr>
            </w:pPr>
            <w:r w:rsidRPr="00C651C3">
              <w:rPr>
                <w:rFonts w:eastAsia="SimSun"/>
                <w:b/>
                <w:bCs/>
                <w:rtl/>
                <w:lang w:bidi="ar-EG"/>
              </w:rPr>
              <w:t>الإضافة 8</w:t>
            </w:r>
            <w:r w:rsidRPr="00C651C3">
              <w:rPr>
                <w:rFonts w:eastAsia="SimSun"/>
                <w:b/>
                <w:bCs/>
                <w:rtl/>
                <w:lang w:bidi="ar-EG"/>
              </w:rPr>
              <w:br/>
              <w:t xml:space="preserve">للوثيقة </w:t>
            </w:r>
            <w:r w:rsidRPr="00C651C3">
              <w:rPr>
                <w:rFonts w:eastAsia="SimSun"/>
                <w:b/>
                <w:bCs/>
              </w:rPr>
              <w:t>148-A</w:t>
            </w:r>
          </w:p>
        </w:tc>
      </w:tr>
      <w:tr w:rsidR="000D1EE4" w:rsidRPr="00C651C3" w14:paraId="24EC8B5E" w14:textId="77777777" w:rsidTr="00752552">
        <w:trPr>
          <w:cantSplit/>
        </w:trPr>
        <w:tc>
          <w:tcPr>
            <w:tcW w:w="6696" w:type="dxa"/>
            <w:gridSpan w:val="2"/>
          </w:tcPr>
          <w:p w14:paraId="256AC506" w14:textId="77777777" w:rsidR="000D1EE4" w:rsidRPr="00C651C3" w:rsidRDefault="000D1EE4" w:rsidP="000D1EE4">
            <w:pPr>
              <w:spacing w:before="60" w:after="60" w:line="260" w:lineRule="exact"/>
              <w:rPr>
                <w:b/>
                <w:bCs/>
                <w:rtl/>
                <w:lang w:bidi="ar-EG"/>
              </w:rPr>
            </w:pPr>
          </w:p>
        </w:tc>
        <w:tc>
          <w:tcPr>
            <w:tcW w:w="2970" w:type="dxa"/>
            <w:gridSpan w:val="2"/>
          </w:tcPr>
          <w:p w14:paraId="0C153706" w14:textId="77777777" w:rsidR="000D1EE4" w:rsidRPr="00C651C3" w:rsidRDefault="00E50850" w:rsidP="00C651C3">
            <w:pPr>
              <w:jc w:val="left"/>
              <w:rPr>
                <w:b/>
                <w:bCs/>
                <w:rtl/>
                <w:lang w:bidi="ar-EG"/>
              </w:rPr>
            </w:pPr>
            <w:r w:rsidRPr="00C651C3">
              <w:rPr>
                <w:rFonts w:eastAsia="SimSun"/>
                <w:b/>
                <w:bCs/>
              </w:rPr>
              <w:t>30</w:t>
            </w:r>
            <w:r w:rsidRPr="00C651C3">
              <w:rPr>
                <w:rFonts w:eastAsia="SimSun"/>
                <w:b/>
                <w:bCs/>
                <w:rtl/>
              </w:rPr>
              <w:t xml:space="preserve"> أكتوبر </w:t>
            </w:r>
            <w:r w:rsidRPr="00C651C3">
              <w:rPr>
                <w:rFonts w:eastAsia="SimSun"/>
                <w:b/>
                <w:bCs/>
              </w:rPr>
              <w:t>2023</w:t>
            </w:r>
          </w:p>
        </w:tc>
      </w:tr>
      <w:tr w:rsidR="000D1EE4" w:rsidRPr="00C651C3" w14:paraId="307089BD" w14:textId="77777777" w:rsidTr="00752552">
        <w:trPr>
          <w:cantSplit/>
        </w:trPr>
        <w:tc>
          <w:tcPr>
            <w:tcW w:w="6696" w:type="dxa"/>
            <w:gridSpan w:val="2"/>
          </w:tcPr>
          <w:p w14:paraId="21AB52BE" w14:textId="77777777" w:rsidR="000D1EE4" w:rsidRPr="00C651C3" w:rsidRDefault="000D1EE4" w:rsidP="000D1EE4">
            <w:pPr>
              <w:spacing w:before="60" w:after="60" w:line="260" w:lineRule="exact"/>
              <w:rPr>
                <w:b/>
                <w:bCs/>
                <w:rtl/>
                <w:lang w:bidi="ar-EG"/>
              </w:rPr>
            </w:pPr>
          </w:p>
        </w:tc>
        <w:tc>
          <w:tcPr>
            <w:tcW w:w="2970" w:type="dxa"/>
            <w:gridSpan w:val="2"/>
          </w:tcPr>
          <w:p w14:paraId="44920257" w14:textId="77777777" w:rsidR="000D1EE4" w:rsidRPr="00C651C3" w:rsidRDefault="00E50850" w:rsidP="00C651C3">
            <w:pPr>
              <w:jc w:val="left"/>
              <w:rPr>
                <w:b/>
                <w:bCs/>
                <w:lang w:bidi="ar-EG"/>
              </w:rPr>
            </w:pPr>
            <w:r w:rsidRPr="00C651C3">
              <w:rPr>
                <w:b/>
                <w:bCs/>
                <w:rtl/>
                <w:lang w:bidi="ar-EG"/>
              </w:rPr>
              <w:t>الأصل: بالإنكليزية</w:t>
            </w:r>
          </w:p>
        </w:tc>
      </w:tr>
      <w:tr w:rsidR="000D1EE4" w:rsidRPr="00C651C3" w14:paraId="6A348C23" w14:textId="77777777" w:rsidTr="00752552">
        <w:trPr>
          <w:cantSplit/>
        </w:trPr>
        <w:tc>
          <w:tcPr>
            <w:tcW w:w="9666" w:type="dxa"/>
            <w:gridSpan w:val="4"/>
          </w:tcPr>
          <w:p w14:paraId="6860F219" w14:textId="77777777" w:rsidR="000D1EE4" w:rsidRPr="00C651C3" w:rsidRDefault="000D1EE4" w:rsidP="000D1EE4">
            <w:pPr>
              <w:rPr>
                <w:b/>
                <w:bCs/>
                <w:lang w:bidi="ar-EG"/>
              </w:rPr>
            </w:pPr>
          </w:p>
        </w:tc>
      </w:tr>
      <w:tr w:rsidR="000D1EE4" w:rsidRPr="00C651C3" w14:paraId="43A074B9" w14:textId="77777777" w:rsidTr="00752552">
        <w:trPr>
          <w:cantSplit/>
        </w:trPr>
        <w:tc>
          <w:tcPr>
            <w:tcW w:w="9666" w:type="dxa"/>
            <w:gridSpan w:val="4"/>
          </w:tcPr>
          <w:p w14:paraId="7CF0F97F" w14:textId="77777777" w:rsidR="000D1EE4" w:rsidRPr="00C651C3" w:rsidRDefault="000D1EE4" w:rsidP="00C651C3">
            <w:pPr>
              <w:pStyle w:val="Source"/>
              <w:rPr>
                <w:rtl/>
              </w:rPr>
            </w:pPr>
            <w:r w:rsidRPr="00C651C3">
              <w:rPr>
                <w:rtl/>
              </w:rPr>
              <w:t>جمهورية إيران الإسلامية</w:t>
            </w:r>
          </w:p>
        </w:tc>
      </w:tr>
      <w:tr w:rsidR="000D1EE4" w:rsidRPr="00C651C3" w14:paraId="18A79FC2" w14:textId="77777777" w:rsidTr="00752552">
        <w:trPr>
          <w:cantSplit/>
        </w:trPr>
        <w:tc>
          <w:tcPr>
            <w:tcW w:w="9666" w:type="dxa"/>
            <w:gridSpan w:val="4"/>
          </w:tcPr>
          <w:p w14:paraId="7DAAB325" w14:textId="4211722D" w:rsidR="000D1EE4" w:rsidRPr="00C651C3" w:rsidRDefault="00F5756A" w:rsidP="00C651C3">
            <w:pPr>
              <w:pStyle w:val="Title1"/>
              <w:rPr>
                <w:rtl/>
              </w:rPr>
            </w:pPr>
            <w:r w:rsidRPr="00C651C3">
              <w:rPr>
                <w:rtl/>
              </w:rPr>
              <w:t>مقترحات بشأن أعمال المؤتمر</w:t>
            </w:r>
          </w:p>
        </w:tc>
      </w:tr>
      <w:tr w:rsidR="000D1EE4" w:rsidRPr="00C651C3" w14:paraId="6CEDA408" w14:textId="77777777" w:rsidTr="00752552">
        <w:trPr>
          <w:cantSplit/>
        </w:trPr>
        <w:tc>
          <w:tcPr>
            <w:tcW w:w="9666" w:type="dxa"/>
            <w:gridSpan w:val="4"/>
          </w:tcPr>
          <w:p w14:paraId="71A89F21" w14:textId="77777777" w:rsidR="000D1EE4" w:rsidRPr="00C651C3" w:rsidRDefault="000D1EE4" w:rsidP="000D1EE4">
            <w:pPr>
              <w:pStyle w:val="Title2"/>
              <w:rPr>
                <w:rtl/>
              </w:rPr>
            </w:pPr>
          </w:p>
        </w:tc>
      </w:tr>
      <w:tr w:rsidR="00E50850" w:rsidRPr="00C651C3" w14:paraId="5AD50433" w14:textId="77777777" w:rsidTr="00752552">
        <w:trPr>
          <w:cantSplit/>
        </w:trPr>
        <w:tc>
          <w:tcPr>
            <w:tcW w:w="9666" w:type="dxa"/>
            <w:gridSpan w:val="4"/>
          </w:tcPr>
          <w:p w14:paraId="73BAA83C" w14:textId="51F5DF5E" w:rsidR="00E50850" w:rsidRPr="00C651C3" w:rsidRDefault="00E50850" w:rsidP="00C651C3">
            <w:pPr>
              <w:pStyle w:val="Agendaitem"/>
            </w:pPr>
            <w:r w:rsidRPr="00C651C3">
              <w:rPr>
                <w:rtl/>
              </w:rPr>
              <w:t>بند جدول الأعمال</w:t>
            </w:r>
            <w:r w:rsidR="00F5756A" w:rsidRPr="00C651C3">
              <w:rPr>
                <w:rFonts w:hint="cs"/>
                <w:rtl/>
              </w:rPr>
              <w:t xml:space="preserve"> </w:t>
            </w:r>
            <w:r w:rsidR="00F5756A" w:rsidRPr="00C651C3">
              <w:t>8.1</w:t>
            </w:r>
          </w:p>
        </w:tc>
      </w:tr>
    </w:tbl>
    <w:p w14:paraId="390F02DA" w14:textId="77777777" w:rsidR="00E574F4" w:rsidRPr="00C651C3" w:rsidRDefault="00F97635" w:rsidP="00A370EB">
      <w:pPr>
        <w:rPr>
          <w:rtl/>
        </w:rPr>
      </w:pPr>
      <w:r w:rsidRPr="00C651C3">
        <w:t>8.1</w:t>
      </w:r>
      <w:r w:rsidRPr="00C651C3">
        <w:tab/>
      </w:r>
      <w:r w:rsidRPr="00C651C3">
        <w:rPr>
          <w:b/>
          <w:rtl/>
          <w:lang w:val="es-ES" w:bidi="ar-EG"/>
        </w:rPr>
        <w:t xml:space="preserve">النظر، استناداً إلى دراسات قطاع الاتصالات الراديوية وفقاً للقرار </w:t>
      </w:r>
      <w:r w:rsidRPr="00C651C3">
        <w:rPr>
          <w:b/>
          <w:lang w:bidi="ar-EG"/>
        </w:rPr>
        <w:t>171 (WRC-19)</w:t>
      </w:r>
      <w:r w:rsidRPr="00C651C3">
        <w:rPr>
          <w:b/>
          <w:rtl/>
          <w:lang w:val="es-ES" w:bidi="ar-EG"/>
        </w:rPr>
        <w:t>، في التدابير التنظيمية المناسبة بغية استعراض، و</w:t>
      </w:r>
      <w:r w:rsidRPr="00C651C3">
        <w:rPr>
          <w:b/>
          <w:rtl/>
          <w:lang w:val="es-ES"/>
        </w:rPr>
        <w:t xml:space="preserve">إذا استدعى الأمر، </w:t>
      </w:r>
      <w:r w:rsidRPr="00C651C3">
        <w:rPr>
          <w:b/>
          <w:rtl/>
          <w:lang w:val="es-ES" w:bidi="ar-EG"/>
        </w:rPr>
        <w:t xml:space="preserve">مراجَعة القرار </w:t>
      </w:r>
      <w:r w:rsidRPr="00C651C3">
        <w:rPr>
          <w:b/>
          <w:lang w:bidi="ar-EG"/>
        </w:rPr>
        <w:t>155 (Rev.WRC-19)</w:t>
      </w:r>
      <w:r w:rsidRPr="00C651C3">
        <w:rPr>
          <w:b/>
          <w:rtl/>
          <w:lang w:val="es-ES"/>
        </w:rPr>
        <w:t xml:space="preserve"> </w:t>
      </w:r>
      <w:r w:rsidRPr="00C651C3">
        <w:rPr>
          <w:b/>
          <w:rtl/>
          <w:lang w:val="es-ES" w:bidi="ar-EG"/>
        </w:rPr>
        <w:t>و</w:t>
      </w:r>
      <w:r w:rsidRPr="00C651C3">
        <w:rPr>
          <w:b/>
          <w:rtl/>
          <w:lang w:val="es-ES"/>
        </w:rPr>
        <w:t xml:space="preserve">الرقم </w:t>
      </w:r>
      <w:r w:rsidRPr="00C651C3">
        <w:rPr>
          <w:rStyle w:val="Artref"/>
          <w:b/>
          <w:bCs/>
        </w:rPr>
        <w:t>484B.5</w:t>
      </w:r>
      <w:r w:rsidRPr="00C651C3">
        <w:rPr>
          <w:b/>
          <w:rtl/>
          <w:lang w:val="es-ES"/>
        </w:rPr>
        <w:t xml:space="preserve"> لتضمينهما استعمال شبكات الخدمة الثابتة الساتلية من أجل اتصالات التحكم والاتصالات خارج الحمولة النافعة لأنظمة الطائرات بدون طيار؛</w:t>
      </w:r>
    </w:p>
    <w:p w14:paraId="0FED355F" w14:textId="7601B7C0" w:rsidR="00417E14" w:rsidRPr="00C651C3" w:rsidRDefault="00F5756A" w:rsidP="00C651C3">
      <w:pPr>
        <w:pStyle w:val="Headingb"/>
        <w:rPr>
          <w:rtl/>
        </w:rPr>
      </w:pPr>
      <w:r w:rsidRPr="00C651C3">
        <w:rPr>
          <w:rFonts w:hint="cs"/>
          <w:rtl/>
        </w:rPr>
        <w:t>مقدمة</w:t>
      </w:r>
    </w:p>
    <w:p w14:paraId="1A253EA1" w14:textId="0814350D" w:rsidR="00B24B17" w:rsidRPr="00C651C3" w:rsidRDefault="00CC3B5E" w:rsidP="00E56A31">
      <w:pPr>
        <w:rPr>
          <w:rtl/>
        </w:rPr>
      </w:pPr>
      <w:r w:rsidRPr="00C651C3">
        <w:rPr>
          <w:rtl/>
        </w:rPr>
        <w:t>نظر</w:t>
      </w:r>
      <w:r w:rsidR="0038593B" w:rsidRPr="00C651C3">
        <w:rPr>
          <w:rtl/>
        </w:rPr>
        <w:t xml:space="preserve"> قطاع الاتصالات الراديوية في وصلات </w:t>
      </w:r>
      <w:r w:rsidR="0038593B" w:rsidRPr="00C651C3">
        <w:rPr>
          <w:color w:val="000000"/>
          <w:rtl/>
        </w:rPr>
        <w:t xml:space="preserve">اتصالات التحكم في الطائرات دون طيار </w:t>
      </w:r>
      <w:r w:rsidR="0038593B" w:rsidRPr="00C651C3">
        <w:rPr>
          <w:rtl/>
        </w:rPr>
        <w:t>(</w:t>
      </w:r>
      <w:r w:rsidR="0038593B" w:rsidRPr="00C651C3">
        <w:rPr>
          <w:cs/>
        </w:rPr>
        <w:t>‎</w:t>
      </w:r>
      <w:r w:rsidR="0038593B" w:rsidRPr="00C651C3">
        <w:t>UA</w:t>
      </w:r>
      <w:r w:rsidR="0038593B" w:rsidRPr="00C651C3">
        <w:rPr>
          <w:rtl/>
        </w:rPr>
        <w:t>)</w:t>
      </w:r>
      <w:r w:rsidR="0038593B" w:rsidRPr="00C651C3">
        <w:rPr>
          <w:color w:val="000000"/>
          <w:rtl/>
        </w:rPr>
        <w:t xml:space="preserve"> والاتصالات </w:t>
      </w:r>
      <w:r w:rsidR="007A607A" w:rsidRPr="00C651C3">
        <w:rPr>
          <w:color w:val="000000"/>
          <w:rtl/>
        </w:rPr>
        <w:t>خارج</w:t>
      </w:r>
      <w:r w:rsidR="0038593B" w:rsidRPr="00C651C3">
        <w:rPr>
          <w:color w:val="000000"/>
          <w:rtl/>
        </w:rPr>
        <w:t xml:space="preserve"> الحمولة النافعة</w:t>
      </w:r>
      <w:r w:rsidR="0038593B" w:rsidRPr="00C651C3">
        <w:rPr>
          <w:rtl/>
        </w:rPr>
        <w:t xml:space="preserve">‏ </w:t>
      </w:r>
      <w:r w:rsidR="0038593B" w:rsidRPr="00C651C3">
        <w:rPr>
          <w:lang w:val="en-GB"/>
        </w:rPr>
        <w:t>(CNPC)</w:t>
      </w:r>
      <w:r w:rsidR="0038593B" w:rsidRPr="00C651C3">
        <w:rPr>
          <w:rtl/>
        </w:rPr>
        <w:t xml:space="preserve"> في ثلاثة مؤتمرات متتالية منذ المؤتمر العالمي للاتصالات الراديوية لعام </w:t>
      </w:r>
      <w:r w:rsidR="0038593B" w:rsidRPr="00C651C3">
        <w:rPr>
          <w:cs/>
        </w:rPr>
        <w:t>‎</w:t>
      </w:r>
      <w:r w:rsidR="0038593B" w:rsidRPr="00C651C3">
        <w:t>2012</w:t>
      </w:r>
      <w:r w:rsidR="0038593B" w:rsidRPr="00C651C3">
        <w:rPr>
          <w:rtl/>
        </w:rPr>
        <w:t>.</w:t>
      </w:r>
      <w:r w:rsidRPr="00C651C3">
        <w:rPr>
          <w:rtl/>
        </w:rPr>
        <w:t xml:space="preserve"> وستتطلب العديد من تطبيقات أنظمة الطائرات بدون طيار (</w:t>
      </w:r>
      <w:r w:rsidRPr="00C651C3">
        <w:rPr>
          <w:cs/>
        </w:rPr>
        <w:t>‎</w:t>
      </w:r>
      <w:r w:rsidRPr="00C651C3">
        <w:t>UAS</w:t>
      </w:r>
      <w:r w:rsidRPr="00C651C3">
        <w:rPr>
          <w:rtl/>
        </w:rPr>
        <w:t xml:space="preserve">) ‏من أجل الاتصالات خارج خط البصر استعمال اتصالات ساتلية آمنة لتوفير جميع الاتصالات </w:t>
      </w:r>
      <w:r w:rsidRPr="00C651C3">
        <w:rPr>
          <w:rtl/>
          <w:cs/>
        </w:rPr>
        <w:t>خارج الحمولة النافعة</w:t>
      </w:r>
      <w:r w:rsidRPr="00C651C3">
        <w:rPr>
          <w:rtl/>
        </w:rPr>
        <w:t xml:space="preserve"> ‏لأنظمة الطائرات بدون طيار ‏أو مكوناتها. وتناول المؤتمر العالمي للاتصالات الراديوية لعام</w:t>
      </w:r>
      <w:r w:rsidR="00E56A31">
        <w:rPr>
          <w:rFonts w:hint="eastAsia"/>
          <w:rtl/>
          <w:lang w:bidi="ar-EG"/>
        </w:rPr>
        <w:t> </w:t>
      </w:r>
      <w:r w:rsidRPr="00C651C3">
        <w:rPr>
          <w:cs/>
        </w:rPr>
        <w:t>‎</w:t>
      </w:r>
      <w:r w:rsidRPr="00C651C3">
        <w:t>2012</w:t>
      </w:r>
      <w:r w:rsidRPr="00C651C3">
        <w:rPr>
          <w:rtl/>
        </w:rPr>
        <w:t xml:space="preserve"> ‏</w:t>
      </w:r>
      <w:r w:rsidR="00CB0D04" w:rsidRPr="00C651C3">
        <w:rPr>
          <w:rtl/>
        </w:rPr>
        <w:t>ال</w:t>
      </w:r>
      <w:r w:rsidRPr="00C651C3">
        <w:rPr>
          <w:rtl/>
        </w:rPr>
        <w:t xml:space="preserve">متطلبات </w:t>
      </w:r>
      <w:r w:rsidR="00CB0D04" w:rsidRPr="00C651C3">
        <w:rPr>
          <w:rtl/>
        </w:rPr>
        <w:t>الأرضية والساتلية من الطيف</w:t>
      </w:r>
      <w:r w:rsidRPr="00C651C3">
        <w:rPr>
          <w:rtl/>
        </w:rPr>
        <w:t xml:space="preserve"> لتشغيل أنظمة الطائرات بدون طيار في الفضاء الجوي غير المحجوز وض</w:t>
      </w:r>
      <w:r w:rsidR="007A607A" w:rsidRPr="00C651C3">
        <w:rPr>
          <w:rtl/>
        </w:rPr>
        <w:t>َ</w:t>
      </w:r>
      <w:r w:rsidRPr="00C651C3">
        <w:rPr>
          <w:rtl/>
        </w:rPr>
        <w:t>م</w:t>
      </w:r>
      <w:r w:rsidR="00421ABB">
        <w:rPr>
          <w:rFonts w:hint="cs"/>
          <w:rtl/>
        </w:rPr>
        <w:t>ِ</w:t>
      </w:r>
      <w:r w:rsidRPr="00C651C3">
        <w:rPr>
          <w:rtl/>
        </w:rPr>
        <w:t>ن توافر طيف كاف</w:t>
      </w:r>
      <w:r w:rsidR="007A607A" w:rsidRPr="00C651C3">
        <w:rPr>
          <w:rtl/>
        </w:rPr>
        <w:t>ٍ</w:t>
      </w:r>
      <w:r w:rsidRPr="00C651C3">
        <w:rPr>
          <w:rtl/>
        </w:rPr>
        <w:t xml:space="preserve"> </w:t>
      </w:r>
      <w:r w:rsidR="007A607A" w:rsidRPr="00C651C3">
        <w:rPr>
          <w:rtl/>
        </w:rPr>
        <w:t>خاصة</w:t>
      </w:r>
      <w:r w:rsidR="00421ABB">
        <w:rPr>
          <w:rFonts w:hint="cs"/>
          <w:rtl/>
        </w:rPr>
        <w:t>ً</w:t>
      </w:r>
      <w:r w:rsidRPr="00C651C3">
        <w:rPr>
          <w:rtl/>
        </w:rPr>
        <w:t xml:space="preserve"> </w:t>
      </w:r>
      <w:r w:rsidR="007A607A" w:rsidRPr="00C651C3">
        <w:rPr>
          <w:rtl/>
        </w:rPr>
        <w:t>لوصلات الأرض.</w:t>
      </w:r>
    </w:p>
    <w:p w14:paraId="4B42EAF6" w14:textId="39B9DF89" w:rsidR="001B37B7" w:rsidRPr="00C651C3" w:rsidRDefault="007A607A" w:rsidP="001B37B7">
      <w:pPr>
        <w:rPr>
          <w:rtl/>
          <w:lang w:bidi="ar-EG"/>
        </w:rPr>
      </w:pPr>
      <w:r w:rsidRPr="00C651C3">
        <w:rPr>
          <w:rtl/>
          <w:lang w:bidi="ar-EG"/>
        </w:rPr>
        <w:t xml:space="preserve">ولا يمكن </w:t>
      </w:r>
      <w:r w:rsidR="001B37B7" w:rsidRPr="00C651C3">
        <w:rPr>
          <w:rtl/>
          <w:lang w:bidi="ar-EG"/>
        </w:rPr>
        <w:t xml:space="preserve">للخبرة المكتسبة من </w:t>
      </w:r>
      <w:r w:rsidRPr="00C651C3">
        <w:rPr>
          <w:rtl/>
          <w:lang w:bidi="ar-EG"/>
        </w:rPr>
        <w:t>استعمال الخدمة الثابتة الساتلية (</w:t>
      </w:r>
      <w:r w:rsidRPr="00C651C3">
        <w:rPr>
          <w:cs/>
          <w:lang w:bidi="ar-EG"/>
        </w:rPr>
        <w:t>‎</w:t>
      </w:r>
      <w:r w:rsidRPr="00C651C3">
        <w:rPr>
          <w:lang w:bidi="ar-EG"/>
        </w:rPr>
        <w:t>FSS</w:t>
      </w:r>
      <w:r w:rsidRPr="00C651C3">
        <w:rPr>
          <w:rtl/>
          <w:lang w:bidi="ar-EG"/>
        </w:rPr>
        <w:t>) ‏لو</w:t>
      </w:r>
      <w:r w:rsidRPr="00C651C3">
        <w:rPr>
          <w:rtl/>
        </w:rPr>
        <w:t xml:space="preserve">صلات </w:t>
      </w:r>
      <w:r w:rsidRPr="00C651C3">
        <w:rPr>
          <w:color w:val="000000"/>
          <w:rtl/>
        </w:rPr>
        <w:t>اتصالات التحكم في الطائرات دون طيار والاتصالات خارج الحمولة النافعة</w:t>
      </w:r>
      <w:r w:rsidRPr="00C651C3">
        <w:rPr>
          <w:rtl/>
        </w:rPr>
        <w:t xml:space="preserve">‏ </w:t>
      </w:r>
      <w:r w:rsidRPr="00C651C3">
        <w:rPr>
          <w:lang w:val="en-GB"/>
        </w:rPr>
        <w:t>(CNPC)</w:t>
      </w:r>
      <w:r w:rsidRPr="00C651C3">
        <w:rPr>
          <w:rtl/>
        </w:rPr>
        <w:t xml:space="preserve"> </w:t>
      </w:r>
      <w:r w:rsidRPr="00C651C3">
        <w:rPr>
          <w:rtl/>
          <w:lang w:bidi="ar-EG"/>
        </w:rPr>
        <w:t xml:space="preserve">‏في الفضاء الجوي المحجوز </w:t>
      </w:r>
      <w:r w:rsidR="001B37B7" w:rsidRPr="00C651C3">
        <w:rPr>
          <w:rtl/>
          <w:lang w:bidi="ar-EG"/>
        </w:rPr>
        <w:t>أن تُستخدم كأساس</w:t>
      </w:r>
      <w:r w:rsidRPr="00C651C3">
        <w:rPr>
          <w:rtl/>
          <w:lang w:bidi="ar-EG"/>
        </w:rPr>
        <w:t xml:space="preserve"> لاستخدام هذه الوصلات في</w:t>
      </w:r>
      <w:r w:rsidR="00E56A31">
        <w:rPr>
          <w:rFonts w:hint="cs"/>
          <w:rtl/>
          <w:lang w:bidi="ar-EG"/>
        </w:rPr>
        <w:t> </w:t>
      </w:r>
      <w:r w:rsidR="00F200B9" w:rsidRPr="00C651C3">
        <w:rPr>
          <w:rtl/>
          <w:lang w:bidi="ar-EG"/>
        </w:rPr>
        <w:t>ال</w:t>
      </w:r>
      <w:r w:rsidRPr="00C651C3">
        <w:rPr>
          <w:rtl/>
          <w:lang w:bidi="ar-EG"/>
        </w:rPr>
        <w:t xml:space="preserve">فضاء </w:t>
      </w:r>
      <w:r w:rsidR="00F200B9" w:rsidRPr="00C651C3">
        <w:rPr>
          <w:rtl/>
          <w:lang w:bidi="ar-EG"/>
        </w:rPr>
        <w:t>ال</w:t>
      </w:r>
      <w:r w:rsidRPr="00C651C3">
        <w:rPr>
          <w:rtl/>
          <w:lang w:bidi="ar-EG"/>
        </w:rPr>
        <w:t xml:space="preserve">جوي غير </w:t>
      </w:r>
      <w:r w:rsidR="00F200B9" w:rsidRPr="00C651C3">
        <w:rPr>
          <w:rtl/>
          <w:lang w:bidi="ar-EG"/>
        </w:rPr>
        <w:t>المحجوز</w:t>
      </w:r>
      <w:r w:rsidRPr="00C651C3">
        <w:rPr>
          <w:rtl/>
          <w:lang w:bidi="ar-EG"/>
        </w:rPr>
        <w:t xml:space="preserve">، لأن الوضع في الفضاء الجوي دون قيود على الاستعمال مختلف </w:t>
      </w:r>
      <w:r w:rsidR="00F200B9" w:rsidRPr="00C651C3">
        <w:rPr>
          <w:rtl/>
          <w:lang w:bidi="ar-EG"/>
        </w:rPr>
        <w:t>تماماً.</w:t>
      </w:r>
    </w:p>
    <w:p w14:paraId="1A4FD144" w14:textId="1ADB08D0" w:rsidR="00F5756A" w:rsidRPr="00C651C3" w:rsidRDefault="00954D86" w:rsidP="001B37B7">
      <w:pPr>
        <w:rPr>
          <w:rtl/>
          <w:lang w:val="en-GB"/>
        </w:rPr>
      </w:pPr>
      <w:r w:rsidRPr="00C651C3">
        <w:rPr>
          <w:rtl/>
          <w:lang w:bidi="ar-EG"/>
        </w:rPr>
        <w:t xml:space="preserve">وحتى الآن، أعدت فرقة العمل </w:t>
      </w:r>
      <w:r w:rsidRPr="00C651C3">
        <w:rPr>
          <w:cs/>
          <w:lang w:bidi="ar-EG"/>
        </w:rPr>
        <w:t>‎</w:t>
      </w:r>
      <w:r w:rsidRPr="00C651C3">
        <w:rPr>
          <w:lang w:bidi="ar-EG"/>
        </w:rPr>
        <w:t>5B</w:t>
      </w:r>
      <w:r w:rsidRPr="00C651C3">
        <w:rPr>
          <w:rtl/>
          <w:lang w:bidi="ar-EG"/>
        </w:rPr>
        <w:t xml:space="preserve"> ‏لأكثر من </w:t>
      </w:r>
      <w:r w:rsidRPr="00C651C3">
        <w:rPr>
          <w:cs/>
          <w:lang w:bidi="ar-EG"/>
        </w:rPr>
        <w:t>‎</w:t>
      </w:r>
      <w:r w:rsidRPr="00C651C3">
        <w:rPr>
          <w:lang w:bidi="ar-EG"/>
        </w:rPr>
        <w:t>10</w:t>
      </w:r>
      <w:r w:rsidRPr="00C651C3">
        <w:rPr>
          <w:rtl/>
          <w:lang w:bidi="ar-EG"/>
        </w:rPr>
        <w:t xml:space="preserve"> ‏سنوات، وبالنسبة إلى </w:t>
      </w:r>
      <w:r w:rsidRPr="00C651C3">
        <w:rPr>
          <w:cs/>
          <w:lang w:bidi="ar-EG"/>
        </w:rPr>
        <w:t>‎</w:t>
      </w:r>
      <w:r w:rsidRPr="00C651C3">
        <w:rPr>
          <w:lang w:bidi="ar-EG"/>
        </w:rPr>
        <w:t>3</w:t>
      </w:r>
      <w:r w:rsidRPr="00C651C3">
        <w:rPr>
          <w:rtl/>
          <w:lang w:bidi="ar-EG"/>
        </w:rPr>
        <w:t xml:space="preserve"> ‏مؤتمرات عالمية للاتصالات الراديوية، عدة وثائق تتعلق بخصائص المحطات في الخدمات الفضائية وخدمات الأرض وحماية خدمات الأرض أيضا</w:t>
      </w:r>
      <w:r w:rsidR="00182783" w:rsidRPr="00C651C3">
        <w:rPr>
          <w:rtl/>
          <w:lang w:bidi="ar-EG"/>
        </w:rPr>
        <w:t>ً</w:t>
      </w:r>
      <w:r w:rsidRPr="00C651C3">
        <w:rPr>
          <w:rtl/>
          <w:lang w:bidi="ar-EG"/>
        </w:rPr>
        <w:t>. وفي الوقت نفسه، أ</w:t>
      </w:r>
      <w:r w:rsidR="008E6075">
        <w:rPr>
          <w:rFonts w:hint="cs"/>
          <w:rtl/>
          <w:lang w:bidi="ar-EG"/>
        </w:rPr>
        <w:t>ُ</w:t>
      </w:r>
      <w:r w:rsidRPr="00C651C3">
        <w:rPr>
          <w:rtl/>
          <w:lang w:bidi="ar-EG"/>
        </w:rPr>
        <w:t>عدت</w:t>
      </w:r>
      <w:r w:rsidR="00E56A31">
        <w:rPr>
          <w:rFonts w:hint="cs"/>
          <w:rtl/>
          <w:lang w:bidi="ar-EG"/>
        </w:rPr>
        <w:t> </w:t>
      </w:r>
      <w:r w:rsidRPr="00C651C3">
        <w:rPr>
          <w:rtl/>
          <w:lang w:bidi="ar-EG"/>
        </w:rPr>
        <w:t xml:space="preserve">بعض الوثائق </w:t>
      </w:r>
      <w:r w:rsidR="001B37B7" w:rsidRPr="00C651C3">
        <w:rPr>
          <w:rtl/>
          <w:lang w:bidi="ar-EG"/>
        </w:rPr>
        <w:t>لتحديد</w:t>
      </w:r>
      <w:r w:rsidRPr="00C651C3">
        <w:rPr>
          <w:rtl/>
          <w:lang w:bidi="ar-EG"/>
        </w:rPr>
        <w:t xml:space="preserve"> خصائص محطات </w:t>
      </w:r>
      <w:r w:rsidR="001B37B7" w:rsidRPr="00C651C3">
        <w:rPr>
          <w:rtl/>
          <w:lang w:bidi="ar-EG"/>
        </w:rPr>
        <w:t xml:space="preserve">التحكم والمحطات </w:t>
      </w:r>
      <w:r w:rsidRPr="00C651C3">
        <w:rPr>
          <w:rtl/>
          <w:lang w:bidi="ar-EG"/>
        </w:rPr>
        <w:t xml:space="preserve">الأرضية </w:t>
      </w:r>
      <w:r w:rsidR="001B37B7" w:rsidRPr="00C651C3">
        <w:rPr>
          <w:rtl/>
          <w:lang w:bidi="ar-EG"/>
        </w:rPr>
        <w:t>خارج الحمولة النافعة</w:t>
      </w:r>
      <w:r w:rsidRPr="00C651C3">
        <w:rPr>
          <w:rtl/>
          <w:lang w:bidi="ar-EG"/>
        </w:rPr>
        <w:t xml:space="preserve"> </w:t>
      </w:r>
      <w:r w:rsidR="001B37B7" w:rsidRPr="00C651C3">
        <w:rPr>
          <w:rtl/>
          <w:lang w:bidi="ar-EG"/>
        </w:rPr>
        <w:t>ل</w:t>
      </w:r>
      <w:r w:rsidRPr="00C651C3">
        <w:rPr>
          <w:rtl/>
          <w:lang w:bidi="ar-EG"/>
        </w:rPr>
        <w:t>أنظمة الطائرات بدون</w:t>
      </w:r>
      <w:r w:rsidR="00E56A31">
        <w:rPr>
          <w:rFonts w:hint="cs"/>
          <w:rtl/>
          <w:lang w:bidi="ar-EG"/>
        </w:rPr>
        <w:t> </w:t>
      </w:r>
      <w:r w:rsidRPr="00C651C3">
        <w:rPr>
          <w:rtl/>
          <w:lang w:bidi="ar-EG"/>
        </w:rPr>
        <w:t xml:space="preserve">طيار </w:t>
      </w:r>
      <w:r w:rsidR="00D14E11" w:rsidRPr="00C651C3">
        <w:rPr>
          <w:rtl/>
          <w:lang w:bidi="ar-EG"/>
        </w:rPr>
        <w:t>لاستعمالها</w:t>
      </w:r>
      <w:r w:rsidRPr="00C651C3">
        <w:rPr>
          <w:rtl/>
          <w:lang w:bidi="ar-EG"/>
        </w:rPr>
        <w:t xml:space="preserve"> مع المحطات الفضائية العاملة في الخدمة الثابتة الساتلية. </w:t>
      </w:r>
      <w:r w:rsidRPr="00854536">
        <w:rPr>
          <w:u w:val="single"/>
          <w:rtl/>
          <w:lang w:bidi="ar-EG"/>
        </w:rPr>
        <w:t>و</w:t>
      </w:r>
      <w:r w:rsidR="00751BB3" w:rsidRPr="00854536">
        <w:rPr>
          <w:u w:val="single"/>
          <w:rtl/>
          <w:lang w:bidi="ar-EG"/>
        </w:rPr>
        <w:t xml:space="preserve">لا تعتبر أي من </w:t>
      </w:r>
      <w:r w:rsidRPr="00854536">
        <w:rPr>
          <w:u w:val="single"/>
          <w:rtl/>
          <w:lang w:bidi="ar-EG"/>
        </w:rPr>
        <w:t>هذه الوثائق حاسم</w:t>
      </w:r>
      <w:r w:rsidR="008E6075">
        <w:rPr>
          <w:rFonts w:hint="cs"/>
          <w:u w:val="single"/>
          <w:rtl/>
          <w:lang w:bidi="ar-EG"/>
        </w:rPr>
        <w:t>ةً</w:t>
      </w:r>
      <w:r w:rsidRPr="00854536">
        <w:rPr>
          <w:u w:val="single"/>
          <w:rtl/>
          <w:lang w:bidi="ar-EG"/>
        </w:rPr>
        <w:t xml:space="preserve"> </w:t>
      </w:r>
      <w:r w:rsidR="00751BB3" w:rsidRPr="00854536">
        <w:rPr>
          <w:u w:val="single"/>
          <w:rtl/>
          <w:lang w:bidi="ar-EG"/>
        </w:rPr>
        <w:t>نظراً</w:t>
      </w:r>
      <w:r w:rsidRPr="00854536">
        <w:rPr>
          <w:u w:val="single"/>
          <w:rtl/>
          <w:lang w:bidi="ar-EG"/>
        </w:rPr>
        <w:t xml:space="preserve"> </w:t>
      </w:r>
      <w:r w:rsidR="00751BB3" w:rsidRPr="00854536">
        <w:rPr>
          <w:u w:val="single"/>
          <w:rtl/>
          <w:lang w:bidi="ar-EG"/>
        </w:rPr>
        <w:t>ل</w:t>
      </w:r>
      <w:r w:rsidRPr="00854536">
        <w:rPr>
          <w:u w:val="single"/>
          <w:rtl/>
          <w:lang w:bidi="ar-EG"/>
        </w:rPr>
        <w:t>لصعوبات والمشاكل المختلفة التي أثيرت في نص تقرير الاجتماع التحضيري للمؤتمر</w:t>
      </w:r>
      <w:r w:rsidR="00182783" w:rsidRPr="00854536">
        <w:rPr>
          <w:u w:val="single"/>
          <w:rtl/>
          <w:lang w:bidi="ar-EG"/>
        </w:rPr>
        <w:t>.</w:t>
      </w:r>
    </w:p>
    <w:p w14:paraId="20DBF7FF" w14:textId="298EBCD5" w:rsidR="00E919DA" w:rsidRPr="00C651C3" w:rsidRDefault="000151B1" w:rsidP="007E059A">
      <w:pPr>
        <w:rPr>
          <w:rtl/>
          <w:cs/>
        </w:rPr>
      </w:pPr>
      <w:r w:rsidRPr="00C651C3">
        <w:rPr>
          <w:rtl/>
          <w:lang w:bidi="ar-EG"/>
        </w:rPr>
        <w:t>و</w:t>
      </w:r>
      <w:r w:rsidR="00ED78BD" w:rsidRPr="00C651C3">
        <w:rPr>
          <w:rtl/>
          <w:lang w:bidi="ar-EG"/>
        </w:rPr>
        <w:t>تقوم منظمة الطيران المدني الدولي (</w:t>
      </w:r>
      <w:r w:rsidR="00ED78BD" w:rsidRPr="00C651C3">
        <w:rPr>
          <w:cs/>
          <w:lang w:bidi="ar-EG"/>
        </w:rPr>
        <w:t>‎</w:t>
      </w:r>
      <w:r w:rsidR="00ED78BD" w:rsidRPr="00C651C3">
        <w:rPr>
          <w:lang w:bidi="ar-EG"/>
        </w:rPr>
        <w:t>ICAO</w:t>
      </w:r>
      <w:r w:rsidR="00ED78BD" w:rsidRPr="00C651C3">
        <w:rPr>
          <w:rtl/>
          <w:lang w:bidi="ar-EG"/>
        </w:rPr>
        <w:t>)‏، التي تؤدي دورا</w:t>
      </w:r>
      <w:r w:rsidR="00471819" w:rsidRPr="00C651C3">
        <w:rPr>
          <w:rtl/>
          <w:lang w:bidi="ar-EG"/>
        </w:rPr>
        <w:t>ً</w:t>
      </w:r>
      <w:r w:rsidR="00ED78BD" w:rsidRPr="00C651C3">
        <w:rPr>
          <w:rtl/>
          <w:lang w:bidi="ar-EG"/>
        </w:rPr>
        <w:t xml:space="preserve"> حاسما</w:t>
      </w:r>
      <w:r w:rsidR="00471819" w:rsidRPr="00C651C3">
        <w:rPr>
          <w:rtl/>
          <w:lang w:bidi="ar-EG"/>
        </w:rPr>
        <w:t>ً</w:t>
      </w:r>
      <w:r w:rsidR="00ED78BD" w:rsidRPr="00C651C3">
        <w:rPr>
          <w:rtl/>
          <w:lang w:bidi="ar-EG"/>
        </w:rPr>
        <w:t xml:space="preserve"> في هذا البند من جدول الأعمال، بوضع المعايير والممارسات الموصى بها (</w:t>
      </w:r>
      <w:r w:rsidR="00ED78BD" w:rsidRPr="00C651C3">
        <w:rPr>
          <w:cs/>
          <w:lang w:bidi="ar-EG"/>
        </w:rPr>
        <w:t>‎</w:t>
      </w:r>
      <w:r w:rsidR="00471819" w:rsidRPr="00C651C3">
        <w:rPr>
          <w:lang w:bidi="ar-EG"/>
        </w:rPr>
        <w:t>SARP</w:t>
      </w:r>
      <w:r w:rsidR="00ED78BD" w:rsidRPr="00C651C3">
        <w:rPr>
          <w:rtl/>
          <w:lang w:bidi="ar-EG"/>
        </w:rPr>
        <w:t>). ‏</w:t>
      </w:r>
      <w:r w:rsidR="00471819" w:rsidRPr="00C651C3">
        <w:rPr>
          <w:rtl/>
          <w:lang w:bidi="ar-EG"/>
        </w:rPr>
        <w:t>و</w:t>
      </w:r>
      <w:r w:rsidR="00ED78BD" w:rsidRPr="00C651C3">
        <w:rPr>
          <w:rtl/>
          <w:lang w:bidi="ar-EG"/>
        </w:rPr>
        <w:t>وفقا</w:t>
      </w:r>
      <w:r w:rsidR="00471819" w:rsidRPr="00C651C3">
        <w:rPr>
          <w:rtl/>
          <w:lang w:bidi="ar-EG"/>
        </w:rPr>
        <w:t>ً</w:t>
      </w:r>
      <w:r w:rsidR="00ED78BD" w:rsidRPr="00C651C3">
        <w:rPr>
          <w:rtl/>
          <w:lang w:bidi="ar-EG"/>
        </w:rPr>
        <w:t xml:space="preserve"> للمبادئ الرئيسية التي وضعت لوصلات</w:t>
      </w:r>
      <w:r w:rsidR="00081F53" w:rsidRPr="00C651C3">
        <w:rPr>
          <w:rtl/>
          <w:lang w:bidi="ar-EG"/>
        </w:rPr>
        <w:t xml:space="preserve"> أنظمة الاتصالات</w:t>
      </w:r>
      <w:r w:rsidR="00ED78BD" w:rsidRPr="00C651C3">
        <w:rPr>
          <w:rtl/>
          <w:lang w:bidi="ar-EG"/>
        </w:rPr>
        <w:t xml:space="preserve"> </w:t>
      </w:r>
      <w:r w:rsidR="00ED78BD" w:rsidRPr="00C651C3">
        <w:rPr>
          <w:cs/>
          <w:lang w:bidi="ar-EG"/>
        </w:rPr>
        <w:t>‎</w:t>
      </w:r>
      <w:r w:rsidR="00471819" w:rsidRPr="00C651C3">
        <w:rPr>
          <w:lang w:bidi="ar-EG"/>
        </w:rPr>
        <w:t>UAS SNPC</w:t>
      </w:r>
      <w:r w:rsidR="00ED78BD" w:rsidRPr="00C651C3">
        <w:rPr>
          <w:rtl/>
          <w:lang w:bidi="ar-EG"/>
        </w:rPr>
        <w:t xml:space="preserve"> ‏في فرقة </w:t>
      </w:r>
      <w:r w:rsidR="00ED78BD" w:rsidRPr="00C651C3">
        <w:rPr>
          <w:rtl/>
          <w:lang w:bidi="ar-EG"/>
        </w:rPr>
        <w:lastRenderedPageBreak/>
        <w:t xml:space="preserve">العمل </w:t>
      </w:r>
      <w:r w:rsidR="00ED78BD" w:rsidRPr="00C651C3">
        <w:rPr>
          <w:cs/>
          <w:lang w:bidi="ar-EG"/>
        </w:rPr>
        <w:t>‎</w:t>
      </w:r>
      <w:r w:rsidR="00471819" w:rsidRPr="00C651C3">
        <w:rPr>
          <w:lang w:bidi="ar-EG"/>
        </w:rPr>
        <w:t>5B</w:t>
      </w:r>
      <w:r w:rsidR="00ED78BD" w:rsidRPr="00C651C3">
        <w:rPr>
          <w:rtl/>
          <w:lang w:bidi="ar-EG"/>
        </w:rPr>
        <w:t xml:space="preserve">‏، بغية ضمان سلامة الطيران للطائرات بدون طيار، يلزم اتخاذ تدابير </w:t>
      </w:r>
      <w:r w:rsidRPr="00C651C3">
        <w:rPr>
          <w:rtl/>
          <w:lang w:bidi="ar-EG"/>
        </w:rPr>
        <w:t>تتسق</w:t>
      </w:r>
      <w:r w:rsidR="00ED78BD" w:rsidRPr="00C651C3">
        <w:rPr>
          <w:rtl/>
          <w:lang w:bidi="ar-EG"/>
        </w:rPr>
        <w:t xml:space="preserve"> مع </w:t>
      </w:r>
      <w:r w:rsidR="00471819" w:rsidRPr="00C651C3">
        <w:rPr>
          <w:rtl/>
          <w:lang w:bidi="ar-EG"/>
        </w:rPr>
        <w:t xml:space="preserve">أحكام </w:t>
      </w:r>
      <w:r w:rsidR="00ED78BD" w:rsidRPr="00C651C3">
        <w:rPr>
          <w:rtl/>
          <w:lang w:bidi="ar-EG"/>
        </w:rPr>
        <w:t xml:space="preserve">الرقم </w:t>
      </w:r>
      <w:r w:rsidR="00ED78BD" w:rsidRPr="00C651C3">
        <w:rPr>
          <w:cs/>
          <w:lang w:bidi="ar-EG"/>
        </w:rPr>
        <w:t>‎</w:t>
      </w:r>
      <w:r w:rsidR="00ED78BD" w:rsidRPr="004E5775">
        <w:rPr>
          <w:rStyle w:val="Artref"/>
          <w:b/>
          <w:bCs/>
        </w:rPr>
        <w:t>10.4</w:t>
      </w:r>
      <w:r w:rsidR="00ED78BD" w:rsidRPr="00C651C3">
        <w:rPr>
          <w:rtl/>
          <w:lang w:bidi="ar-EG"/>
        </w:rPr>
        <w:t xml:space="preserve"> ‏من لوائح الراديو (</w:t>
      </w:r>
      <w:r w:rsidR="00ED78BD" w:rsidRPr="00C651C3">
        <w:rPr>
          <w:cs/>
          <w:lang w:bidi="ar-EG"/>
        </w:rPr>
        <w:t>‎</w:t>
      </w:r>
      <w:r w:rsidR="00ED78BD" w:rsidRPr="00C651C3">
        <w:rPr>
          <w:lang w:bidi="ar-EG"/>
        </w:rPr>
        <w:t>RR</w:t>
      </w:r>
      <w:r w:rsidR="00ED78BD" w:rsidRPr="00C651C3">
        <w:rPr>
          <w:rtl/>
          <w:lang w:bidi="ar-EG"/>
        </w:rPr>
        <w:t xml:space="preserve">) ‏لضمان عدم التداخل الضار. ومن المتوقع أن تتناول المجموعة الثانية من </w:t>
      </w:r>
      <w:r w:rsidR="00471819" w:rsidRPr="00C651C3">
        <w:rPr>
          <w:rtl/>
          <w:lang w:bidi="ar-EG"/>
        </w:rPr>
        <w:t>المعايير والممارسات الموصى بها المقرر استكمالها</w:t>
      </w:r>
      <w:r w:rsidR="00ED78BD" w:rsidRPr="00C651C3">
        <w:rPr>
          <w:rtl/>
          <w:lang w:bidi="ar-EG"/>
        </w:rPr>
        <w:t xml:space="preserve"> بحلول عام </w:t>
      </w:r>
      <w:r w:rsidR="00ED78BD" w:rsidRPr="00C651C3">
        <w:rPr>
          <w:cs/>
          <w:lang w:bidi="ar-EG"/>
        </w:rPr>
        <w:t>‎</w:t>
      </w:r>
      <w:r w:rsidR="00ED78BD" w:rsidRPr="00C651C3">
        <w:rPr>
          <w:lang w:bidi="ar-EG"/>
        </w:rPr>
        <w:t>2022</w:t>
      </w:r>
      <w:r w:rsidR="00ED78BD" w:rsidRPr="00C651C3">
        <w:rPr>
          <w:rtl/>
          <w:lang w:bidi="ar-EG"/>
        </w:rPr>
        <w:t xml:space="preserve"> ‏الحلول التقنية الممكنة لأنظمة الخدمة الثابتة الساتلية </w:t>
      </w:r>
      <w:r w:rsidRPr="00C651C3">
        <w:rPr>
          <w:rtl/>
          <w:lang w:bidi="ar-EG"/>
        </w:rPr>
        <w:t>و</w:t>
      </w:r>
      <w:r w:rsidR="00BD7A07" w:rsidRPr="00C651C3">
        <w:rPr>
          <w:rtl/>
          <w:lang w:bidi="ar-EG"/>
        </w:rPr>
        <w:t>ال</w:t>
      </w:r>
      <w:r w:rsidRPr="00C651C3">
        <w:rPr>
          <w:rtl/>
          <w:lang w:bidi="ar-EG"/>
        </w:rPr>
        <w:t>فقرات</w:t>
      </w:r>
      <w:r w:rsidR="00E451D2">
        <w:rPr>
          <w:rFonts w:hint="cs"/>
          <w:rtl/>
          <w:lang w:bidi="ar-EG"/>
        </w:rPr>
        <w:t xml:space="preserve"> الأخرى من</w:t>
      </w:r>
      <w:r w:rsidR="00BD7A07" w:rsidRPr="00C651C3">
        <w:rPr>
          <w:rtl/>
          <w:lang w:bidi="ar-EG"/>
        </w:rPr>
        <w:t xml:space="preserve"> </w:t>
      </w:r>
      <w:r w:rsidR="00BD7A07" w:rsidRPr="00E451D2">
        <w:rPr>
          <w:rtl/>
          <w:lang w:bidi="ar-EG"/>
        </w:rPr>
        <w:t>"</w:t>
      </w:r>
      <w:r w:rsidR="00BD7A07" w:rsidRPr="00E451D2">
        <w:rPr>
          <w:i/>
          <w:iCs/>
          <w:rtl/>
          <w:lang w:bidi="ar-EG"/>
        </w:rPr>
        <w:t>يقرر</w:t>
      </w:r>
      <w:r w:rsidR="00BD7A07" w:rsidRPr="00E451D2">
        <w:rPr>
          <w:rtl/>
          <w:lang w:bidi="ar-EG"/>
        </w:rPr>
        <w:t>"</w:t>
      </w:r>
      <w:r w:rsidRPr="00E451D2">
        <w:rPr>
          <w:rtl/>
          <w:lang w:bidi="ar-EG"/>
        </w:rPr>
        <w:t xml:space="preserve"> </w:t>
      </w:r>
      <w:r w:rsidRPr="00C651C3">
        <w:rPr>
          <w:rtl/>
          <w:lang w:bidi="ar-EG"/>
        </w:rPr>
        <w:t>ذات الصلة من</w:t>
      </w:r>
      <w:r w:rsidR="007E059A">
        <w:rPr>
          <w:lang w:bidi="ar-EG"/>
        </w:rPr>
        <w:t xml:space="preserve"> </w:t>
      </w:r>
      <w:r w:rsidR="00ED78BD" w:rsidRPr="00C651C3">
        <w:rPr>
          <w:rtl/>
          <w:lang w:bidi="ar-EG"/>
        </w:rPr>
        <w:t xml:space="preserve">القرار </w:t>
      </w:r>
      <w:r w:rsidR="00ED78BD" w:rsidRPr="00C651C3">
        <w:rPr>
          <w:cs/>
          <w:lang w:bidi="ar-EG"/>
        </w:rPr>
        <w:t>‎</w:t>
      </w:r>
      <w:r w:rsidR="00ED78BD" w:rsidRPr="00C651C3">
        <w:rPr>
          <w:b/>
          <w:bCs/>
          <w:lang w:bidi="ar-EG"/>
        </w:rPr>
        <w:t>155 (Rev.WRC-19</w:t>
      </w:r>
      <w:r w:rsidR="00FA1C74" w:rsidRPr="00C651C3">
        <w:rPr>
          <w:b/>
          <w:bCs/>
          <w:lang w:bidi="ar-EG"/>
        </w:rPr>
        <w:t>)</w:t>
      </w:r>
      <w:r w:rsidR="008E6075" w:rsidRPr="008E6075">
        <w:rPr>
          <w:rFonts w:hint="cs"/>
          <w:rtl/>
          <w:lang w:bidi="ar-EG"/>
        </w:rPr>
        <w:t>.</w:t>
      </w:r>
      <w:r w:rsidR="007E059A">
        <w:t xml:space="preserve"> </w:t>
      </w:r>
      <w:r w:rsidR="00A450B7" w:rsidRPr="00C651C3">
        <w:rPr>
          <w:rtl/>
          <w:lang w:bidi="ar-EG"/>
        </w:rPr>
        <w:t xml:space="preserve">وتجدر الإشارة إلى أن هذا العمل لا يزال </w:t>
      </w:r>
      <w:r w:rsidR="00081F53" w:rsidRPr="00C651C3">
        <w:rPr>
          <w:rtl/>
          <w:lang w:bidi="ar-EG"/>
        </w:rPr>
        <w:t>جارياً في</w:t>
      </w:r>
      <w:r w:rsidR="00A450B7" w:rsidRPr="00C651C3">
        <w:rPr>
          <w:rtl/>
          <w:lang w:bidi="ar-EG"/>
        </w:rPr>
        <w:t xml:space="preserve"> منظمة الطيران المدني الدولي</w:t>
      </w:r>
      <w:r w:rsidR="00081F53" w:rsidRPr="00C651C3">
        <w:rPr>
          <w:rtl/>
          <w:lang w:bidi="ar-EG"/>
        </w:rPr>
        <w:t xml:space="preserve"> التي تقر</w:t>
      </w:r>
      <w:r w:rsidR="00A450B7" w:rsidRPr="00C651C3">
        <w:rPr>
          <w:rtl/>
          <w:lang w:bidi="ar-EG"/>
        </w:rPr>
        <w:t xml:space="preserve"> بأن الدول </w:t>
      </w:r>
      <w:r w:rsidR="00A450B7" w:rsidRPr="00E451D2">
        <w:rPr>
          <w:rtl/>
          <w:lang w:bidi="ar-EG"/>
        </w:rPr>
        <w:t xml:space="preserve">المسؤولة </w:t>
      </w:r>
      <w:r w:rsidR="00A450B7" w:rsidRPr="00C651C3">
        <w:rPr>
          <w:rtl/>
          <w:lang w:bidi="ar-EG"/>
        </w:rPr>
        <w:t xml:space="preserve">عن جوانب سلامة الحياة البشرية لاستخدام وصلات </w:t>
      </w:r>
      <w:r w:rsidR="00A450B7" w:rsidRPr="00C651C3">
        <w:rPr>
          <w:cs/>
          <w:lang w:bidi="ar-EG"/>
        </w:rPr>
        <w:t>‎</w:t>
      </w:r>
      <w:r w:rsidR="004C3566" w:rsidRPr="00C651C3">
        <w:rPr>
          <w:lang w:bidi="ar-EG"/>
        </w:rPr>
        <w:t>UAS</w:t>
      </w:r>
      <w:r w:rsidR="00184515">
        <w:rPr>
          <w:lang w:bidi="ar-EG"/>
        </w:rPr>
        <w:t> </w:t>
      </w:r>
      <w:r w:rsidR="004C3566" w:rsidRPr="00C651C3">
        <w:rPr>
          <w:lang w:bidi="ar-EG"/>
        </w:rPr>
        <w:t>SNPC</w:t>
      </w:r>
      <w:r w:rsidR="00A450B7" w:rsidRPr="00C651C3">
        <w:rPr>
          <w:rtl/>
          <w:lang w:bidi="ar-EG"/>
        </w:rPr>
        <w:t>.‏</w:t>
      </w:r>
      <w:r w:rsidR="00184515">
        <w:rPr>
          <w:rFonts w:hint="cs"/>
          <w:rtl/>
        </w:rPr>
        <w:t xml:space="preserve"> </w:t>
      </w:r>
      <w:r w:rsidR="00A450B7" w:rsidRPr="00C651C3">
        <w:rPr>
          <w:rtl/>
          <w:lang w:bidi="ar-EG"/>
        </w:rPr>
        <w:t xml:space="preserve">ومع ذلك، فإن الأساس الذي </w:t>
      </w:r>
      <w:r w:rsidR="004C3566" w:rsidRPr="00C651C3">
        <w:rPr>
          <w:rtl/>
          <w:lang w:bidi="ar-EG"/>
        </w:rPr>
        <w:t>تستند إليه</w:t>
      </w:r>
      <w:r w:rsidR="00A450B7" w:rsidRPr="00C651C3">
        <w:rPr>
          <w:rtl/>
          <w:lang w:bidi="ar-EG"/>
        </w:rPr>
        <w:t xml:space="preserve"> منظمة الطيران المدني الدولي </w:t>
      </w:r>
      <w:r w:rsidR="004C3566" w:rsidRPr="00C651C3">
        <w:rPr>
          <w:rtl/>
          <w:lang w:bidi="ar-EG"/>
        </w:rPr>
        <w:t>ل</w:t>
      </w:r>
      <w:r w:rsidR="00A450B7" w:rsidRPr="00C651C3">
        <w:rPr>
          <w:rtl/>
          <w:lang w:bidi="ar-EG"/>
        </w:rPr>
        <w:t xml:space="preserve">دراسة جوانب السلامة المطلوبة المشار إليها في الرقم </w:t>
      </w:r>
      <w:r w:rsidR="00A450B7" w:rsidRPr="00C651C3">
        <w:rPr>
          <w:cs/>
          <w:lang w:bidi="ar-EG"/>
        </w:rPr>
        <w:t>‎</w:t>
      </w:r>
      <w:r w:rsidR="004C3566" w:rsidRPr="004E5775">
        <w:rPr>
          <w:rStyle w:val="Artref"/>
          <w:b/>
          <w:bCs/>
        </w:rPr>
        <w:t>10.4</w:t>
      </w:r>
      <w:r w:rsidR="004C3566" w:rsidRPr="00C651C3">
        <w:rPr>
          <w:rtl/>
          <w:lang w:bidi="ar-EG"/>
        </w:rPr>
        <w:t xml:space="preserve"> ‏من لوائح الراديو </w:t>
      </w:r>
      <w:r w:rsidR="00A450B7" w:rsidRPr="00C651C3">
        <w:rPr>
          <w:rtl/>
          <w:lang w:bidi="ar-EG"/>
        </w:rPr>
        <w:t xml:space="preserve">‏غير مستقر لأن حالة الدراسة في قطاع الاتصالات الراديوية غير مستقرة </w:t>
      </w:r>
      <w:r w:rsidR="004C3566" w:rsidRPr="00C651C3">
        <w:rPr>
          <w:rtl/>
          <w:lang w:bidi="ar-EG"/>
        </w:rPr>
        <w:t>أيضاً ولا </w:t>
      </w:r>
      <w:r w:rsidR="00081F53" w:rsidRPr="00C651C3">
        <w:rPr>
          <w:rtl/>
          <w:lang w:bidi="ar-EG"/>
        </w:rPr>
        <w:t xml:space="preserve">يزال النقاش بشأن بعض </w:t>
      </w:r>
      <w:r w:rsidR="003559A4" w:rsidRPr="00C651C3">
        <w:rPr>
          <w:rtl/>
          <w:lang w:bidi="ar-EG"/>
        </w:rPr>
        <w:t xml:space="preserve">القضايا الأساسية </w:t>
      </w:r>
      <w:r w:rsidR="00081F53" w:rsidRPr="00C651C3">
        <w:rPr>
          <w:rtl/>
          <w:lang w:bidi="ar-EG"/>
        </w:rPr>
        <w:t>مفتوحاً</w:t>
      </w:r>
      <w:r w:rsidR="003559A4" w:rsidRPr="00C651C3">
        <w:rPr>
          <w:rtl/>
          <w:cs/>
          <w:lang w:bidi="ar-EG"/>
        </w:rPr>
        <w:t>.</w:t>
      </w:r>
    </w:p>
    <w:p w14:paraId="14EB2382" w14:textId="3B0168AC" w:rsidR="00A450B7" w:rsidRPr="00E451D2" w:rsidRDefault="00081F53" w:rsidP="007E059A">
      <w:pPr>
        <w:rPr>
          <w:u w:val="single"/>
          <w:rtl/>
          <w:lang w:val="en-GB"/>
        </w:rPr>
      </w:pPr>
      <w:r w:rsidRPr="00E451D2">
        <w:rPr>
          <w:u w:val="single"/>
          <w:rtl/>
          <w:lang w:val="en-GB" w:bidi="ar-EG"/>
        </w:rPr>
        <w:t>و</w:t>
      </w:r>
      <w:r w:rsidR="00E919DA" w:rsidRPr="00E451D2">
        <w:rPr>
          <w:u w:val="single"/>
          <w:rtl/>
          <w:lang w:val="en-GB"/>
        </w:rPr>
        <w:t>هناك عدة كيانات يشارك كل منها في أجزاء من المهام التي سيتم تنفيذها في إطار هذا البند من جدول الأعمال. وبعد</w:t>
      </w:r>
      <w:r w:rsidR="00E574F4" w:rsidRPr="00E451D2">
        <w:rPr>
          <w:rFonts w:hint="cs"/>
          <w:u w:val="single"/>
          <w:rtl/>
          <w:lang w:val="en-GB"/>
        </w:rPr>
        <w:t> </w:t>
      </w:r>
      <w:r w:rsidR="00E919DA" w:rsidRPr="00E451D2">
        <w:rPr>
          <w:u w:val="single"/>
          <w:rtl/>
          <w:lang w:val="en-GB"/>
        </w:rPr>
        <w:t>مناقشة مطولة، خلص قطاع الاتصالات الراديوية إلى أنه ينبغي أن يكون هناك مسؤول واحد فقط عن جميع المهام. وتجري حالياً دراسة هذه المسؤولية لإسنادها إلى الإدارة المبلغة عن شبكة الخدمة الثابتة الساتلية (</w:t>
      </w:r>
      <w:r w:rsidR="00E919DA" w:rsidRPr="00E451D2">
        <w:rPr>
          <w:u w:val="single"/>
          <w:cs/>
          <w:lang w:val="en-GB"/>
        </w:rPr>
        <w:t>‎</w:t>
      </w:r>
      <w:r w:rsidR="00E919DA" w:rsidRPr="00E451D2">
        <w:rPr>
          <w:u w:val="single"/>
          <w:lang w:val="en-GB"/>
        </w:rPr>
        <w:t>FSS</w:t>
      </w:r>
      <w:r w:rsidR="00E919DA" w:rsidRPr="00E451D2">
        <w:rPr>
          <w:u w:val="single"/>
          <w:rtl/>
          <w:lang w:val="en-GB"/>
        </w:rPr>
        <w:t xml:space="preserve">) ‏التي تتواصل معها المحطة الأرضية </w:t>
      </w:r>
      <w:r w:rsidR="00E919DA" w:rsidRPr="00E451D2">
        <w:rPr>
          <w:u w:val="single"/>
          <w:cs/>
          <w:lang w:val="en-GB"/>
        </w:rPr>
        <w:t>‎</w:t>
      </w:r>
      <w:r w:rsidR="00E919DA" w:rsidRPr="00E451D2">
        <w:rPr>
          <w:u w:val="single"/>
          <w:lang w:val="en-GB"/>
        </w:rPr>
        <w:t>UAA/CNPC</w:t>
      </w:r>
      <w:r w:rsidR="00673E18" w:rsidRPr="00E451D2">
        <w:rPr>
          <w:u w:val="single"/>
          <w:rtl/>
          <w:cs/>
          <w:lang w:val="en-GB"/>
        </w:rPr>
        <w:t xml:space="preserve">. </w:t>
      </w:r>
      <w:r w:rsidR="00673E18" w:rsidRPr="00E451D2">
        <w:rPr>
          <w:u w:val="single"/>
          <w:rtl/>
        </w:rPr>
        <w:t xml:space="preserve">ومع ذلك، نظراً لطبيعة التشغيل، فإن الإدارة المبلغة عن شبكات/وصلات الخدمة الثابتة الساتلية </w:t>
      </w:r>
      <w:r w:rsidR="00310AC4" w:rsidRPr="00E451D2">
        <w:rPr>
          <w:u w:val="single"/>
          <w:rtl/>
        </w:rPr>
        <w:t>المنتظمة</w:t>
      </w:r>
      <w:r w:rsidR="00673E18" w:rsidRPr="00E451D2">
        <w:rPr>
          <w:u w:val="single"/>
          <w:rtl/>
        </w:rPr>
        <w:t xml:space="preserve"> لن تكون بالتأكيد في وضع يسمح لها بتطبيق </w:t>
      </w:r>
      <w:r w:rsidR="00310AC4" w:rsidRPr="00E451D2">
        <w:rPr>
          <w:u w:val="single"/>
          <w:rtl/>
        </w:rPr>
        <w:t>الرقم </w:t>
      </w:r>
      <w:r w:rsidR="00310AC4" w:rsidRPr="00E451D2">
        <w:rPr>
          <w:rStyle w:val="Artref"/>
          <w:b/>
          <w:bCs/>
          <w:u w:val="single"/>
        </w:rPr>
        <w:t>10.4</w:t>
      </w:r>
      <w:r w:rsidR="00310AC4" w:rsidRPr="00E451D2">
        <w:rPr>
          <w:u w:val="single"/>
          <w:rtl/>
        </w:rPr>
        <w:t xml:space="preserve"> من لوائح الراديو </w:t>
      </w:r>
      <w:r w:rsidR="00673E18" w:rsidRPr="00E451D2">
        <w:rPr>
          <w:u w:val="single"/>
          <w:rtl/>
        </w:rPr>
        <w:t xml:space="preserve">على أي تخصيص </w:t>
      </w:r>
      <w:r w:rsidR="00310AC4" w:rsidRPr="00E451D2">
        <w:rPr>
          <w:u w:val="single"/>
          <w:rtl/>
        </w:rPr>
        <w:t xml:space="preserve">ذي صلة بالوصلة المستخدمة من أجل الاتصالات </w:t>
      </w:r>
      <w:r w:rsidR="00310AC4" w:rsidRPr="00E451D2">
        <w:rPr>
          <w:u w:val="single"/>
        </w:rPr>
        <w:t>UAS CNPC</w:t>
      </w:r>
      <w:r w:rsidR="00310AC4" w:rsidRPr="00E451D2">
        <w:rPr>
          <w:u w:val="single"/>
          <w:rtl/>
        </w:rPr>
        <w:t xml:space="preserve"> لأن ذلك من شأنه أن يغير الوضع التنظيمي لهذا التخصيص إزاء التخصيصات الأخرى.</w:t>
      </w:r>
      <w:r w:rsidR="007E059A" w:rsidRPr="00E451D2">
        <w:rPr>
          <w:u w:val="single"/>
          <w:lang w:val="en-GB"/>
        </w:rPr>
        <w:t xml:space="preserve"> </w:t>
      </w:r>
      <w:r w:rsidR="00A450B7" w:rsidRPr="00E451D2">
        <w:rPr>
          <w:u w:val="single"/>
          <w:rtl/>
        </w:rPr>
        <w:t xml:space="preserve">وبالتالي، ترى إدارات كثيرة أن مسألة سلامة </w:t>
      </w:r>
      <w:r w:rsidR="00671C24" w:rsidRPr="00E451D2">
        <w:rPr>
          <w:u w:val="single"/>
          <w:rtl/>
        </w:rPr>
        <w:t xml:space="preserve">الطيران خارجة تماماً عن إمكانية </w:t>
      </w:r>
      <w:r w:rsidR="00A450B7" w:rsidRPr="00E451D2">
        <w:rPr>
          <w:u w:val="single"/>
          <w:rtl/>
        </w:rPr>
        <w:t xml:space="preserve">وقدرة الإدارة المبلغة عن شبكة الخدمة الثابتة الساتلية. </w:t>
      </w:r>
      <w:r w:rsidR="00671C24" w:rsidRPr="00E451D2">
        <w:rPr>
          <w:u w:val="single"/>
          <w:rtl/>
        </w:rPr>
        <w:t>و</w:t>
      </w:r>
      <w:r w:rsidR="00A450B7" w:rsidRPr="00E451D2">
        <w:rPr>
          <w:u w:val="single"/>
          <w:rtl/>
        </w:rPr>
        <w:t xml:space="preserve">هذه المسألة هي أحد العناصر الصعبة </w:t>
      </w:r>
      <w:r w:rsidR="00671C24" w:rsidRPr="00E451D2">
        <w:rPr>
          <w:u w:val="single"/>
          <w:rtl/>
        </w:rPr>
        <w:t xml:space="preserve">في </w:t>
      </w:r>
      <w:r w:rsidR="00A450B7" w:rsidRPr="00E451D2">
        <w:rPr>
          <w:u w:val="single"/>
          <w:rtl/>
        </w:rPr>
        <w:t>هذا البند من جدول الأعمال. وعلاوة</w:t>
      </w:r>
      <w:r w:rsidR="00184515" w:rsidRPr="00E451D2">
        <w:rPr>
          <w:rFonts w:hint="cs"/>
          <w:u w:val="single"/>
          <w:rtl/>
        </w:rPr>
        <w:t>ً</w:t>
      </w:r>
      <w:r w:rsidR="00A450B7" w:rsidRPr="00E451D2">
        <w:rPr>
          <w:u w:val="single"/>
          <w:rtl/>
        </w:rPr>
        <w:t xml:space="preserve"> على ذلك، لكي </w:t>
      </w:r>
      <w:r w:rsidR="00FC0A30" w:rsidRPr="00E451D2">
        <w:rPr>
          <w:u w:val="single"/>
          <w:rtl/>
        </w:rPr>
        <w:t>يعمل نظام</w:t>
      </w:r>
      <w:r w:rsidR="007E26C1" w:rsidRPr="00E451D2">
        <w:rPr>
          <w:u w:val="single"/>
          <w:rtl/>
        </w:rPr>
        <w:t xml:space="preserve"> الاتصالات</w:t>
      </w:r>
      <w:r w:rsidR="00A450B7" w:rsidRPr="00E451D2">
        <w:rPr>
          <w:u w:val="single"/>
          <w:rtl/>
        </w:rPr>
        <w:t xml:space="preserve"> </w:t>
      </w:r>
      <w:r w:rsidR="00A450B7" w:rsidRPr="00E451D2">
        <w:rPr>
          <w:u w:val="single"/>
          <w:cs/>
        </w:rPr>
        <w:t>‎</w:t>
      </w:r>
      <w:r w:rsidR="00671C24" w:rsidRPr="00E451D2">
        <w:rPr>
          <w:u w:val="single"/>
        </w:rPr>
        <w:t xml:space="preserve"> UAS CNPC</w:t>
      </w:r>
      <w:r w:rsidR="00A450B7" w:rsidRPr="00E451D2">
        <w:rPr>
          <w:u w:val="single"/>
          <w:rtl/>
        </w:rPr>
        <w:t>‏أعلاه على نحو سليم وفعال، يتعين على الإدارة المبلغة عن شبكة الخدمة الثابتة الساتلية التي</w:t>
      </w:r>
      <w:r w:rsidR="00E574F4" w:rsidRPr="00E451D2">
        <w:rPr>
          <w:rFonts w:hint="cs"/>
          <w:u w:val="single"/>
          <w:rtl/>
        </w:rPr>
        <w:t> </w:t>
      </w:r>
      <w:r w:rsidR="00671C24" w:rsidRPr="00E451D2">
        <w:rPr>
          <w:u w:val="single"/>
          <w:rtl/>
        </w:rPr>
        <w:t>تتواصل مع</w:t>
      </w:r>
      <w:r w:rsidR="00A450B7" w:rsidRPr="00E451D2">
        <w:rPr>
          <w:u w:val="single"/>
          <w:rtl/>
        </w:rPr>
        <w:t xml:space="preserve"> المحطة الأرضية</w:t>
      </w:r>
      <w:r w:rsidR="007E26C1" w:rsidRPr="00E451D2">
        <w:rPr>
          <w:u w:val="single"/>
          <w:rtl/>
        </w:rPr>
        <w:t xml:space="preserve"> ل</w:t>
      </w:r>
      <w:r w:rsidR="00FC0A30" w:rsidRPr="00E451D2">
        <w:rPr>
          <w:u w:val="single"/>
          <w:rtl/>
        </w:rPr>
        <w:t>نظام ا</w:t>
      </w:r>
      <w:r w:rsidR="007E26C1" w:rsidRPr="00E451D2">
        <w:rPr>
          <w:u w:val="single"/>
          <w:rtl/>
        </w:rPr>
        <w:t>لاتصالات</w:t>
      </w:r>
      <w:r w:rsidR="00A450B7" w:rsidRPr="00E451D2">
        <w:rPr>
          <w:u w:val="single"/>
          <w:rtl/>
        </w:rPr>
        <w:t xml:space="preserve"> </w:t>
      </w:r>
      <w:r w:rsidR="00A450B7" w:rsidRPr="00E451D2">
        <w:rPr>
          <w:u w:val="single"/>
          <w:cs/>
        </w:rPr>
        <w:t>‎</w:t>
      </w:r>
      <w:r w:rsidR="00671C24" w:rsidRPr="00E451D2">
        <w:rPr>
          <w:u w:val="single"/>
        </w:rPr>
        <w:t>UAS CNPC</w:t>
      </w:r>
      <w:r w:rsidR="00671C24" w:rsidRPr="00E451D2">
        <w:rPr>
          <w:u w:val="single"/>
          <w:rtl/>
        </w:rPr>
        <w:t xml:space="preserve"> </w:t>
      </w:r>
      <w:r w:rsidR="00A450B7" w:rsidRPr="00E451D2">
        <w:rPr>
          <w:u w:val="single"/>
          <w:rtl/>
        </w:rPr>
        <w:t xml:space="preserve">‏أن تقبل تنفيذ هذه المسؤوليات </w:t>
      </w:r>
      <w:r w:rsidR="00671C24" w:rsidRPr="00E451D2">
        <w:rPr>
          <w:u w:val="single"/>
          <w:rtl/>
        </w:rPr>
        <w:t>الشاملة</w:t>
      </w:r>
      <w:r w:rsidR="00A450B7" w:rsidRPr="00E451D2">
        <w:rPr>
          <w:u w:val="single"/>
          <w:rtl/>
        </w:rPr>
        <w:t xml:space="preserve"> الموزعة حاليا</w:t>
      </w:r>
      <w:r w:rsidR="00671C24" w:rsidRPr="00E451D2">
        <w:rPr>
          <w:u w:val="single"/>
          <w:rtl/>
        </w:rPr>
        <w:t>ً</w:t>
      </w:r>
      <w:r w:rsidR="00A450B7" w:rsidRPr="00E451D2">
        <w:rPr>
          <w:u w:val="single"/>
          <w:rtl/>
        </w:rPr>
        <w:t xml:space="preserve"> بين</w:t>
      </w:r>
      <w:r w:rsidR="00E574F4" w:rsidRPr="00E451D2">
        <w:rPr>
          <w:rFonts w:hint="cs"/>
          <w:u w:val="single"/>
          <w:rtl/>
        </w:rPr>
        <w:t> </w:t>
      </w:r>
      <w:r w:rsidR="00A450B7" w:rsidRPr="00E451D2">
        <w:rPr>
          <w:u w:val="single"/>
          <w:rtl/>
        </w:rPr>
        <w:t>مختلف الأطراف الفاعلة و</w:t>
      </w:r>
      <w:r w:rsidR="00671C24" w:rsidRPr="00E451D2">
        <w:rPr>
          <w:u w:val="single"/>
          <w:rtl/>
        </w:rPr>
        <w:t xml:space="preserve">أن </w:t>
      </w:r>
      <w:r w:rsidR="001A37CF" w:rsidRPr="00E451D2">
        <w:rPr>
          <w:u w:val="single"/>
          <w:rtl/>
        </w:rPr>
        <w:t>تقوم</w:t>
      </w:r>
      <w:r w:rsidR="00A450B7" w:rsidRPr="00E451D2">
        <w:rPr>
          <w:u w:val="single"/>
          <w:rtl/>
        </w:rPr>
        <w:t xml:space="preserve"> بدورها داخليا</w:t>
      </w:r>
      <w:r w:rsidR="00671C24" w:rsidRPr="00E451D2">
        <w:rPr>
          <w:u w:val="single"/>
          <w:rtl/>
        </w:rPr>
        <w:t>ً</w:t>
      </w:r>
      <w:r w:rsidR="00A450B7" w:rsidRPr="00E451D2">
        <w:rPr>
          <w:u w:val="single"/>
          <w:rtl/>
        </w:rPr>
        <w:t xml:space="preserve"> </w:t>
      </w:r>
      <w:r w:rsidR="001A37CF" w:rsidRPr="00E451D2">
        <w:rPr>
          <w:u w:val="single"/>
          <w:rtl/>
        </w:rPr>
        <w:t>ب</w:t>
      </w:r>
      <w:r w:rsidR="00A450B7" w:rsidRPr="00E451D2">
        <w:rPr>
          <w:u w:val="single"/>
          <w:rtl/>
        </w:rPr>
        <w:t xml:space="preserve">تنسيق وإدارة المسؤوليات مع جميع الأطراف الفاعلة الرئيسية المشاركة في تنفيذ </w:t>
      </w:r>
      <w:r w:rsidR="00456934" w:rsidRPr="00E451D2">
        <w:rPr>
          <w:u w:val="single"/>
          <w:rtl/>
        </w:rPr>
        <w:t xml:space="preserve">عميلة </w:t>
      </w:r>
      <w:r w:rsidR="00FC0A30" w:rsidRPr="00E451D2">
        <w:rPr>
          <w:u w:val="single"/>
          <w:rtl/>
        </w:rPr>
        <w:t>التشغيل</w:t>
      </w:r>
      <w:r w:rsidR="00456934" w:rsidRPr="00E451D2">
        <w:rPr>
          <w:u w:val="single"/>
          <w:rtl/>
          <w:cs/>
        </w:rPr>
        <w:t>.</w:t>
      </w:r>
      <w:r w:rsidR="00A450B7" w:rsidRPr="00E451D2">
        <w:rPr>
          <w:u w:val="single"/>
          <w:cs/>
        </w:rPr>
        <w:t>‎</w:t>
      </w:r>
    </w:p>
    <w:p w14:paraId="3BA112A2" w14:textId="40196793" w:rsidR="00A450B7" w:rsidRPr="007E059A" w:rsidRDefault="00A450B7" w:rsidP="00E56BD6">
      <w:pPr>
        <w:rPr>
          <w:u w:val="single"/>
          <w:rtl/>
          <w:lang w:val="en-GB"/>
        </w:rPr>
      </w:pPr>
      <w:r w:rsidRPr="007E059A">
        <w:rPr>
          <w:u w:val="single"/>
          <w:rtl/>
        </w:rPr>
        <w:t>ومن غير الواضح تماما</w:t>
      </w:r>
      <w:r w:rsidR="00FC0A30" w:rsidRPr="007E059A">
        <w:rPr>
          <w:u w:val="single"/>
          <w:rtl/>
        </w:rPr>
        <w:t>ً</w:t>
      </w:r>
      <w:r w:rsidRPr="007E059A">
        <w:rPr>
          <w:u w:val="single"/>
          <w:rtl/>
        </w:rPr>
        <w:t xml:space="preserve"> ما إذا كانت الإدارة المبلغة عن شبكة الخدمة الثابتة الساتلية التي </w:t>
      </w:r>
      <w:r w:rsidR="0081655A" w:rsidRPr="007E059A">
        <w:rPr>
          <w:u w:val="single"/>
          <w:rtl/>
        </w:rPr>
        <w:t>ي</w:t>
      </w:r>
      <w:r w:rsidR="00FC0A30" w:rsidRPr="007E059A">
        <w:rPr>
          <w:u w:val="single"/>
          <w:rtl/>
        </w:rPr>
        <w:t>تواصل معها</w:t>
      </w:r>
      <w:r w:rsidRPr="007E059A">
        <w:rPr>
          <w:u w:val="single"/>
          <w:rtl/>
        </w:rPr>
        <w:t xml:space="preserve"> </w:t>
      </w:r>
      <w:r w:rsidR="0081655A" w:rsidRPr="007E059A">
        <w:rPr>
          <w:u w:val="single"/>
          <w:rtl/>
        </w:rPr>
        <w:t>نظام</w:t>
      </w:r>
      <w:r w:rsidR="00FC0A30" w:rsidRPr="007E059A">
        <w:rPr>
          <w:u w:val="single"/>
          <w:rtl/>
        </w:rPr>
        <w:t xml:space="preserve"> </w:t>
      </w:r>
      <w:r w:rsidRPr="007E059A">
        <w:rPr>
          <w:u w:val="single"/>
          <w:rtl/>
        </w:rPr>
        <w:t xml:space="preserve">الاتصالات </w:t>
      </w:r>
      <w:r w:rsidRPr="007E059A">
        <w:rPr>
          <w:u w:val="single"/>
          <w:cs/>
        </w:rPr>
        <w:t>‎</w:t>
      </w:r>
      <w:r w:rsidR="00FC0A30" w:rsidRPr="007E059A">
        <w:rPr>
          <w:u w:val="single"/>
        </w:rPr>
        <w:t xml:space="preserve"> UAS CNPC</w:t>
      </w:r>
      <w:r w:rsidRPr="007E059A">
        <w:rPr>
          <w:u w:val="single"/>
          <w:rtl/>
        </w:rPr>
        <w:t>‏ مستعدة</w:t>
      </w:r>
      <w:r w:rsidR="00184515">
        <w:rPr>
          <w:rFonts w:hint="cs"/>
          <w:u w:val="single"/>
          <w:rtl/>
        </w:rPr>
        <w:t>ً</w:t>
      </w:r>
      <w:r w:rsidRPr="007E059A">
        <w:rPr>
          <w:u w:val="single"/>
          <w:rtl/>
        </w:rPr>
        <w:t xml:space="preserve"> لقبول هذه المسؤوليات </w:t>
      </w:r>
      <w:r w:rsidR="00FC0A30" w:rsidRPr="007E059A">
        <w:rPr>
          <w:u w:val="single"/>
          <w:rtl/>
        </w:rPr>
        <w:t xml:space="preserve">الواسعة </w:t>
      </w:r>
      <w:r w:rsidR="00FC0A30" w:rsidRPr="00E451D2">
        <w:rPr>
          <w:u w:val="single"/>
          <w:rtl/>
        </w:rPr>
        <w:t>والهامة</w:t>
      </w:r>
      <w:r w:rsidR="00184515" w:rsidRPr="00E451D2">
        <w:rPr>
          <w:rFonts w:hint="cs"/>
          <w:u w:val="single"/>
          <w:rtl/>
        </w:rPr>
        <w:t xml:space="preserve"> </w:t>
      </w:r>
      <w:r w:rsidRPr="007E059A">
        <w:rPr>
          <w:u w:val="single"/>
          <w:rtl/>
        </w:rPr>
        <w:t xml:space="preserve">وغير </w:t>
      </w:r>
      <w:r w:rsidR="00FC0A30" w:rsidRPr="007E059A">
        <w:rPr>
          <w:u w:val="single"/>
          <w:rtl/>
        </w:rPr>
        <w:t>الواضحة</w:t>
      </w:r>
      <w:r w:rsidRPr="007E059A">
        <w:rPr>
          <w:u w:val="single"/>
          <w:rtl/>
        </w:rPr>
        <w:t>.</w:t>
      </w:r>
      <w:r w:rsidR="00FC0A30" w:rsidRPr="007E059A">
        <w:rPr>
          <w:u w:val="single"/>
          <w:rtl/>
        </w:rPr>
        <w:t xml:space="preserve"> </w:t>
      </w:r>
      <w:r w:rsidRPr="007E059A">
        <w:rPr>
          <w:u w:val="single"/>
          <w:rtl/>
        </w:rPr>
        <w:t>وبناء</w:t>
      </w:r>
      <w:r w:rsidR="00184515">
        <w:rPr>
          <w:rFonts w:hint="cs"/>
          <w:u w:val="single"/>
          <w:rtl/>
        </w:rPr>
        <w:t>ً</w:t>
      </w:r>
      <w:r w:rsidRPr="007E059A">
        <w:rPr>
          <w:u w:val="single"/>
          <w:rtl/>
        </w:rPr>
        <w:t xml:space="preserve"> على </w:t>
      </w:r>
      <w:r w:rsidR="00FC0A30" w:rsidRPr="007E059A">
        <w:rPr>
          <w:u w:val="single"/>
          <w:rtl/>
        </w:rPr>
        <w:t>ا</w:t>
      </w:r>
      <w:r w:rsidRPr="007E059A">
        <w:rPr>
          <w:u w:val="single"/>
          <w:rtl/>
        </w:rPr>
        <w:t>لتفاصيل التقنية المقدمة حاليا</w:t>
      </w:r>
      <w:r w:rsidR="00FC0A30" w:rsidRPr="007E059A">
        <w:rPr>
          <w:u w:val="single"/>
          <w:rtl/>
        </w:rPr>
        <w:t>ً</w:t>
      </w:r>
      <w:r w:rsidRPr="007E059A">
        <w:rPr>
          <w:u w:val="single"/>
          <w:rtl/>
        </w:rPr>
        <w:t xml:space="preserve"> من فرقة العمل </w:t>
      </w:r>
      <w:r w:rsidRPr="007E059A">
        <w:rPr>
          <w:u w:val="single"/>
          <w:cs/>
        </w:rPr>
        <w:t>‎</w:t>
      </w:r>
      <w:r w:rsidRPr="007E059A">
        <w:rPr>
          <w:u w:val="single"/>
        </w:rPr>
        <w:t>5</w:t>
      </w:r>
      <w:r w:rsidR="00FC0A30" w:rsidRPr="007E059A">
        <w:rPr>
          <w:u w:val="single"/>
        </w:rPr>
        <w:t>B</w:t>
      </w:r>
      <w:r w:rsidRPr="007E059A">
        <w:rPr>
          <w:u w:val="single"/>
          <w:rtl/>
        </w:rPr>
        <w:t>‏، لم ت</w:t>
      </w:r>
      <w:r w:rsidR="00184515">
        <w:rPr>
          <w:rFonts w:hint="cs"/>
          <w:u w:val="single"/>
          <w:rtl/>
        </w:rPr>
        <w:t>ُ</w:t>
      </w:r>
      <w:r w:rsidRPr="007E059A">
        <w:rPr>
          <w:u w:val="single"/>
          <w:rtl/>
        </w:rPr>
        <w:t>ستكمل بعد المناقشات بشأن مبادئ تشغيل</w:t>
      </w:r>
      <w:r w:rsidR="00FC0A30" w:rsidRPr="007E059A">
        <w:rPr>
          <w:u w:val="single"/>
          <w:rtl/>
        </w:rPr>
        <w:t xml:space="preserve"> </w:t>
      </w:r>
      <w:r w:rsidR="0081655A" w:rsidRPr="007E059A">
        <w:rPr>
          <w:u w:val="single"/>
          <w:rtl/>
        </w:rPr>
        <w:t>نظام</w:t>
      </w:r>
      <w:r w:rsidRPr="007E059A">
        <w:rPr>
          <w:u w:val="single"/>
          <w:rtl/>
        </w:rPr>
        <w:t xml:space="preserve"> الاتصالات </w:t>
      </w:r>
      <w:r w:rsidRPr="007E059A">
        <w:rPr>
          <w:u w:val="single"/>
          <w:cs/>
        </w:rPr>
        <w:t>‎</w:t>
      </w:r>
      <w:r w:rsidR="00FC0A30" w:rsidRPr="007E059A">
        <w:rPr>
          <w:u w:val="single"/>
        </w:rPr>
        <w:t xml:space="preserve"> UAS CNPC</w:t>
      </w:r>
      <w:r w:rsidRPr="007E059A">
        <w:rPr>
          <w:u w:val="single"/>
          <w:rtl/>
        </w:rPr>
        <w:t>‏مثل الإدارة التي يمكن</w:t>
      </w:r>
      <w:r w:rsidR="00FC0A30" w:rsidRPr="007E059A">
        <w:rPr>
          <w:u w:val="single"/>
          <w:rtl/>
        </w:rPr>
        <w:t>ها</w:t>
      </w:r>
      <w:r w:rsidRPr="007E059A">
        <w:rPr>
          <w:u w:val="single"/>
          <w:rtl/>
        </w:rPr>
        <w:t xml:space="preserve"> وينبغي </w:t>
      </w:r>
      <w:r w:rsidR="00FC0A30" w:rsidRPr="007E059A">
        <w:rPr>
          <w:u w:val="single"/>
          <w:rtl/>
        </w:rPr>
        <w:t xml:space="preserve">لها </w:t>
      </w:r>
      <w:r w:rsidRPr="007E059A">
        <w:rPr>
          <w:u w:val="single"/>
          <w:rtl/>
        </w:rPr>
        <w:t xml:space="preserve">أن تتحمل المسؤولية </w:t>
      </w:r>
      <w:r w:rsidR="00FC0A30" w:rsidRPr="007E059A">
        <w:rPr>
          <w:u w:val="single"/>
          <w:rtl/>
        </w:rPr>
        <w:t>فيما يتعلق</w:t>
      </w:r>
      <w:r w:rsidRPr="007E059A">
        <w:rPr>
          <w:u w:val="single"/>
          <w:rtl/>
        </w:rPr>
        <w:t xml:space="preserve"> بتشغيل </w:t>
      </w:r>
      <w:r w:rsidR="00FC0A30" w:rsidRPr="007E059A">
        <w:rPr>
          <w:u w:val="single"/>
          <w:rtl/>
        </w:rPr>
        <w:t xml:space="preserve">نظام </w:t>
      </w:r>
      <w:r w:rsidRPr="007E059A">
        <w:rPr>
          <w:u w:val="single"/>
          <w:rtl/>
        </w:rPr>
        <w:t xml:space="preserve">الاتصالات </w:t>
      </w:r>
      <w:r w:rsidRPr="007E059A">
        <w:rPr>
          <w:u w:val="single"/>
          <w:cs/>
        </w:rPr>
        <w:t>‎</w:t>
      </w:r>
      <w:r w:rsidR="00FC0A30" w:rsidRPr="007E059A">
        <w:rPr>
          <w:u w:val="single"/>
        </w:rPr>
        <w:t>UAS CNPC</w:t>
      </w:r>
      <w:r w:rsidRPr="007E059A">
        <w:rPr>
          <w:u w:val="single"/>
          <w:rtl/>
        </w:rPr>
        <w:t>‏، وتقرر أنه سيكون من الضروري استكمال هذه المناقشات قبل التقدم في نص محدد ل</w:t>
      </w:r>
      <w:r w:rsidR="00FC0A30" w:rsidRPr="007E059A">
        <w:rPr>
          <w:u w:val="single"/>
          <w:rtl/>
        </w:rPr>
        <w:t xml:space="preserve">اتخاذ </w:t>
      </w:r>
      <w:r w:rsidRPr="007E059A">
        <w:rPr>
          <w:u w:val="single"/>
          <w:rtl/>
        </w:rPr>
        <w:t>قرار.</w:t>
      </w:r>
      <w:r w:rsidRPr="007E059A">
        <w:rPr>
          <w:u w:val="single"/>
          <w:cs/>
        </w:rPr>
        <w:t>‎</w:t>
      </w:r>
    </w:p>
    <w:p w14:paraId="297ABB7B" w14:textId="29A74B1E" w:rsidR="00F5713F" w:rsidRPr="00C651C3" w:rsidRDefault="00E87B97" w:rsidP="00F5713F">
      <w:pPr>
        <w:rPr>
          <w:b/>
          <w:bCs/>
          <w:rtl/>
        </w:rPr>
      </w:pPr>
      <w:r w:rsidRPr="00C651C3">
        <w:rPr>
          <w:rtl/>
        </w:rPr>
        <w:t>‏وخلافاً لما يحدث بالنسبة لبنود جدول الأعمال الأخرى، فإن خيار "لا تغيير" غير ممكن عملياً للوفاء ببند جدول الأعمال، لأنه</w:t>
      </w:r>
      <w:r w:rsidR="00E574F4">
        <w:rPr>
          <w:rFonts w:hint="cs"/>
          <w:rtl/>
        </w:rPr>
        <w:t> </w:t>
      </w:r>
      <w:r w:rsidRPr="00C651C3">
        <w:rPr>
          <w:rtl/>
        </w:rPr>
        <w:t xml:space="preserve">لن يكون متسقاً مع نص بند جدول الأعمال وصياغته. </w:t>
      </w:r>
      <w:r w:rsidRPr="00854536">
        <w:rPr>
          <w:u w:val="single"/>
          <w:rtl/>
        </w:rPr>
        <w:t xml:space="preserve">ولا ينطبق القرار </w:t>
      </w:r>
      <w:r w:rsidRPr="00854536">
        <w:rPr>
          <w:b/>
          <w:bCs/>
          <w:u w:val="single"/>
          <w:rtl/>
        </w:rPr>
        <w:t>(</w:t>
      </w:r>
      <w:r w:rsidRPr="00854536">
        <w:rPr>
          <w:b/>
          <w:bCs/>
          <w:u w:val="single"/>
        </w:rPr>
        <w:t>Rev.WRC-19</w:t>
      </w:r>
      <w:r w:rsidRPr="00854536">
        <w:rPr>
          <w:b/>
          <w:bCs/>
          <w:u w:val="single"/>
          <w:rtl/>
        </w:rPr>
        <w:t>)</w:t>
      </w:r>
      <w:r w:rsidR="002A64C1">
        <w:rPr>
          <w:b/>
          <w:bCs/>
          <w:u w:val="single"/>
        </w:rPr>
        <w:t xml:space="preserve"> </w:t>
      </w:r>
      <w:r w:rsidRPr="00854536">
        <w:rPr>
          <w:b/>
          <w:bCs/>
          <w:u w:val="single"/>
          <w:rtl/>
        </w:rPr>
        <w:t>155</w:t>
      </w:r>
      <w:r w:rsidRPr="00854536">
        <w:rPr>
          <w:u w:val="single"/>
          <w:rtl/>
        </w:rPr>
        <w:t> الساري بسبب عدد من</w:t>
      </w:r>
      <w:r w:rsidR="00E574F4">
        <w:rPr>
          <w:rFonts w:hint="cs"/>
          <w:u w:val="single"/>
          <w:rtl/>
        </w:rPr>
        <w:t> </w:t>
      </w:r>
      <w:r w:rsidRPr="00854536">
        <w:rPr>
          <w:u w:val="single"/>
          <w:rtl/>
        </w:rPr>
        <w:t>أوجه عدم الاتساق والقصور والتناقضات، التي أشارت الإيكاو وبعض الإدارات إلى بعضها. والخيار الوحيد المتاح لقطاع الاتصالات الراديوية هو مراجعة القرار دون التوصل إلى أي اتفاق.</w:t>
      </w:r>
      <w:r w:rsidRPr="009C1611">
        <w:rPr>
          <w:rtl/>
        </w:rPr>
        <w:t xml:space="preserve"> ولم تُناقش بعد ديباجة مشروع القرار. </w:t>
      </w:r>
      <w:r w:rsidRPr="00C651C3">
        <w:rPr>
          <w:rtl/>
        </w:rPr>
        <w:t xml:space="preserve">وفيما يتعلق بمنطوق </w:t>
      </w:r>
      <w:r w:rsidR="000F06D4" w:rsidRPr="00C651C3">
        <w:rPr>
          <w:rtl/>
        </w:rPr>
        <w:t>القرار</w:t>
      </w:r>
      <w:r w:rsidRPr="00C651C3">
        <w:rPr>
          <w:rtl/>
        </w:rPr>
        <w:t xml:space="preserve"> (</w:t>
      </w:r>
      <w:r w:rsidR="00DD0091" w:rsidRPr="00C651C3">
        <w:rPr>
          <w:rtl/>
        </w:rPr>
        <w:t>جزء "</w:t>
      </w:r>
      <w:r w:rsidRPr="009C1611">
        <w:rPr>
          <w:i/>
          <w:iCs/>
          <w:rtl/>
        </w:rPr>
        <w:t>يقرر</w:t>
      </w:r>
      <w:r w:rsidR="00DD0091" w:rsidRPr="00C651C3">
        <w:rPr>
          <w:rtl/>
        </w:rPr>
        <w:t>"</w:t>
      </w:r>
      <w:r w:rsidRPr="00C651C3">
        <w:rPr>
          <w:rtl/>
        </w:rPr>
        <w:t>)، فقد نوقشت بعض العناصر فقط بإيجاز وتم الاتفاق عليها جزئياً.</w:t>
      </w:r>
      <w:r w:rsidR="00A60CD2" w:rsidRPr="00C651C3">
        <w:rPr>
          <w:rtl/>
        </w:rPr>
        <w:t xml:space="preserve"> أما الأجزاء المتبقية، بما فيها ملحقات القرار، فلم تُناق</w:t>
      </w:r>
      <w:r w:rsidR="009C1611">
        <w:rPr>
          <w:rFonts w:hint="cs"/>
          <w:rtl/>
        </w:rPr>
        <w:t>َ</w:t>
      </w:r>
      <w:r w:rsidR="00A60CD2" w:rsidRPr="00C651C3">
        <w:rPr>
          <w:rtl/>
        </w:rPr>
        <w:t xml:space="preserve">ش على الإطلاق. وفي الاجتماع التحضيري للمؤتمر </w:t>
      </w:r>
      <w:r w:rsidR="00A60CD2" w:rsidRPr="00C651C3">
        <w:t>CPM23-2</w:t>
      </w:r>
      <w:r w:rsidR="00A60CD2" w:rsidRPr="00C651C3">
        <w:rPr>
          <w:rtl/>
        </w:rPr>
        <w:t xml:space="preserve"> </w:t>
      </w:r>
      <w:r w:rsidR="00E2529E" w:rsidRPr="00C651C3">
        <w:rPr>
          <w:rtl/>
        </w:rPr>
        <w:t>لم يكن</w:t>
      </w:r>
      <w:r w:rsidR="00A60CD2" w:rsidRPr="00C651C3">
        <w:rPr>
          <w:rtl/>
        </w:rPr>
        <w:t xml:space="preserve"> هناك </w:t>
      </w:r>
      <w:r w:rsidR="00E2529E" w:rsidRPr="00C651C3">
        <w:rPr>
          <w:rtl/>
        </w:rPr>
        <w:t>ال</w:t>
      </w:r>
      <w:r w:rsidR="00A60CD2" w:rsidRPr="00C651C3">
        <w:rPr>
          <w:rtl/>
        </w:rPr>
        <w:t>وقت</w:t>
      </w:r>
      <w:r w:rsidR="005E7604" w:rsidRPr="00C651C3">
        <w:rPr>
          <w:rtl/>
        </w:rPr>
        <w:t xml:space="preserve"> الكافي</w:t>
      </w:r>
      <w:r w:rsidR="00A60CD2" w:rsidRPr="00C651C3">
        <w:rPr>
          <w:rtl/>
        </w:rPr>
        <w:t xml:space="preserve"> لاستكمال الأجزاء غير </w:t>
      </w:r>
      <w:r w:rsidR="00DC0EE9" w:rsidRPr="00C651C3">
        <w:rPr>
          <w:rtl/>
        </w:rPr>
        <w:t>ا</w:t>
      </w:r>
      <w:r w:rsidR="00A60CD2" w:rsidRPr="00C651C3">
        <w:rPr>
          <w:rtl/>
        </w:rPr>
        <w:t xml:space="preserve">لمناقشة وغير المتفق عليها، </w:t>
      </w:r>
      <w:r w:rsidR="00E2529E" w:rsidRPr="00C651C3">
        <w:rPr>
          <w:rtl/>
        </w:rPr>
        <w:t>حيث إن ذلك كان سيقتضي</w:t>
      </w:r>
      <w:r w:rsidR="00A60CD2" w:rsidRPr="00C651C3">
        <w:rPr>
          <w:rtl/>
        </w:rPr>
        <w:t xml:space="preserve"> مناقشات مكثفة</w:t>
      </w:r>
      <w:r w:rsidR="002A64C1">
        <w:rPr>
          <w:rFonts w:hint="cs"/>
          <w:rtl/>
        </w:rPr>
        <w:t>ً</w:t>
      </w:r>
      <w:r w:rsidR="00202612" w:rsidRPr="00C651C3">
        <w:rPr>
          <w:rtl/>
        </w:rPr>
        <w:t xml:space="preserve"> </w:t>
      </w:r>
      <w:r w:rsidR="00F5713F" w:rsidRPr="00C651C3">
        <w:rPr>
          <w:rtl/>
        </w:rPr>
        <w:t xml:space="preserve">للغاية </w:t>
      </w:r>
      <w:r w:rsidR="00E2529E" w:rsidRPr="00C651C3">
        <w:rPr>
          <w:rtl/>
        </w:rPr>
        <w:t xml:space="preserve">لم يسمح بإجرائها </w:t>
      </w:r>
      <w:r w:rsidR="00DC0EE9" w:rsidRPr="00C651C3">
        <w:rPr>
          <w:rtl/>
        </w:rPr>
        <w:t xml:space="preserve">الوقت المتاح </w:t>
      </w:r>
      <w:r w:rsidR="00E2529E" w:rsidRPr="00C651C3">
        <w:rPr>
          <w:rtl/>
        </w:rPr>
        <w:t>في</w:t>
      </w:r>
      <w:r w:rsidR="00E574F4">
        <w:rPr>
          <w:rFonts w:hint="cs"/>
          <w:rtl/>
        </w:rPr>
        <w:t> </w:t>
      </w:r>
      <w:r w:rsidR="00E2529E" w:rsidRPr="00C651C3">
        <w:rPr>
          <w:rtl/>
        </w:rPr>
        <w:t>ا</w:t>
      </w:r>
      <w:r w:rsidR="00DC0EE9" w:rsidRPr="00C651C3">
        <w:rPr>
          <w:rtl/>
        </w:rPr>
        <w:t xml:space="preserve">لاجتماع </w:t>
      </w:r>
      <w:r w:rsidR="00DC0EE9" w:rsidRPr="00C651C3">
        <w:rPr>
          <w:lang w:val="en-GB"/>
        </w:rPr>
        <w:t>CPM23-2</w:t>
      </w:r>
      <w:r w:rsidR="00164793" w:rsidRPr="00C651C3">
        <w:rPr>
          <w:rtl/>
        </w:rPr>
        <w:t>.</w:t>
      </w:r>
      <w:r w:rsidR="00F5713F" w:rsidRPr="00C651C3">
        <w:rPr>
          <w:rtl/>
        </w:rPr>
        <w:t xml:space="preserve"> ولذلك، فإن الحل الممكن </w:t>
      </w:r>
      <w:r w:rsidR="005D7B55" w:rsidRPr="00C651C3">
        <w:rPr>
          <w:rtl/>
        </w:rPr>
        <w:t>هو حذف هذا</w:t>
      </w:r>
      <w:r w:rsidR="00F5713F" w:rsidRPr="00C651C3">
        <w:rPr>
          <w:rtl/>
        </w:rPr>
        <w:t xml:space="preserve"> القرار والقرار </w:t>
      </w:r>
      <w:r w:rsidR="00F5713F" w:rsidRPr="00C651C3">
        <w:rPr>
          <w:b/>
          <w:bCs/>
          <w:rtl/>
        </w:rPr>
        <w:t>(</w:t>
      </w:r>
      <w:r w:rsidR="00F5713F" w:rsidRPr="00C651C3">
        <w:rPr>
          <w:b/>
          <w:bCs/>
        </w:rPr>
        <w:t>WRC-19</w:t>
      </w:r>
      <w:r w:rsidR="00F5713F" w:rsidRPr="00C651C3">
        <w:rPr>
          <w:b/>
          <w:bCs/>
          <w:rtl/>
        </w:rPr>
        <w:t>)</w:t>
      </w:r>
      <w:proofErr w:type="gramStart"/>
      <w:r w:rsidR="002A64C1" w:rsidRPr="00C651C3">
        <w:rPr>
          <w:b/>
          <w:bCs/>
          <w:lang w:val="en-GB"/>
        </w:rPr>
        <w:t>171</w:t>
      </w:r>
      <w:r w:rsidR="002A64C1">
        <w:rPr>
          <w:lang w:val="en-GB"/>
        </w:rPr>
        <w:t> </w:t>
      </w:r>
      <w:r w:rsidR="002A64C1">
        <w:rPr>
          <w:rFonts w:hint="cs"/>
          <w:rtl/>
          <w:lang w:val="en-GB"/>
        </w:rPr>
        <w:t xml:space="preserve"> </w:t>
      </w:r>
      <w:r w:rsidR="002A64C1">
        <w:rPr>
          <w:rtl/>
          <w:lang w:val="en-GB"/>
        </w:rPr>
        <w:t>والرقم</w:t>
      </w:r>
      <w:proofErr w:type="gramEnd"/>
      <w:r w:rsidR="00F5713F" w:rsidRPr="00C651C3">
        <w:rPr>
          <w:rtl/>
        </w:rPr>
        <w:t xml:space="preserve"> </w:t>
      </w:r>
      <w:r w:rsidR="009C1611">
        <w:rPr>
          <w:rStyle w:val="Artref"/>
          <w:rFonts w:hint="cs"/>
          <w:b/>
          <w:bCs/>
          <w:rtl/>
        </w:rPr>
        <w:t>5.</w:t>
      </w:r>
      <w:r w:rsidR="009C1611">
        <w:rPr>
          <w:rStyle w:val="Artref"/>
          <w:b/>
          <w:bCs/>
        </w:rPr>
        <w:t>484B</w:t>
      </w:r>
      <w:r w:rsidR="004E5775" w:rsidRPr="00184515">
        <w:rPr>
          <w:rFonts w:hint="cs"/>
          <w:rtl/>
        </w:rPr>
        <w:t>.</w:t>
      </w:r>
    </w:p>
    <w:p w14:paraId="54DD0CB1" w14:textId="2F9AFB32" w:rsidR="00DC24FF" w:rsidRPr="00854536" w:rsidRDefault="00DC24FF" w:rsidP="00DC24FF">
      <w:pPr>
        <w:rPr>
          <w:u w:val="single"/>
          <w:rtl/>
        </w:rPr>
      </w:pPr>
      <w:r w:rsidRPr="00E451D2">
        <w:rPr>
          <w:rtl/>
        </w:rPr>
        <w:t xml:space="preserve">وينبغي التأكيد على أن إدارة التداخل في تخصيصات التردد وتنفيذ </w:t>
      </w:r>
      <w:r w:rsidR="004E74B4" w:rsidRPr="00E451D2">
        <w:rPr>
          <w:rtl/>
        </w:rPr>
        <w:t xml:space="preserve">أحكام </w:t>
      </w:r>
      <w:r w:rsidRPr="00E451D2">
        <w:rPr>
          <w:rtl/>
        </w:rPr>
        <w:t>لوائح الراديو هي مسؤولية إدارات الاتحاد التي</w:t>
      </w:r>
      <w:r w:rsidR="00E574F4" w:rsidRPr="00E451D2">
        <w:rPr>
          <w:rFonts w:hint="cs"/>
          <w:rtl/>
        </w:rPr>
        <w:t> </w:t>
      </w:r>
      <w:r w:rsidRPr="00E451D2">
        <w:rPr>
          <w:rtl/>
        </w:rPr>
        <w:t xml:space="preserve">تفتقر إلى أحكام واستنتاجات واضحة. </w:t>
      </w:r>
      <w:r w:rsidRPr="00E451D2">
        <w:rPr>
          <w:u w:val="single"/>
          <w:rtl/>
        </w:rPr>
        <w:t xml:space="preserve">ومع ذلك، وكما هو مبين في الوثيقة الختامية لقطاع الاتصالات الراديوية، لا توجد فكرة واضحة عن كيفية تنفيذ ألية إدارة التداخل غير </w:t>
      </w:r>
      <w:r w:rsidR="00184515" w:rsidRPr="00E451D2">
        <w:rPr>
          <w:rFonts w:hint="cs"/>
          <w:u w:val="single"/>
          <w:rtl/>
        </w:rPr>
        <w:t>الموجودة</w:t>
      </w:r>
      <w:r w:rsidR="00184515">
        <w:rPr>
          <w:rFonts w:hint="cs"/>
          <w:u w:val="single"/>
          <w:rtl/>
        </w:rPr>
        <w:t xml:space="preserve"> </w:t>
      </w:r>
      <w:r w:rsidRPr="00854536">
        <w:rPr>
          <w:u w:val="single"/>
          <w:rtl/>
        </w:rPr>
        <w:t>حالياً. وهناك أيضاً بعض الغموض فيما يتعلق بمستوى التداخل على</w:t>
      </w:r>
      <w:r w:rsidR="00E574F4">
        <w:rPr>
          <w:rFonts w:hint="cs"/>
          <w:u w:val="single"/>
          <w:rtl/>
        </w:rPr>
        <w:t> </w:t>
      </w:r>
      <w:r w:rsidRPr="00854536">
        <w:rPr>
          <w:u w:val="single"/>
          <w:rtl/>
        </w:rPr>
        <w:t>محطات استقبال هذه الوصلات، وهو ما لم يتم توضيحه بعد في القرار.</w:t>
      </w:r>
    </w:p>
    <w:p w14:paraId="24169311" w14:textId="3C4306C1" w:rsidR="00CF0CCE" w:rsidRPr="00421ABB" w:rsidRDefault="00CF0CCE" w:rsidP="00E56BD6">
      <w:pPr>
        <w:rPr>
          <w:rtl/>
          <w:lang w:bidi="ar-AE"/>
        </w:rPr>
      </w:pPr>
      <w:r w:rsidRPr="00421ABB">
        <w:rPr>
          <w:rtl/>
        </w:rPr>
        <w:t xml:space="preserve">تم تحديد أسلوبين للوفاء بالبند </w:t>
      </w:r>
      <w:r w:rsidRPr="00421ABB">
        <w:t>8.1</w:t>
      </w:r>
      <w:r w:rsidRPr="00421ABB">
        <w:rPr>
          <w:rtl/>
        </w:rPr>
        <w:t xml:space="preserve"> من جدول أعمال المؤتمر العالمي للاتصالات الراديوية لعام </w:t>
      </w:r>
      <w:r w:rsidRPr="00421ABB">
        <w:t>2023</w:t>
      </w:r>
      <w:r w:rsidRPr="00421ABB">
        <w:rPr>
          <w:rtl/>
        </w:rPr>
        <w:t xml:space="preserve"> </w:t>
      </w:r>
      <w:r w:rsidRPr="00421ABB">
        <w:t>(WRC-23)</w:t>
      </w:r>
      <w:r w:rsidRPr="00421ABB">
        <w:rPr>
          <w:rtl/>
        </w:rPr>
        <w:t>:</w:t>
      </w:r>
    </w:p>
    <w:p w14:paraId="64915511" w14:textId="6180F180" w:rsidR="00CF0CCE" w:rsidRPr="00421ABB" w:rsidRDefault="00CF0CCE" w:rsidP="00CF0CCE">
      <w:pPr>
        <w:pStyle w:val="enumlev1"/>
        <w:rPr>
          <w:rtl/>
          <w:lang w:bidi="ar-EG"/>
        </w:rPr>
      </w:pPr>
      <w:r w:rsidRPr="00421ABB">
        <w:rPr>
          <w:rtl/>
          <w:lang w:bidi="ar-EG"/>
        </w:rPr>
        <w:t>–</w:t>
      </w:r>
      <w:r w:rsidRPr="00421ABB">
        <w:rPr>
          <w:rtl/>
          <w:lang w:bidi="ar-EG"/>
        </w:rPr>
        <w:tab/>
      </w:r>
      <w:r w:rsidRPr="00421ABB">
        <w:rPr>
          <w:rtl/>
        </w:rPr>
        <w:t xml:space="preserve">يقترح الأسلوب </w:t>
      </w:r>
      <w:r w:rsidRPr="00421ABB">
        <w:rPr>
          <w:lang w:bidi="ar-EG"/>
        </w:rPr>
        <w:t>A</w:t>
      </w:r>
      <w:r w:rsidRPr="00421ABB">
        <w:rPr>
          <w:rtl/>
        </w:rPr>
        <w:t xml:space="preserve"> إلغاء الرقم </w:t>
      </w:r>
      <w:r w:rsidRPr="00421ABB">
        <w:rPr>
          <w:rStyle w:val="Artref"/>
          <w:b/>
          <w:bCs/>
        </w:rPr>
        <w:t>484B.5</w:t>
      </w:r>
      <w:r w:rsidRPr="00421ABB">
        <w:rPr>
          <w:rtl/>
        </w:rPr>
        <w:t xml:space="preserve"> من لوائح الراديو إلى جانب القرار </w:t>
      </w:r>
      <w:r w:rsidRPr="00421ABB">
        <w:rPr>
          <w:b/>
          <w:bCs/>
          <w:lang w:bidi="ar-EG"/>
        </w:rPr>
        <w:t>155 (Rev.WRC</w:t>
      </w:r>
      <w:r w:rsidRPr="00421ABB">
        <w:rPr>
          <w:b/>
          <w:bCs/>
          <w:lang w:bidi="ar-EG"/>
        </w:rPr>
        <w:noBreakHyphen/>
        <w:t>19)</w:t>
      </w:r>
      <w:r w:rsidRPr="00421ABB">
        <w:rPr>
          <w:rtl/>
        </w:rPr>
        <w:t xml:space="preserve"> والقرار</w:t>
      </w:r>
      <w:r w:rsidR="00E574F4" w:rsidRPr="00421ABB">
        <w:rPr>
          <w:rFonts w:hint="cs"/>
          <w:rtl/>
        </w:rPr>
        <w:t> </w:t>
      </w:r>
      <w:r w:rsidRPr="00421ABB">
        <w:rPr>
          <w:b/>
          <w:bCs/>
          <w:lang w:bidi="ar-EG"/>
        </w:rPr>
        <w:t>171</w:t>
      </w:r>
      <w:r w:rsidR="00E574F4" w:rsidRPr="00421ABB">
        <w:rPr>
          <w:b/>
          <w:bCs/>
          <w:lang w:bidi="ar-EG"/>
        </w:rPr>
        <w:t> </w:t>
      </w:r>
      <w:r w:rsidRPr="00421ABB">
        <w:rPr>
          <w:b/>
          <w:bCs/>
          <w:lang w:bidi="ar-EG"/>
        </w:rPr>
        <w:t>(WRC-19)</w:t>
      </w:r>
      <w:r w:rsidRPr="00421ABB">
        <w:rPr>
          <w:rtl/>
        </w:rPr>
        <w:t>؛</w:t>
      </w:r>
    </w:p>
    <w:p w14:paraId="65FF521D" w14:textId="1E9FAC0C" w:rsidR="00CF0CCE" w:rsidRPr="00C651C3" w:rsidRDefault="00CF0CCE" w:rsidP="00CF0CCE">
      <w:pPr>
        <w:pStyle w:val="enumlev1"/>
        <w:rPr>
          <w:rtl/>
          <w:lang w:bidi="ar-EG"/>
        </w:rPr>
      </w:pPr>
      <w:r w:rsidRPr="00421ABB">
        <w:rPr>
          <w:rtl/>
          <w:lang w:bidi="ar-EG"/>
        </w:rPr>
        <w:t>–</w:t>
      </w:r>
      <w:r w:rsidRPr="00421ABB">
        <w:rPr>
          <w:rtl/>
          <w:lang w:bidi="ar-EG"/>
        </w:rPr>
        <w:tab/>
      </w:r>
      <w:r w:rsidRPr="00421ABB">
        <w:rPr>
          <w:rtl/>
        </w:rPr>
        <w:t xml:space="preserve">يهدف الأسلوب </w:t>
      </w:r>
      <w:r w:rsidRPr="00421ABB">
        <w:t>B</w:t>
      </w:r>
      <w:r w:rsidRPr="00421ABB">
        <w:rPr>
          <w:rtl/>
        </w:rPr>
        <w:t xml:space="preserve"> إلى مراجعة القرار </w:t>
      </w:r>
      <w:r w:rsidRPr="00421ABB">
        <w:rPr>
          <w:b/>
          <w:bCs/>
        </w:rPr>
        <w:t>155 (Rev.WRC</w:t>
      </w:r>
      <w:r w:rsidRPr="00421ABB">
        <w:rPr>
          <w:b/>
          <w:bCs/>
        </w:rPr>
        <w:noBreakHyphen/>
        <w:t>19)</w:t>
      </w:r>
      <w:r w:rsidRPr="00421ABB">
        <w:rPr>
          <w:b/>
          <w:bCs/>
          <w:rtl/>
        </w:rPr>
        <w:t xml:space="preserve"> </w:t>
      </w:r>
      <w:r w:rsidRPr="00421ABB">
        <w:rPr>
          <w:rtl/>
        </w:rPr>
        <w:t xml:space="preserve">بما يتوافق مع القرار </w:t>
      </w:r>
      <w:r w:rsidRPr="00421ABB">
        <w:rPr>
          <w:b/>
          <w:bCs/>
        </w:rPr>
        <w:t>171 (WRC-19)</w:t>
      </w:r>
      <w:r w:rsidRPr="00421ABB">
        <w:rPr>
          <w:rtl/>
        </w:rPr>
        <w:t>، ومن ثم إلغاء القرار </w:t>
      </w:r>
      <w:r w:rsidRPr="00421ABB">
        <w:rPr>
          <w:b/>
          <w:bCs/>
        </w:rPr>
        <w:t>171 (WRC</w:t>
      </w:r>
      <w:r w:rsidRPr="00421ABB">
        <w:rPr>
          <w:b/>
          <w:bCs/>
        </w:rPr>
        <w:noBreakHyphen/>
        <w:t>19)</w:t>
      </w:r>
      <w:r w:rsidRPr="00421ABB">
        <w:rPr>
          <w:rtl/>
        </w:rPr>
        <w:t xml:space="preserve">. وبالإضافة إلى ذلك، يتضمن هذا الأسلوب مراجعة الرقم </w:t>
      </w:r>
      <w:r w:rsidRPr="00421ABB">
        <w:rPr>
          <w:rStyle w:val="Artref"/>
          <w:b/>
          <w:bCs/>
        </w:rPr>
        <w:t>484B.5</w:t>
      </w:r>
      <w:r w:rsidRPr="00421ABB">
        <w:rPr>
          <w:rtl/>
        </w:rPr>
        <w:t xml:space="preserve"> من لوائح الراديو كخيار.</w:t>
      </w:r>
    </w:p>
    <w:p w14:paraId="449074F7" w14:textId="7791AFA3" w:rsidR="00CF0CCE" w:rsidRPr="00C651C3" w:rsidRDefault="00CF0CCE" w:rsidP="00CF0CCE">
      <w:pPr>
        <w:pStyle w:val="Headingb"/>
        <w:rPr>
          <w:rtl/>
        </w:rPr>
      </w:pPr>
      <w:r w:rsidRPr="00C651C3">
        <w:rPr>
          <w:rtl/>
        </w:rPr>
        <w:lastRenderedPageBreak/>
        <w:t>المقترحات</w:t>
      </w:r>
    </w:p>
    <w:p w14:paraId="535DCE25" w14:textId="1792D4AE" w:rsidR="00C75863" w:rsidRPr="00C651C3" w:rsidRDefault="00C75863" w:rsidP="00E9583B">
      <w:pPr>
        <w:rPr>
          <w:rtl/>
          <w:lang w:val="en-GB"/>
        </w:rPr>
      </w:pPr>
      <w:r w:rsidRPr="00C651C3">
        <w:rPr>
          <w:rtl/>
          <w:lang w:bidi="ar-EG"/>
        </w:rPr>
        <w:t xml:space="preserve">تؤيد إدارة جمهورية إيران الإسلامية بشدة الأسلوب </w:t>
      </w:r>
      <w:r w:rsidRPr="00C651C3">
        <w:rPr>
          <w:cs/>
          <w:lang w:bidi="ar-EG"/>
        </w:rPr>
        <w:t>‎</w:t>
      </w:r>
      <w:r w:rsidRPr="00C651C3">
        <w:rPr>
          <w:lang w:bidi="ar-EG"/>
        </w:rPr>
        <w:t>A</w:t>
      </w:r>
      <w:r w:rsidRPr="00C651C3">
        <w:rPr>
          <w:rtl/>
          <w:lang w:bidi="ar-EG"/>
        </w:rPr>
        <w:t xml:space="preserve"> ‏للأسباب الواردة في القسم أعلاه. وتقترح إلغاء الرقم </w:t>
      </w:r>
      <w:r w:rsidRPr="00C651C3">
        <w:rPr>
          <w:cs/>
          <w:lang w:bidi="ar-EG"/>
        </w:rPr>
        <w:t>‎</w:t>
      </w:r>
      <w:r w:rsidRPr="004E5775">
        <w:rPr>
          <w:rStyle w:val="Artref"/>
          <w:b/>
          <w:bCs/>
        </w:rPr>
        <w:t>484B.5</w:t>
      </w:r>
      <w:r w:rsidRPr="00C651C3">
        <w:rPr>
          <w:rtl/>
          <w:lang w:bidi="ar-EG"/>
        </w:rPr>
        <w:t xml:space="preserve"> ‏من لوائح الراديو بالإضافة إلى </w:t>
      </w:r>
      <w:r w:rsidRPr="00C651C3">
        <w:rPr>
          <w:rtl/>
        </w:rPr>
        <w:t xml:space="preserve">القرار </w:t>
      </w:r>
      <w:r w:rsidRPr="00C651C3">
        <w:rPr>
          <w:b/>
          <w:bCs/>
        </w:rPr>
        <w:t>155 (Rev.WRC</w:t>
      </w:r>
      <w:r w:rsidRPr="00C651C3">
        <w:rPr>
          <w:b/>
          <w:bCs/>
        </w:rPr>
        <w:noBreakHyphen/>
        <w:t>19)</w:t>
      </w:r>
      <w:r w:rsidRPr="00C651C3">
        <w:rPr>
          <w:b/>
          <w:bCs/>
          <w:rtl/>
        </w:rPr>
        <w:t xml:space="preserve"> </w:t>
      </w:r>
      <w:r w:rsidRPr="00C651C3">
        <w:rPr>
          <w:rtl/>
        </w:rPr>
        <w:t xml:space="preserve">والقرار </w:t>
      </w:r>
      <w:r w:rsidRPr="00C651C3">
        <w:rPr>
          <w:b/>
          <w:bCs/>
        </w:rPr>
        <w:t>171 (WRC</w:t>
      </w:r>
      <w:r w:rsidRPr="00C651C3">
        <w:rPr>
          <w:b/>
          <w:bCs/>
        </w:rPr>
        <w:noBreakHyphen/>
        <w:t>19)</w:t>
      </w:r>
      <w:r w:rsidRPr="00C651C3">
        <w:rPr>
          <w:rtl/>
        </w:rPr>
        <w:t>.</w:t>
      </w:r>
    </w:p>
    <w:p w14:paraId="6E1449EB" w14:textId="77777777" w:rsidR="00C651C3" w:rsidRPr="005916FA" w:rsidRDefault="00C651C3" w:rsidP="00C651C3">
      <w:pPr>
        <w:tabs>
          <w:tab w:val="clear" w:pos="1134"/>
          <w:tab w:val="clear" w:pos="1871"/>
          <w:tab w:val="clear" w:pos="2268"/>
        </w:tabs>
        <w:spacing w:before="0"/>
      </w:pPr>
      <w:r w:rsidRPr="005916FA">
        <w:br w:type="page"/>
      </w:r>
    </w:p>
    <w:p w14:paraId="0176DD03" w14:textId="77777777" w:rsidR="00D9665F" w:rsidRPr="00C651C3" w:rsidRDefault="002160EC" w:rsidP="00C651C3">
      <w:pPr>
        <w:pStyle w:val="ArtNo"/>
        <w:rPr>
          <w:rtl/>
        </w:rPr>
      </w:pPr>
      <w:bookmarkStart w:id="1" w:name="_Toc454442698"/>
      <w:r w:rsidRPr="00C651C3">
        <w:rPr>
          <w:rtl/>
        </w:rPr>
        <w:lastRenderedPageBreak/>
        <w:t xml:space="preserve">المـادة </w:t>
      </w:r>
      <w:r w:rsidRPr="00C651C3">
        <w:rPr>
          <w:rStyle w:val="href"/>
        </w:rPr>
        <w:t>5</w:t>
      </w:r>
      <w:bookmarkEnd w:id="1"/>
    </w:p>
    <w:p w14:paraId="48097EED" w14:textId="77777777" w:rsidR="00D9665F" w:rsidRPr="00C651C3" w:rsidRDefault="002160EC" w:rsidP="00C651C3">
      <w:pPr>
        <w:pStyle w:val="Arttitle"/>
        <w:rPr>
          <w:rtl/>
        </w:rPr>
      </w:pPr>
      <w:bookmarkStart w:id="2" w:name="_Toc454442699"/>
      <w:bookmarkStart w:id="3" w:name="_Toc331055733"/>
      <w:r w:rsidRPr="00C651C3">
        <w:rPr>
          <w:rtl/>
        </w:rPr>
        <w:t>توزيع نطاقات التردد</w:t>
      </w:r>
      <w:bookmarkEnd w:id="2"/>
      <w:bookmarkEnd w:id="3"/>
    </w:p>
    <w:p w14:paraId="2F5724D7" w14:textId="70E631E7" w:rsidR="00D9665F" w:rsidRPr="00C651C3" w:rsidRDefault="002160EC" w:rsidP="00D9665F">
      <w:pPr>
        <w:pStyle w:val="Section1"/>
        <w:rPr>
          <w:szCs w:val="22"/>
          <w:rtl/>
        </w:rPr>
      </w:pPr>
      <w:r w:rsidRPr="00C651C3">
        <w:rPr>
          <w:rtl/>
        </w:rPr>
        <w:t xml:space="preserve">القسم </w:t>
      </w:r>
      <w:r w:rsidRPr="00C651C3">
        <w:t>IV</w:t>
      </w:r>
      <w:r w:rsidRPr="00C651C3">
        <w:rPr>
          <w:rtl/>
        </w:rPr>
        <w:t xml:space="preserve">  -  جدول توزيع نطاقات التردد</w:t>
      </w:r>
      <w:r w:rsidRPr="00C651C3">
        <w:rPr>
          <w:rtl/>
        </w:rPr>
        <w:br/>
      </w:r>
      <w:r w:rsidRPr="00C651C3">
        <w:rPr>
          <w:b w:val="0"/>
          <w:bCs w:val="0"/>
          <w:sz w:val="22"/>
          <w:szCs w:val="22"/>
          <w:rtl/>
        </w:rPr>
        <w:t>(انظر الرقم</w:t>
      </w:r>
      <w:r w:rsidRPr="00C651C3">
        <w:rPr>
          <w:sz w:val="22"/>
          <w:szCs w:val="22"/>
          <w:rtl/>
        </w:rPr>
        <w:t xml:space="preserve"> </w:t>
      </w:r>
      <w:r w:rsidRPr="00C651C3">
        <w:rPr>
          <w:sz w:val="22"/>
          <w:szCs w:val="22"/>
        </w:rPr>
        <w:t>1.2</w:t>
      </w:r>
      <w:r w:rsidRPr="00C651C3">
        <w:rPr>
          <w:b w:val="0"/>
          <w:bCs w:val="0"/>
          <w:sz w:val="22"/>
          <w:szCs w:val="22"/>
          <w:rtl/>
        </w:rPr>
        <w:t>)</w:t>
      </w:r>
      <w:r w:rsidR="00C651C3">
        <w:rPr>
          <w:b w:val="0"/>
          <w:bCs w:val="0"/>
          <w:sz w:val="22"/>
          <w:szCs w:val="22"/>
        </w:rPr>
        <w:br/>
      </w:r>
      <w:r w:rsidR="00C651C3">
        <w:rPr>
          <w:b w:val="0"/>
          <w:bCs w:val="0"/>
          <w:sz w:val="22"/>
          <w:szCs w:val="22"/>
        </w:rPr>
        <w:br/>
      </w:r>
    </w:p>
    <w:p w14:paraId="3D2D09C6" w14:textId="77777777" w:rsidR="00046995" w:rsidRPr="00C651C3" w:rsidRDefault="00F97635">
      <w:pPr>
        <w:pStyle w:val="Proposal"/>
      </w:pPr>
      <w:r w:rsidRPr="00C651C3">
        <w:t>SUP</w:t>
      </w:r>
      <w:r w:rsidRPr="00C651C3">
        <w:tab/>
        <w:t>IRN/148A8/1</w:t>
      </w:r>
      <w:r w:rsidRPr="00C651C3">
        <w:rPr>
          <w:vanish/>
          <w:color w:val="7F7F7F" w:themeColor="text1" w:themeTint="80"/>
          <w:vertAlign w:val="superscript"/>
        </w:rPr>
        <w:t>#1612</w:t>
      </w:r>
    </w:p>
    <w:p w14:paraId="03DCB737" w14:textId="264F4A1C" w:rsidR="00E574F4" w:rsidRPr="00C651C3" w:rsidRDefault="00F97635" w:rsidP="00BD4D63">
      <w:pPr>
        <w:pStyle w:val="Note"/>
        <w:rPr>
          <w:rFonts w:eastAsia="PMingLiU"/>
          <w:rtl/>
          <w:lang w:eastAsia="zh-TW"/>
        </w:rPr>
      </w:pPr>
      <w:r w:rsidRPr="00C651C3">
        <w:rPr>
          <w:rStyle w:val="Artdef"/>
        </w:rPr>
        <w:t>484B.5</w:t>
      </w:r>
    </w:p>
    <w:p w14:paraId="456D7AFE" w14:textId="77777777" w:rsidR="00046995" w:rsidRPr="00C651C3" w:rsidRDefault="00046995">
      <w:pPr>
        <w:pStyle w:val="Reasons"/>
      </w:pPr>
    </w:p>
    <w:p w14:paraId="14143D17" w14:textId="77777777" w:rsidR="00046995" w:rsidRPr="00C651C3" w:rsidRDefault="00F97635">
      <w:pPr>
        <w:pStyle w:val="Proposal"/>
      </w:pPr>
      <w:r w:rsidRPr="00C651C3">
        <w:t>SUP</w:t>
      </w:r>
      <w:r w:rsidRPr="00C651C3">
        <w:tab/>
        <w:t>IRN/148A8/2</w:t>
      </w:r>
      <w:r w:rsidRPr="00C651C3">
        <w:rPr>
          <w:vanish/>
          <w:color w:val="7F7F7F" w:themeColor="text1" w:themeTint="80"/>
          <w:vertAlign w:val="superscript"/>
        </w:rPr>
        <w:t>#1613</w:t>
      </w:r>
    </w:p>
    <w:p w14:paraId="67785486" w14:textId="77777777" w:rsidR="00E574F4" w:rsidRPr="00C651C3" w:rsidRDefault="00F97635" w:rsidP="00C651C3">
      <w:pPr>
        <w:pStyle w:val="ResNo"/>
      </w:pPr>
      <w:bookmarkStart w:id="4" w:name="_Toc36038309"/>
      <w:r w:rsidRPr="00C651C3">
        <w:rPr>
          <w:rFonts w:hint="cs"/>
          <w:rtl/>
        </w:rPr>
        <w:t xml:space="preserve">القرار </w:t>
      </w:r>
      <w:r w:rsidRPr="00C651C3">
        <w:rPr>
          <w:rStyle w:val="href"/>
        </w:rPr>
        <w:t>155</w:t>
      </w:r>
      <w:r w:rsidRPr="00C651C3">
        <w:t> (REV.WRC</w:t>
      </w:r>
      <w:r w:rsidRPr="00C651C3">
        <w:noBreakHyphen/>
        <w:t>19)</w:t>
      </w:r>
      <w:bookmarkEnd w:id="4"/>
    </w:p>
    <w:p w14:paraId="0E4F893A" w14:textId="0DA05383" w:rsidR="00E574F4" w:rsidRPr="00C651C3" w:rsidRDefault="00F97635" w:rsidP="002E6F3B">
      <w:pPr>
        <w:pStyle w:val="Restitle"/>
        <w:keepLines/>
        <w:rPr>
          <w:rtl/>
          <w:lang w:bidi="ar-EG"/>
        </w:rPr>
      </w:pPr>
      <w:bookmarkStart w:id="5" w:name="_Toc36038310"/>
      <w:r w:rsidRPr="00C651C3">
        <w:rPr>
          <w:spacing w:val="8"/>
          <w:rtl/>
        </w:rPr>
        <w:t>أحكام تنظيمية متصلة بالمحطات الأرضية على متن طائرات دون طيار تعمل</w:t>
      </w:r>
      <w:r w:rsidR="00C651C3">
        <w:rPr>
          <w:spacing w:val="8"/>
        </w:rPr>
        <w:t xml:space="preserve"> </w:t>
      </w:r>
      <w:r w:rsidRPr="00C651C3">
        <w:rPr>
          <w:spacing w:val="-2"/>
          <w:rtl/>
        </w:rPr>
        <w:t>في شبكات ساتلية مستقرة بالنسبة إلى الأرض في الخدمة الثابتة الساتلية في بعض نطاقات</w:t>
      </w:r>
      <w:r w:rsidRPr="00C651C3">
        <w:rPr>
          <w:rtl/>
        </w:rPr>
        <w:t xml:space="preserve"> </w:t>
      </w:r>
      <w:r w:rsidR="00C651C3">
        <w:br/>
      </w:r>
      <w:r w:rsidRPr="00C651C3">
        <w:rPr>
          <w:rtl/>
        </w:rPr>
        <w:t xml:space="preserve">التردد غير الخاضعة لخطة التذييلات </w:t>
      </w:r>
      <w:r w:rsidRPr="00C651C3">
        <w:rPr>
          <w:szCs w:val="24"/>
          <w:lang w:eastAsia="zh-CN"/>
        </w:rPr>
        <w:t>30</w:t>
      </w:r>
      <w:r w:rsidRPr="00C651C3">
        <w:rPr>
          <w:rtl/>
        </w:rPr>
        <w:t xml:space="preserve"> و</w:t>
      </w:r>
      <w:r w:rsidRPr="00C651C3">
        <w:rPr>
          <w:szCs w:val="24"/>
          <w:lang w:eastAsia="zh-CN"/>
        </w:rPr>
        <w:t>30A</w:t>
      </w:r>
      <w:r w:rsidRPr="00C651C3">
        <w:rPr>
          <w:rtl/>
        </w:rPr>
        <w:t xml:space="preserve"> و</w:t>
      </w:r>
      <w:r w:rsidRPr="00C651C3">
        <w:rPr>
          <w:szCs w:val="24"/>
          <w:lang w:eastAsia="zh-CN"/>
        </w:rPr>
        <w:t>30B</w:t>
      </w:r>
      <w:r w:rsidRPr="00C651C3">
        <w:rPr>
          <w:rtl/>
        </w:rPr>
        <w:t xml:space="preserve"> من أجل التحكم والاتصالات</w:t>
      </w:r>
      <w:r w:rsidR="00C651C3">
        <w:br/>
        <w:t xml:space="preserve"> </w:t>
      </w:r>
      <w:r w:rsidRPr="00C651C3">
        <w:rPr>
          <w:rtl/>
        </w:rPr>
        <w:t xml:space="preserve">خارج الحمولة النافعة لأنظمة الطائرات دون طيار </w:t>
      </w:r>
      <w:r w:rsidRPr="00C651C3">
        <w:rPr>
          <w:rtl/>
        </w:rPr>
        <w:br/>
        <w:t>في الفضاء الجوي غير المحجوز</w:t>
      </w:r>
      <w:bookmarkEnd w:id="5"/>
      <w:r w:rsidRPr="00C651C3">
        <w:rPr>
          <w:position w:val="6"/>
          <w:sz w:val="18"/>
          <w:szCs w:val="18"/>
        </w:rPr>
        <w:t>*</w:t>
      </w:r>
    </w:p>
    <w:p w14:paraId="1C5022CE" w14:textId="77777777" w:rsidR="00046995" w:rsidRPr="00C651C3" w:rsidRDefault="00046995">
      <w:pPr>
        <w:pStyle w:val="Reasons"/>
      </w:pPr>
    </w:p>
    <w:p w14:paraId="4953FD2C" w14:textId="77777777" w:rsidR="00046995" w:rsidRPr="00C651C3" w:rsidRDefault="00F97635">
      <w:pPr>
        <w:pStyle w:val="Proposal"/>
      </w:pPr>
      <w:r w:rsidRPr="00C651C3">
        <w:t>SUP</w:t>
      </w:r>
      <w:r w:rsidRPr="00C651C3">
        <w:tab/>
        <w:t>IRN/148A8/3</w:t>
      </w:r>
      <w:r w:rsidRPr="00C651C3">
        <w:rPr>
          <w:vanish/>
          <w:color w:val="7F7F7F" w:themeColor="text1" w:themeTint="80"/>
          <w:vertAlign w:val="superscript"/>
        </w:rPr>
        <w:t>#1614</w:t>
      </w:r>
    </w:p>
    <w:p w14:paraId="36244DA3" w14:textId="77777777" w:rsidR="00E574F4" w:rsidRPr="00C651C3" w:rsidRDefault="00F97635" w:rsidP="00C651C3">
      <w:pPr>
        <w:pStyle w:val="ResNo"/>
      </w:pPr>
      <w:bookmarkStart w:id="6" w:name="_Toc36038323"/>
      <w:r w:rsidRPr="00C651C3">
        <w:rPr>
          <w:rFonts w:hint="cs"/>
          <w:rtl/>
        </w:rPr>
        <w:t xml:space="preserve">القرار </w:t>
      </w:r>
      <w:r w:rsidRPr="00C651C3">
        <w:rPr>
          <w:rStyle w:val="href"/>
        </w:rPr>
        <w:t>171</w:t>
      </w:r>
      <w:r w:rsidRPr="00C651C3">
        <w:t xml:space="preserve"> (WRC-19)</w:t>
      </w:r>
      <w:bookmarkEnd w:id="6"/>
    </w:p>
    <w:p w14:paraId="29C33916" w14:textId="5F5422DB" w:rsidR="00E574F4" w:rsidRPr="00C651C3" w:rsidRDefault="00F97635" w:rsidP="00BD4D63">
      <w:pPr>
        <w:pStyle w:val="Restitle"/>
        <w:rPr>
          <w:rtl/>
        </w:rPr>
      </w:pPr>
      <w:bookmarkStart w:id="7" w:name="_Toc36038324"/>
      <w:r w:rsidRPr="00C651C3">
        <w:rPr>
          <w:rtl/>
        </w:rPr>
        <w:t xml:space="preserve">استعراض وإمكانية مراجَعة القرار </w:t>
      </w:r>
      <w:r w:rsidRPr="00C651C3">
        <w:t>155 (Rev.WRC</w:t>
      </w:r>
      <w:r w:rsidRPr="00C651C3">
        <w:noBreakHyphen/>
        <w:t>19)</w:t>
      </w:r>
      <w:r w:rsidRPr="00C651C3">
        <w:rPr>
          <w:rtl/>
        </w:rPr>
        <w:t xml:space="preserve"> </w:t>
      </w:r>
      <w:r w:rsidR="00C651C3">
        <w:br/>
      </w:r>
      <w:r w:rsidRPr="00C651C3">
        <w:rPr>
          <w:rtl/>
        </w:rPr>
        <w:t xml:space="preserve">والرقم </w:t>
      </w:r>
      <w:r w:rsidRPr="00C651C3">
        <w:t>484B.5</w:t>
      </w:r>
      <w:r w:rsidRPr="00C651C3">
        <w:rPr>
          <w:rtl/>
        </w:rPr>
        <w:t xml:space="preserve"> في نطاقات التردد التي ينطبقان فيها</w:t>
      </w:r>
      <w:bookmarkEnd w:id="7"/>
    </w:p>
    <w:p w14:paraId="179B21CA" w14:textId="3F0FE25F" w:rsidR="005D1BEC" w:rsidRPr="00C651C3" w:rsidRDefault="00F97635" w:rsidP="00E451D2">
      <w:pPr>
        <w:pStyle w:val="Reasons"/>
        <w:rPr>
          <w:b w:val="0"/>
          <w:bCs w:val="0"/>
          <w:rtl/>
        </w:rPr>
      </w:pPr>
      <w:r w:rsidRPr="00C651C3">
        <w:rPr>
          <w:rtl/>
        </w:rPr>
        <w:t>الأسباب:</w:t>
      </w:r>
      <w:r w:rsidRPr="00C651C3">
        <w:tab/>
      </w:r>
      <w:r w:rsidR="005D1BEC" w:rsidRPr="00C651C3">
        <w:rPr>
          <w:b w:val="0"/>
          <w:bCs w:val="0"/>
          <w:rtl/>
        </w:rPr>
        <w:t xml:space="preserve">يدعو القرار </w:t>
      </w:r>
      <w:r w:rsidR="005D1BEC" w:rsidRPr="00C651C3">
        <w:rPr>
          <w:b w:val="0"/>
          <w:bCs w:val="0"/>
          <w:cs/>
        </w:rPr>
        <w:t>‎</w:t>
      </w:r>
      <w:r w:rsidR="005D1BEC" w:rsidRPr="00C651C3">
        <w:t>171 (WRC</w:t>
      </w:r>
      <w:r w:rsidR="005D1BEC" w:rsidRPr="00C651C3">
        <w:noBreakHyphen/>
        <w:t>19)</w:t>
      </w:r>
      <w:r w:rsidR="005D1BEC" w:rsidRPr="00C651C3">
        <w:rPr>
          <w:b w:val="0"/>
          <w:bCs w:val="0"/>
          <w:rtl/>
        </w:rPr>
        <w:t xml:space="preserve"> ‏إلى استعراض القرار </w:t>
      </w:r>
      <w:r w:rsidR="005D1BEC" w:rsidRPr="00C651C3">
        <w:rPr>
          <w:b w:val="0"/>
          <w:bCs w:val="0"/>
          <w:cs/>
        </w:rPr>
        <w:t>‎</w:t>
      </w:r>
      <w:r w:rsidR="005D1BEC" w:rsidRPr="00C651C3">
        <w:t>155 (Rev.WRC-19)</w:t>
      </w:r>
      <w:r w:rsidR="005D1BEC" w:rsidRPr="00C651C3">
        <w:rPr>
          <w:b w:val="0"/>
          <w:bCs w:val="0"/>
          <w:rtl/>
        </w:rPr>
        <w:t xml:space="preserve"> ‏وإمكانية مراجعته، لأنه لا يسمح</w:t>
      </w:r>
      <w:r w:rsidR="00D834D6" w:rsidRPr="00C651C3">
        <w:rPr>
          <w:b w:val="0"/>
          <w:bCs w:val="0"/>
          <w:rtl/>
        </w:rPr>
        <w:t>،</w:t>
      </w:r>
      <w:r w:rsidR="005D1BEC" w:rsidRPr="00C651C3">
        <w:rPr>
          <w:b w:val="0"/>
          <w:bCs w:val="0"/>
          <w:rtl/>
        </w:rPr>
        <w:t xml:space="preserve"> بصيغته الحالية</w:t>
      </w:r>
      <w:r w:rsidR="00D834D6" w:rsidRPr="00C651C3">
        <w:rPr>
          <w:b w:val="0"/>
          <w:bCs w:val="0"/>
          <w:rtl/>
        </w:rPr>
        <w:t>،</w:t>
      </w:r>
      <w:r w:rsidR="005D1BEC" w:rsidRPr="00C651C3">
        <w:rPr>
          <w:b w:val="0"/>
          <w:bCs w:val="0"/>
          <w:rtl/>
        </w:rPr>
        <w:t xml:space="preserve"> بتشغيل </w:t>
      </w:r>
      <w:r w:rsidR="00D834D6" w:rsidRPr="00C651C3">
        <w:rPr>
          <w:b w:val="0"/>
          <w:bCs w:val="0"/>
          <w:rtl/>
        </w:rPr>
        <w:t>ال</w:t>
      </w:r>
      <w:r w:rsidR="005D1BEC" w:rsidRPr="00C651C3">
        <w:rPr>
          <w:b w:val="0"/>
          <w:bCs w:val="0"/>
          <w:rtl/>
        </w:rPr>
        <w:t xml:space="preserve">محطات الأرضية </w:t>
      </w:r>
      <w:r w:rsidR="00550CE5" w:rsidRPr="00C651C3">
        <w:rPr>
          <w:b w:val="0"/>
          <w:bCs w:val="0"/>
          <w:rtl/>
          <w:lang w:val="en-GB"/>
        </w:rPr>
        <w:t>للطائرات بدون طيار</w:t>
      </w:r>
      <w:r w:rsidR="005D1BEC" w:rsidRPr="00C651C3">
        <w:rPr>
          <w:b w:val="0"/>
          <w:bCs w:val="0"/>
          <w:rtl/>
          <w:lang w:val="en-GB"/>
        </w:rPr>
        <w:t xml:space="preserve">. </w:t>
      </w:r>
      <w:r w:rsidR="004E74B4" w:rsidRPr="00C651C3">
        <w:rPr>
          <w:b w:val="0"/>
          <w:bCs w:val="0"/>
          <w:rtl/>
          <w:lang w:val="en-GB"/>
        </w:rPr>
        <w:t>و</w:t>
      </w:r>
      <w:r w:rsidR="005D1BEC" w:rsidRPr="00C651C3">
        <w:rPr>
          <w:b w:val="0"/>
          <w:bCs w:val="0"/>
          <w:rtl/>
          <w:lang w:val="en-GB"/>
        </w:rPr>
        <w:t xml:space="preserve">هذا البند من جدول الأعمال </w:t>
      </w:r>
      <w:r w:rsidR="004E74B4" w:rsidRPr="00C651C3">
        <w:rPr>
          <w:b w:val="0"/>
          <w:bCs w:val="0"/>
          <w:rtl/>
          <w:lang w:val="en-GB"/>
        </w:rPr>
        <w:t xml:space="preserve">مستمد </w:t>
      </w:r>
      <w:r w:rsidR="00E51605" w:rsidRPr="00C651C3">
        <w:rPr>
          <w:b w:val="0"/>
          <w:bCs w:val="0"/>
          <w:rtl/>
          <w:lang w:val="en-GB"/>
        </w:rPr>
        <w:t>من</w:t>
      </w:r>
      <w:r w:rsidR="005D1BEC" w:rsidRPr="00C651C3">
        <w:rPr>
          <w:b w:val="0"/>
          <w:bCs w:val="0"/>
          <w:rtl/>
          <w:lang w:val="en-GB"/>
        </w:rPr>
        <w:t xml:space="preserve"> البند </w:t>
      </w:r>
      <w:r w:rsidR="005D1BEC" w:rsidRPr="00C651C3">
        <w:rPr>
          <w:b w:val="0"/>
          <w:bCs w:val="0"/>
          <w:cs/>
          <w:lang w:val="en-GB"/>
        </w:rPr>
        <w:t>‎</w:t>
      </w:r>
      <w:r w:rsidR="005D1BEC" w:rsidRPr="00C651C3">
        <w:rPr>
          <w:b w:val="0"/>
          <w:bCs w:val="0"/>
          <w:lang w:val="en-GB"/>
        </w:rPr>
        <w:t>3.1</w:t>
      </w:r>
      <w:r w:rsidR="005D1BEC" w:rsidRPr="00C651C3">
        <w:rPr>
          <w:b w:val="0"/>
          <w:bCs w:val="0"/>
          <w:rtl/>
          <w:lang w:val="en-GB"/>
        </w:rPr>
        <w:t xml:space="preserve"> ‏من</w:t>
      </w:r>
      <w:r w:rsidR="00E574F4">
        <w:rPr>
          <w:rFonts w:hint="cs"/>
          <w:b w:val="0"/>
          <w:bCs w:val="0"/>
          <w:rtl/>
          <w:lang w:val="en-GB"/>
        </w:rPr>
        <w:t> </w:t>
      </w:r>
      <w:r w:rsidR="005D1BEC" w:rsidRPr="00C651C3">
        <w:rPr>
          <w:b w:val="0"/>
          <w:bCs w:val="0"/>
          <w:rtl/>
          <w:lang w:val="en-GB"/>
        </w:rPr>
        <w:t xml:space="preserve">جدول أعمال المؤتمر </w:t>
      </w:r>
      <w:r w:rsidR="005D1BEC" w:rsidRPr="00C651C3">
        <w:rPr>
          <w:b w:val="0"/>
          <w:bCs w:val="0"/>
          <w:cs/>
          <w:lang w:val="en-GB"/>
        </w:rPr>
        <w:t>‎</w:t>
      </w:r>
      <w:r w:rsidR="005D1BEC" w:rsidRPr="00C651C3">
        <w:rPr>
          <w:b w:val="0"/>
          <w:bCs w:val="0"/>
          <w:lang w:val="en-GB"/>
        </w:rPr>
        <w:t>WRC-12</w:t>
      </w:r>
      <w:r w:rsidR="005D1BEC" w:rsidRPr="00C651C3">
        <w:rPr>
          <w:b w:val="0"/>
          <w:bCs w:val="0"/>
          <w:rtl/>
          <w:lang w:val="en-GB"/>
        </w:rPr>
        <w:t xml:space="preserve"> ‏والبند </w:t>
      </w:r>
      <w:r w:rsidR="005D1BEC" w:rsidRPr="00C651C3">
        <w:rPr>
          <w:b w:val="0"/>
          <w:bCs w:val="0"/>
          <w:cs/>
          <w:lang w:val="en-GB"/>
        </w:rPr>
        <w:t>‎</w:t>
      </w:r>
      <w:r w:rsidR="005D1BEC" w:rsidRPr="00C651C3">
        <w:rPr>
          <w:b w:val="0"/>
          <w:bCs w:val="0"/>
          <w:lang w:val="en-GB"/>
        </w:rPr>
        <w:t>5.1</w:t>
      </w:r>
      <w:r w:rsidR="005D1BEC" w:rsidRPr="00C651C3">
        <w:rPr>
          <w:b w:val="0"/>
          <w:bCs w:val="0"/>
          <w:rtl/>
          <w:lang w:val="en-GB"/>
        </w:rPr>
        <w:t xml:space="preserve"> ‏من جدول أعمال المؤتمر </w:t>
      </w:r>
      <w:r w:rsidR="005D1BEC" w:rsidRPr="00C651C3">
        <w:rPr>
          <w:b w:val="0"/>
          <w:bCs w:val="0"/>
          <w:cs/>
          <w:lang w:val="en-GB"/>
        </w:rPr>
        <w:t>‎</w:t>
      </w:r>
      <w:r w:rsidR="005D1BEC" w:rsidRPr="00C651C3">
        <w:rPr>
          <w:b w:val="0"/>
          <w:bCs w:val="0"/>
          <w:lang w:val="en-GB"/>
        </w:rPr>
        <w:t>WRC-15</w:t>
      </w:r>
      <w:r w:rsidR="005D1BEC" w:rsidRPr="00C651C3">
        <w:rPr>
          <w:b w:val="0"/>
          <w:bCs w:val="0"/>
          <w:rtl/>
          <w:lang w:val="en-GB"/>
        </w:rPr>
        <w:t xml:space="preserve"> ‏و</w:t>
      </w:r>
      <w:r w:rsidR="00E51605" w:rsidRPr="00C651C3">
        <w:rPr>
          <w:b w:val="0"/>
          <w:bCs w:val="0"/>
          <w:rtl/>
          <w:lang w:val="en-GB"/>
        </w:rPr>
        <w:t xml:space="preserve">من </w:t>
      </w:r>
      <w:r w:rsidR="005D1BEC" w:rsidRPr="00C651C3">
        <w:rPr>
          <w:b w:val="0"/>
          <w:bCs w:val="0"/>
          <w:rtl/>
          <w:lang w:val="en-GB"/>
        </w:rPr>
        <w:t xml:space="preserve">نظر المؤتمر </w:t>
      </w:r>
      <w:r w:rsidR="005D1BEC" w:rsidRPr="00C651C3">
        <w:rPr>
          <w:b w:val="0"/>
          <w:bCs w:val="0"/>
          <w:cs/>
          <w:lang w:val="en-GB"/>
        </w:rPr>
        <w:t>‎</w:t>
      </w:r>
      <w:r w:rsidR="005D1BEC" w:rsidRPr="00C651C3">
        <w:rPr>
          <w:b w:val="0"/>
          <w:bCs w:val="0"/>
          <w:lang w:val="en-GB"/>
        </w:rPr>
        <w:t>WRC-19</w:t>
      </w:r>
      <w:r w:rsidR="005D1BEC" w:rsidRPr="00C651C3">
        <w:rPr>
          <w:b w:val="0"/>
          <w:bCs w:val="0"/>
          <w:rtl/>
          <w:lang w:val="en-GB"/>
        </w:rPr>
        <w:t xml:space="preserve"> </w:t>
      </w:r>
      <w:r w:rsidR="00E51605" w:rsidRPr="00C651C3">
        <w:rPr>
          <w:b w:val="0"/>
          <w:bCs w:val="0"/>
          <w:rtl/>
          <w:lang w:val="en-GB"/>
        </w:rPr>
        <w:t>في</w:t>
      </w:r>
      <w:r w:rsidR="00E574F4">
        <w:rPr>
          <w:rFonts w:hint="cs"/>
          <w:b w:val="0"/>
          <w:bCs w:val="0"/>
          <w:rtl/>
          <w:lang w:val="en-GB"/>
        </w:rPr>
        <w:t> </w:t>
      </w:r>
      <w:r w:rsidR="00E51605" w:rsidRPr="00C651C3">
        <w:rPr>
          <w:b w:val="0"/>
          <w:bCs w:val="0"/>
          <w:rtl/>
          <w:lang w:val="en-GB"/>
        </w:rPr>
        <w:t>هذه</w:t>
      </w:r>
      <w:r w:rsidR="00E574F4">
        <w:rPr>
          <w:rFonts w:hint="cs"/>
          <w:b w:val="0"/>
          <w:bCs w:val="0"/>
          <w:rtl/>
          <w:lang w:val="en-GB"/>
        </w:rPr>
        <w:t> </w:t>
      </w:r>
      <w:r w:rsidR="00E51605" w:rsidRPr="00C651C3">
        <w:rPr>
          <w:b w:val="0"/>
          <w:bCs w:val="0"/>
          <w:rtl/>
          <w:lang w:val="en-GB"/>
        </w:rPr>
        <w:t xml:space="preserve">المسألة </w:t>
      </w:r>
      <w:r w:rsidR="005D1BEC" w:rsidRPr="00C651C3">
        <w:rPr>
          <w:b w:val="0"/>
          <w:bCs w:val="0"/>
          <w:rtl/>
          <w:lang w:val="en-GB"/>
        </w:rPr>
        <w:t>‏</w:t>
      </w:r>
      <w:r w:rsidR="00E51605" w:rsidRPr="00C651C3">
        <w:rPr>
          <w:b w:val="0"/>
          <w:bCs w:val="0"/>
          <w:rtl/>
          <w:lang w:val="en-GB"/>
        </w:rPr>
        <w:t>مما أسفر</w:t>
      </w:r>
      <w:r w:rsidR="005D1BEC" w:rsidRPr="00C651C3">
        <w:rPr>
          <w:b w:val="0"/>
          <w:bCs w:val="0"/>
          <w:rtl/>
          <w:lang w:val="en-GB"/>
        </w:rPr>
        <w:t xml:space="preserve"> عن القرار </w:t>
      </w:r>
      <w:r w:rsidR="005D1BEC" w:rsidRPr="00C651C3">
        <w:rPr>
          <w:b w:val="0"/>
          <w:bCs w:val="0"/>
          <w:cs/>
          <w:lang w:val="en-GB"/>
        </w:rPr>
        <w:t>‎</w:t>
      </w:r>
      <w:r w:rsidR="005D1BEC" w:rsidRPr="00C651C3">
        <w:t>171 (WRC</w:t>
      </w:r>
      <w:r w:rsidR="005D1BEC" w:rsidRPr="00C651C3">
        <w:noBreakHyphen/>
        <w:t>19)</w:t>
      </w:r>
      <w:r w:rsidR="005D1BEC" w:rsidRPr="00C651C3">
        <w:rPr>
          <w:rtl/>
        </w:rPr>
        <w:t>.</w:t>
      </w:r>
      <w:r w:rsidR="005D1BEC" w:rsidRPr="00C651C3">
        <w:rPr>
          <w:b w:val="0"/>
          <w:bCs w:val="0"/>
          <w:rtl/>
          <w:lang w:val="en-GB"/>
        </w:rPr>
        <w:t xml:space="preserve"> ‏وبعد أكثر من عشر سنوات من الدراسات المستفيضة، لا</w:t>
      </w:r>
      <w:r w:rsidR="00E574F4">
        <w:rPr>
          <w:rFonts w:hint="cs"/>
          <w:b w:val="0"/>
          <w:bCs w:val="0"/>
          <w:rtl/>
          <w:lang w:val="en-GB"/>
        </w:rPr>
        <w:t> </w:t>
      </w:r>
      <w:r w:rsidR="005D1BEC" w:rsidRPr="00C651C3">
        <w:rPr>
          <w:b w:val="0"/>
          <w:bCs w:val="0"/>
          <w:rtl/>
          <w:lang w:val="en-GB"/>
        </w:rPr>
        <w:t>تزال</w:t>
      </w:r>
      <w:r w:rsidR="00E574F4">
        <w:rPr>
          <w:rFonts w:hint="cs"/>
          <w:b w:val="0"/>
          <w:bCs w:val="0"/>
          <w:rtl/>
          <w:lang w:val="en-GB"/>
        </w:rPr>
        <w:t> </w:t>
      </w:r>
      <w:r w:rsidR="005D1BEC" w:rsidRPr="00C651C3">
        <w:rPr>
          <w:b w:val="0"/>
          <w:bCs w:val="0"/>
          <w:rtl/>
          <w:lang w:val="en-GB"/>
        </w:rPr>
        <w:t>هناك مشاكل رئيسية لم ت</w:t>
      </w:r>
      <w:r w:rsidR="000146D2">
        <w:rPr>
          <w:rFonts w:hint="cs"/>
          <w:b w:val="0"/>
          <w:bCs w:val="0"/>
          <w:rtl/>
          <w:lang w:val="en-GB"/>
        </w:rPr>
        <w:t>ُ</w:t>
      </w:r>
      <w:r w:rsidR="005D1BEC" w:rsidRPr="00C651C3">
        <w:rPr>
          <w:b w:val="0"/>
          <w:bCs w:val="0"/>
          <w:rtl/>
          <w:lang w:val="en-GB"/>
        </w:rPr>
        <w:t xml:space="preserve">حل، ولا سيما التناقض بين </w:t>
      </w:r>
      <w:r w:rsidR="00E51605" w:rsidRPr="00C651C3">
        <w:rPr>
          <w:b w:val="0"/>
          <w:bCs w:val="0"/>
          <w:rtl/>
          <w:lang w:val="en-GB"/>
        </w:rPr>
        <w:t>العلاقة مع</w:t>
      </w:r>
      <w:r w:rsidR="005D1BEC" w:rsidRPr="00C651C3">
        <w:rPr>
          <w:b w:val="0"/>
          <w:bCs w:val="0"/>
          <w:rtl/>
          <w:lang w:val="en-GB"/>
        </w:rPr>
        <w:t xml:space="preserve"> </w:t>
      </w:r>
      <w:r w:rsidR="00E51605" w:rsidRPr="00C651C3">
        <w:rPr>
          <w:b w:val="0"/>
          <w:bCs w:val="0"/>
          <w:rtl/>
          <w:lang w:val="en-GB"/>
        </w:rPr>
        <w:t>سلامة تشغيل</w:t>
      </w:r>
      <w:r w:rsidR="005D1BEC" w:rsidRPr="00C651C3">
        <w:rPr>
          <w:b w:val="0"/>
          <w:bCs w:val="0"/>
          <w:rtl/>
          <w:lang w:val="en-GB"/>
        </w:rPr>
        <w:t xml:space="preserve"> الطائرات بدون طيار </w:t>
      </w:r>
      <w:r w:rsidR="00E51605" w:rsidRPr="00C651C3">
        <w:rPr>
          <w:b w:val="0"/>
          <w:bCs w:val="0"/>
          <w:rtl/>
          <w:lang w:val="en-GB"/>
        </w:rPr>
        <w:t>و</w:t>
      </w:r>
      <w:r w:rsidR="005D1BEC" w:rsidRPr="00C651C3">
        <w:rPr>
          <w:b w:val="0"/>
          <w:bCs w:val="0"/>
          <w:rtl/>
          <w:lang w:val="en-GB"/>
        </w:rPr>
        <w:t>الخدمة الثابتة الساتلية</w:t>
      </w:r>
      <w:r w:rsidR="004D1FA0" w:rsidRPr="00C651C3">
        <w:rPr>
          <w:b w:val="0"/>
          <w:bCs w:val="0"/>
          <w:rtl/>
          <w:cs/>
          <w:lang w:val="en-GB"/>
        </w:rPr>
        <w:t xml:space="preserve"> </w:t>
      </w:r>
      <w:r w:rsidR="00E51605" w:rsidRPr="00C651C3">
        <w:rPr>
          <w:b w:val="0"/>
          <w:bCs w:val="0"/>
          <w:rtl/>
          <w:cs/>
          <w:lang w:val="en-GB"/>
        </w:rPr>
        <w:t>التي لا علاقة لها بالسلامة.</w:t>
      </w:r>
      <w:r w:rsidR="00E451D2">
        <w:rPr>
          <w:b w:val="0"/>
          <w:bCs w:val="0"/>
          <w:rtl/>
          <w:cs/>
          <w:lang w:val="en-GB"/>
        </w:rPr>
        <w:tab/>
      </w:r>
      <w:r w:rsidR="00B81999" w:rsidRPr="00B81999">
        <w:rPr>
          <w:b w:val="0"/>
          <w:bCs w:val="0"/>
          <w:lang w:val="en-GB"/>
        </w:rPr>
        <w:br/>
      </w:r>
      <w:r w:rsidR="004D1FA0" w:rsidRPr="00B81999">
        <w:rPr>
          <w:b w:val="0"/>
          <w:bCs w:val="0"/>
          <w:rtl/>
        </w:rPr>
        <w:t xml:space="preserve">ونطاقات تردد الخدمة الثابتة الساتلية المحددة في </w:t>
      </w:r>
      <w:r w:rsidR="00E451D2">
        <w:rPr>
          <w:rFonts w:hint="cs"/>
          <w:b w:val="0"/>
          <w:bCs w:val="0"/>
          <w:rtl/>
        </w:rPr>
        <w:t xml:space="preserve">الفقرة 1 </w:t>
      </w:r>
      <w:r w:rsidR="00E451D2" w:rsidRPr="00E451D2">
        <w:rPr>
          <w:rFonts w:hint="cs"/>
          <w:b w:val="0"/>
          <w:bCs w:val="0"/>
          <w:rtl/>
        </w:rPr>
        <w:t xml:space="preserve">من </w:t>
      </w:r>
      <w:r w:rsidR="004D1FA0" w:rsidRPr="00E451D2">
        <w:rPr>
          <w:b w:val="0"/>
          <w:bCs w:val="0"/>
          <w:i/>
          <w:iCs/>
          <w:rtl/>
        </w:rPr>
        <w:t>يقرر</w:t>
      </w:r>
      <w:r w:rsidR="004D1FA0" w:rsidRPr="00E451D2">
        <w:rPr>
          <w:b w:val="0"/>
          <w:bCs w:val="0"/>
          <w:rtl/>
        </w:rPr>
        <w:t xml:space="preserve"> </w:t>
      </w:r>
      <w:r w:rsidR="004D1FA0" w:rsidRPr="00B81999">
        <w:rPr>
          <w:b w:val="0"/>
          <w:bCs w:val="0"/>
          <w:rtl/>
        </w:rPr>
        <w:t xml:space="preserve">من القرار </w:t>
      </w:r>
      <w:r w:rsidR="004D1FA0" w:rsidRPr="00B81999">
        <w:rPr>
          <w:rtl/>
        </w:rPr>
        <w:t>(</w:t>
      </w:r>
      <w:r w:rsidR="004D1FA0" w:rsidRPr="00B81999">
        <w:t>Rev.WRC-19</w:t>
      </w:r>
      <w:r w:rsidR="004D1FA0" w:rsidRPr="00B81999">
        <w:rPr>
          <w:rtl/>
        </w:rPr>
        <w:t>) 155</w:t>
      </w:r>
      <w:r w:rsidR="004D1FA0" w:rsidRPr="00B81999">
        <w:rPr>
          <w:b w:val="0"/>
          <w:bCs w:val="0"/>
          <w:rtl/>
        </w:rPr>
        <w:t xml:space="preserve"> مزدحمة للغاية والتداخل شائع، حتى بالنسبة لشبكات الخدمة الثابتة الساتلية التي اكتمل تنسيق تردداتها. </w:t>
      </w:r>
      <w:r w:rsidR="009D1DDD" w:rsidRPr="00B81999">
        <w:rPr>
          <w:b w:val="0"/>
          <w:bCs w:val="0"/>
          <w:rtl/>
        </w:rPr>
        <w:t>ونتيجة لذلك</w:t>
      </w:r>
      <w:r w:rsidR="004D1FA0" w:rsidRPr="00B81999">
        <w:rPr>
          <w:b w:val="0"/>
          <w:bCs w:val="0"/>
          <w:rtl/>
        </w:rPr>
        <w:t xml:space="preserve">، يمكن أن تنقطع </w:t>
      </w:r>
      <w:r w:rsidR="009D1DDD" w:rsidRPr="00B81999">
        <w:rPr>
          <w:b w:val="0"/>
          <w:bCs w:val="0"/>
          <w:rtl/>
        </w:rPr>
        <w:t>وصلات</w:t>
      </w:r>
      <w:r w:rsidR="004D1FA0" w:rsidRPr="00B81999">
        <w:rPr>
          <w:b w:val="0"/>
          <w:bCs w:val="0"/>
          <w:rtl/>
        </w:rPr>
        <w:t xml:space="preserve"> الاتصالات </w:t>
      </w:r>
      <w:r w:rsidR="004D1FA0" w:rsidRPr="00B81999">
        <w:rPr>
          <w:b w:val="0"/>
          <w:bCs w:val="0"/>
        </w:rPr>
        <w:t>UAS CNPC</w:t>
      </w:r>
      <w:r w:rsidR="004D1FA0" w:rsidRPr="00B81999">
        <w:rPr>
          <w:b w:val="0"/>
          <w:bCs w:val="0"/>
          <w:rtl/>
        </w:rPr>
        <w:t xml:space="preserve"> عبر الخدمة الثابتة الساتلية بسبب أنواع مختلفة من التداخل</w:t>
      </w:r>
      <w:r w:rsidR="009D1DDD" w:rsidRPr="00B81999">
        <w:rPr>
          <w:b w:val="0"/>
          <w:bCs w:val="0"/>
          <w:rtl/>
        </w:rPr>
        <w:t>،</w:t>
      </w:r>
      <w:r w:rsidR="004D1FA0" w:rsidRPr="00B81999">
        <w:rPr>
          <w:b w:val="0"/>
          <w:bCs w:val="0"/>
          <w:rtl/>
        </w:rPr>
        <w:t xml:space="preserve"> وبالتالي فهي ليست قوية</w:t>
      </w:r>
      <w:r w:rsidR="000146D2">
        <w:rPr>
          <w:rFonts w:hint="cs"/>
          <w:b w:val="0"/>
          <w:bCs w:val="0"/>
          <w:rtl/>
        </w:rPr>
        <w:t>ً</w:t>
      </w:r>
      <w:r w:rsidR="004D1FA0" w:rsidRPr="00B81999">
        <w:rPr>
          <w:b w:val="0"/>
          <w:bCs w:val="0"/>
          <w:rtl/>
        </w:rPr>
        <w:t xml:space="preserve"> بما</w:t>
      </w:r>
      <w:r w:rsidR="00E574F4">
        <w:rPr>
          <w:rFonts w:hint="cs"/>
          <w:b w:val="0"/>
          <w:bCs w:val="0"/>
          <w:rtl/>
        </w:rPr>
        <w:t> </w:t>
      </w:r>
      <w:r w:rsidR="004D1FA0" w:rsidRPr="00B81999">
        <w:rPr>
          <w:b w:val="0"/>
          <w:bCs w:val="0"/>
          <w:rtl/>
        </w:rPr>
        <w:t>فيه</w:t>
      </w:r>
      <w:r w:rsidR="00E574F4">
        <w:rPr>
          <w:rFonts w:hint="cs"/>
          <w:b w:val="0"/>
          <w:bCs w:val="0"/>
          <w:rtl/>
        </w:rPr>
        <w:t> </w:t>
      </w:r>
      <w:r w:rsidR="004D1FA0" w:rsidRPr="00B81999">
        <w:rPr>
          <w:b w:val="0"/>
          <w:bCs w:val="0"/>
          <w:rtl/>
        </w:rPr>
        <w:t>الكفاية</w:t>
      </w:r>
      <w:r w:rsidR="00AC640F" w:rsidRPr="00B81999">
        <w:rPr>
          <w:b w:val="0"/>
          <w:bCs w:val="0"/>
          <w:rtl/>
        </w:rPr>
        <w:t xml:space="preserve">. وهذا يمكن أن يضعف القدرة على تحقيق جودة الخدمة المطلوبة للتشغيل الآمن ويمكن أن يجعله مستحيلاً. ومن شأن قطع </w:t>
      </w:r>
      <w:r w:rsidR="009D1DDD" w:rsidRPr="00B81999">
        <w:rPr>
          <w:b w:val="0"/>
          <w:bCs w:val="0"/>
          <w:rtl/>
        </w:rPr>
        <w:t>وصلات</w:t>
      </w:r>
      <w:r w:rsidR="00AC640F" w:rsidRPr="00B81999">
        <w:rPr>
          <w:b w:val="0"/>
          <w:bCs w:val="0"/>
          <w:rtl/>
        </w:rPr>
        <w:t xml:space="preserve"> الاتصالات </w:t>
      </w:r>
      <w:r w:rsidR="00AC640F" w:rsidRPr="00B81999">
        <w:rPr>
          <w:b w:val="0"/>
          <w:bCs w:val="0"/>
        </w:rPr>
        <w:t>CNPC</w:t>
      </w:r>
      <w:r w:rsidR="00AC640F" w:rsidRPr="00B81999">
        <w:rPr>
          <w:b w:val="0"/>
          <w:bCs w:val="0"/>
          <w:rtl/>
        </w:rPr>
        <w:t xml:space="preserve"> أن يعرض سلامة الطيران للخطر، بما في ذلك سلامة الناس.</w:t>
      </w:r>
      <w:r w:rsidR="00E451D2">
        <w:rPr>
          <w:b w:val="0"/>
          <w:bCs w:val="0"/>
          <w:rtl/>
        </w:rPr>
        <w:tab/>
      </w:r>
      <w:r w:rsidR="00B81999">
        <w:rPr>
          <w:b w:val="0"/>
          <w:bCs w:val="0"/>
        </w:rPr>
        <w:br/>
      </w:r>
      <w:r w:rsidR="00AC640F" w:rsidRPr="00B81999">
        <w:rPr>
          <w:b w:val="0"/>
          <w:bCs w:val="0"/>
          <w:rtl/>
        </w:rPr>
        <w:lastRenderedPageBreak/>
        <w:t>ونظراً لعدم التوصل إلى حل م</w:t>
      </w:r>
      <w:r w:rsidR="00421ABB">
        <w:rPr>
          <w:rFonts w:hint="cs"/>
          <w:b w:val="0"/>
          <w:bCs w:val="0"/>
          <w:rtl/>
        </w:rPr>
        <w:t>ُ</w:t>
      </w:r>
      <w:r w:rsidR="00AC640F" w:rsidRPr="00B81999">
        <w:rPr>
          <w:b w:val="0"/>
          <w:bCs w:val="0"/>
          <w:rtl/>
        </w:rPr>
        <w:t>رض</w:t>
      </w:r>
      <w:r w:rsidR="00421ABB">
        <w:rPr>
          <w:rFonts w:hint="cs"/>
          <w:b w:val="0"/>
          <w:bCs w:val="0"/>
          <w:rtl/>
        </w:rPr>
        <w:t>ٍ</w:t>
      </w:r>
      <w:r w:rsidR="00AC640F" w:rsidRPr="00B81999">
        <w:rPr>
          <w:b w:val="0"/>
          <w:bCs w:val="0"/>
          <w:rtl/>
        </w:rPr>
        <w:t xml:space="preserve"> لتشغيل المحطات الأرضية </w:t>
      </w:r>
      <w:r w:rsidR="00E90F86" w:rsidRPr="00B81999">
        <w:rPr>
          <w:b w:val="0"/>
          <w:bCs w:val="0"/>
          <w:rtl/>
        </w:rPr>
        <w:t xml:space="preserve">للطائرات بدون </w:t>
      </w:r>
      <w:r w:rsidR="009D1DDD" w:rsidRPr="00B81999">
        <w:rPr>
          <w:b w:val="0"/>
          <w:bCs w:val="0"/>
          <w:rtl/>
        </w:rPr>
        <w:t>طيار</w:t>
      </w:r>
      <w:r w:rsidR="00AC640F" w:rsidRPr="00B81999">
        <w:rPr>
          <w:b w:val="0"/>
          <w:bCs w:val="0"/>
          <w:rtl/>
        </w:rPr>
        <w:t xml:space="preserve">، سيكون من الضروري بالتالي إلغاء </w:t>
      </w:r>
      <w:r w:rsidR="00AC640F" w:rsidRPr="00B81999">
        <w:rPr>
          <w:b w:val="0"/>
          <w:bCs w:val="0"/>
          <w:rtl/>
          <w:lang w:bidi="ar-EG"/>
        </w:rPr>
        <w:t xml:space="preserve">الرقم </w:t>
      </w:r>
      <w:r w:rsidR="00AC640F" w:rsidRPr="00B81999">
        <w:rPr>
          <w:cs/>
          <w:lang w:bidi="ar-EG"/>
        </w:rPr>
        <w:t>‎</w:t>
      </w:r>
      <w:r w:rsidR="00AC640F" w:rsidRPr="004E5775">
        <w:rPr>
          <w:rStyle w:val="Artref"/>
        </w:rPr>
        <w:t>484B.5</w:t>
      </w:r>
      <w:r w:rsidR="00AC640F" w:rsidRPr="00B81999">
        <w:rPr>
          <w:b w:val="0"/>
          <w:bCs w:val="0"/>
          <w:rtl/>
          <w:lang w:bidi="ar-EG"/>
        </w:rPr>
        <w:t xml:space="preserve"> </w:t>
      </w:r>
      <w:r w:rsidR="00AC640F" w:rsidRPr="00B81999">
        <w:rPr>
          <w:b w:val="0"/>
          <w:bCs w:val="0"/>
          <w:rtl/>
        </w:rPr>
        <w:t xml:space="preserve">من لوائح الراديو </w:t>
      </w:r>
      <w:r w:rsidR="00AC640F" w:rsidRPr="00B81999">
        <w:rPr>
          <w:b w:val="0"/>
          <w:bCs w:val="0"/>
          <w:rtl/>
          <w:lang w:bidi="ar-EG"/>
        </w:rPr>
        <w:t xml:space="preserve">بالإضافة إلى </w:t>
      </w:r>
      <w:r w:rsidR="00AC640F" w:rsidRPr="00B81999">
        <w:rPr>
          <w:b w:val="0"/>
          <w:bCs w:val="0"/>
          <w:rtl/>
        </w:rPr>
        <w:t>القرار</w:t>
      </w:r>
      <w:r w:rsidR="00AC640F" w:rsidRPr="00C651C3">
        <w:rPr>
          <w:rtl/>
        </w:rPr>
        <w:t xml:space="preserve"> </w:t>
      </w:r>
      <w:r w:rsidR="00AC640F" w:rsidRPr="00C651C3">
        <w:t>155 (Rev.WRC</w:t>
      </w:r>
      <w:r w:rsidR="00AC640F" w:rsidRPr="00C651C3">
        <w:noBreakHyphen/>
        <w:t>19)</w:t>
      </w:r>
      <w:r w:rsidR="00AC640F" w:rsidRPr="00C651C3">
        <w:rPr>
          <w:rtl/>
        </w:rPr>
        <w:t xml:space="preserve"> </w:t>
      </w:r>
      <w:r w:rsidR="00AC640F" w:rsidRPr="00B81999">
        <w:rPr>
          <w:b w:val="0"/>
          <w:bCs w:val="0"/>
          <w:rtl/>
        </w:rPr>
        <w:t xml:space="preserve">والقرار </w:t>
      </w:r>
      <w:r w:rsidR="00AC640F" w:rsidRPr="00C651C3">
        <w:t>171 (WRC</w:t>
      </w:r>
      <w:r w:rsidR="00AC640F" w:rsidRPr="00C651C3">
        <w:noBreakHyphen/>
        <w:t>19)</w:t>
      </w:r>
      <w:r w:rsidR="00AC640F" w:rsidRPr="00C651C3">
        <w:rPr>
          <w:rtl/>
        </w:rPr>
        <w:t>.</w:t>
      </w:r>
    </w:p>
    <w:p w14:paraId="01C6A093" w14:textId="0FC95CDF" w:rsidR="005B79EC" w:rsidRPr="00C651C3" w:rsidRDefault="005B79EC" w:rsidP="005B79EC">
      <w:pPr>
        <w:spacing w:before="600"/>
        <w:jc w:val="center"/>
        <w:rPr>
          <w:rtl/>
        </w:rPr>
      </w:pPr>
      <w:bookmarkStart w:id="8" w:name="_Hlk148963736"/>
      <w:r w:rsidRPr="00C651C3">
        <w:rPr>
          <w:rtl/>
          <w:lang w:bidi="ar-EG"/>
        </w:rPr>
        <w:t>ــــــــــــــــــــــــــــــــــــــــــــــــــــــــــــــــــــــــــــــــــــــــــــــــ</w:t>
      </w:r>
      <w:bookmarkEnd w:id="8"/>
    </w:p>
    <w:sectPr w:rsidR="005B79EC" w:rsidRPr="00C651C3">
      <w:headerReference w:type="even" r:id="rId15"/>
      <w:headerReference w:type="default" r:id="rId16"/>
      <w:footerReference w:type="even" r:id="rId17"/>
      <w:footerReference w:type="default" r:id="rId18"/>
      <w:footerReference w:type="first" r:id="rId19"/>
      <w:pgSz w:w="11907" w:h="16840" w:code="9"/>
      <w:pgMar w:top="1134" w:right="1134"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CB7E" w14:textId="77777777" w:rsidR="001A6F04" w:rsidRDefault="001A6F04" w:rsidP="002919E1">
      <w:r>
        <w:separator/>
      </w:r>
    </w:p>
    <w:p w14:paraId="7AFC5A8A" w14:textId="77777777" w:rsidR="001A6F04" w:rsidRDefault="001A6F04" w:rsidP="002919E1"/>
    <w:p w14:paraId="3E2A620F" w14:textId="77777777" w:rsidR="001A6F04" w:rsidRDefault="001A6F04" w:rsidP="002919E1"/>
    <w:p w14:paraId="7B00B216" w14:textId="77777777" w:rsidR="001A6F04" w:rsidRDefault="001A6F04"/>
    <w:p w14:paraId="64BCF19F" w14:textId="77777777" w:rsidR="001A6F04" w:rsidRDefault="001A6F04"/>
  </w:endnote>
  <w:endnote w:type="continuationSeparator" w:id="0">
    <w:p w14:paraId="5281488B" w14:textId="77777777" w:rsidR="001A6F04" w:rsidRDefault="001A6F04" w:rsidP="002919E1">
      <w:r>
        <w:continuationSeparator/>
      </w:r>
    </w:p>
    <w:p w14:paraId="44C8D1FD" w14:textId="77777777" w:rsidR="001A6F04" w:rsidRDefault="001A6F04" w:rsidP="002919E1"/>
    <w:p w14:paraId="672CBA6A" w14:textId="77777777" w:rsidR="001A6F04" w:rsidRDefault="001A6F04" w:rsidP="002919E1"/>
    <w:p w14:paraId="39F856BD" w14:textId="77777777" w:rsidR="001A6F04" w:rsidRDefault="001A6F04"/>
    <w:p w14:paraId="07246F86" w14:textId="77777777" w:rsidR="001A6F04" w:rsidRDefault="001A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G Times">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103D" w14:textId="23A86724" w:rsidR="00D63A6F" w:rsidRPr="00D63A6F" w:rsidRDefault="00D63A6F" w:rsidP="00271698">
    <w:pPr>
      <w:pStyle w:val="Footer"/>
      <w:tabs>
        <w:tab w:val="center" w:pos="5103"/>
        <w:tab w:val="right" w:pos="9639"/>
      </w:tabs>
      <w:bidi w:val="0"/>
      <w:spacing w:before="120"/>
      <w:rPr>
        <w:sz w:val="16"/>
        <w:szCs w:val="16"/>
      </w:rPr>
    </w:pPr>
    <w:r w:rsidRPr="0026373E">
      <w:rPr>
        <w:sz w:val="16"/>
        <w:szCs w:val="16"/>
        <w:lang w:val="fr-FR"/>
      </w:rPr>
      <w:fldChar w:fldCharType="begin"/>
    </w:r>
    <w:r w:rsidRPr="00E451D2">
      <w:rPr>
        <w:sz w:val="16"/>
        <w:szCs w:val="16"/>
        <w:lang w:val="en-GB"/>
      </w:rPr>
      <w:instrText xml:space="preserve"> FILENAME \p \* MERGEFORMAT </w:instrText>
    </w:r>
    <w:r w:rsidRPr="0026373E">
      <w:rPr>
        <w:sz w:val="16"/>
        <w:szCs w:val="16"/>
        <w:lang w:val="fr-FR"/>
      </w:rPr>
      <w:fldChar w:fldCharType="separate"/>
    </w:r>
    <w:r w:rsidR="00E9583B" w:rsidRPr="00E451D2">
      <w:rPr>
        <w:noProof/>
        <w:sz w:val="16"/>
        <w:szCs w:val="16"/>
        <w:lang w:val="en-GB"/>
      </w:rPr>
      <w:t>P:\ARA\ITU-R\CONF-R\CMR23\100\148ADD08A.docx</w:t>
    </w:r>
    <w:r w:rsidRPr="0026373E">
      <w:rPr>
        <w:sz w:val="16"/>
        <w:szCs w:val="16"/>
      </w:rPr>
      <w:fldChar w:fldCharType="end"/>
    </w:r>
    <w:r w:rsidRPr="0026373E">
      <w:rPr>
        <w:sz w:val="16"/>
        <w:szCs w:val="16"/>
      </w:rPr>
      <w:t xml:space="preserve">  </w:t>
    </w:r>
    <w:r w:rsidRPr="00E451D2">
      <w:rPr>
        <w:sz w:val="16"/>
        <w:szCs w:val="16"/>
        <w:lang w:val="en-GB"/>
      </w:rPr>
      <w:t xml:space="preserve"> (</w:t>
    </w:r>
    <w:r w:rsidR="00271698" w:rsidRPr="00271698">
      <w:rPr>
        <w:sz w:val="16"/>
        <w:szCs w:val="16"/>
      </w:rPr>
      <w:t>530406</w:t>
    </w:r>
    <w:r w:rsidRPr="00E451D2">
      <w:rPr>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150156914"/>
  <w:p w14:paraId="37B9BB97" w14:textId="7233019D" w:rsidR="00CF0CCE" w:rsidRPr="00CF0CCE" w:rsidRDefault="00CF0CCE" w:rsidP="00CF0CCE">
    <w:pPr>
      <w:pStyle w:val="Footer"/>
      <w:tabs>
        <w:tab w:val="center" w:pos="5103"/>
        <w:tab w:val="right" w:pos="9639"/>
      </w:tabs>
      <w:bidi w:val="0"/>
      <w:spacing w:before="120"/>
      <w:rPr>
        <w:sz w:val="16"/>
        <w:szCs w:val="16"/>
      </w:rPr>
    </w:pPr>
    <w:r w:rsidRPr="0026373E">
      <w:rPr>
        <w:sz w:val="16"/>
        <w:szCs w:val="16"/>
        <w:lang w:val="fr-FR"/>
      </w:rPr>
      <w:fldChar w:fldCharType="begin"/>
    </w:r>
    <w:r w:rsidRPr="00E451D2">
      <w:rPr>
        <w:sz w:val="16"/>
        <w:szCs w:val="16"/>
        <w:lang w:val="en-GB"/>
      </w:rPr>
      <w:instrText xml:space="preserve"> FILENAME \p \* MERGEFORMAT </w:instrText>
    </w:r>
    <w:r w:rsidRPr="0026373E">
      <w:rPr>
        <w:sz w:val="16"/>
        <w:szCs w:val="16"/>
        <w:lang w:val="fr-FR"/>
      </w:rPr>
      <w:fldChar w:fldCharType="separate"/>
    </w:r>
    <w:r w:rsidR="00E9583B" w:rsidRPr="00E451D2">
      <w:rPr>
        <w:noProof/>
        <w:sz w:val="16"/>
        <w:szCs w:val="16"/>
        <w:lang w:val="en-GB"/>
      </w:rPr>
      <w:t>P:\ARA\ITU-R\CONF-R\CMR23\100\148ADD08A.docx</w:t>
    </w:r>
    <w:r w:rsidRPr="0026373E">
      <w:rPr>
        <w:sz w:val="16"/>
        <w:szCs w:val="16"/>
      </w:rPr>
      <w:fldChar w:fldCharType="end"/>
    </w:r>
    <w:bookmarkEnd w:id="9"/>
    <w:r w:rsidRPr="0026373E">
      <w:rPr>
        <w:sz w:val="16"/>
        <w:szCs w:val="16"/>
      </w:rPr>
      <w:t xml:space="preserve">  </w:t>
    </w:r>
    <w:r w:rsidRPr="00E451D2">
      <w:rPr>
        <w:sz w:val="16"/>
        <w:szCs w:val="16"/>
        <w:lang w:val="en-GB"/>
      </w:rPr>
      <w:t xml:space="preserve"> (</w:t>
    </w:r>
    <w:r w:rsidRPr="00271698">
      <w:rPr>
        <w:sz w:val="16"/>
        <w:szCs w:val="16"/>
      </w:rPr>
      <w:t>530406</w:t>
    </w:r>
    <w:r w:rsidRPr="00E451D2">
      <w:rPr>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223B" w14:textId="3A5EB562" w:rsidR="00CF0CCE" w:rsidRPr="00CF0CCE" w:rsidRDefault="00CF0CCE" w:rsidP="00CF0CCE">
    <w:pPr>
      <w:pStyle w:val="Footer"/>
      <w:tabs>
        <w:tab w:val="center" w:pos="5103"/>
        <w:tab w:val="right" w:pos="9639"/>
      </w:tabs>
      <w:bidi w:val="0"/>
      <w:spacing w:before="120"/>
      <w:rPr>
        <w:sz w:val="16"/>
        <w:szCs w:val="16"/>
      </w:rPr>
    </w:pPr>
    <w:r w:rsidRPr="0026373E">
      <w:rPr>
        <w:sz w:val="16"/>
        <w:szCs w:val="16"/>
        <w:lang w:val="fr-FR"/>
      </w:rPr>
      <w:fldChar w:fldCharType="begin"/>
    </w:r>
    <w:r w:rsidRPr="00E451D2">
      <w:rPr>
        <w:sz w:val="16"/>
        <w:szCs w:val="16"/>
        <w:lang w:val="en-GB"/>
      </w:rPr>
      <w:instrText xml:space="preserve"> FILENAME \p \* MERGEFORMAT </w:instrText>
    </w:r>
    <w:r w:rsidRPr="0026373E">
      <w:rPr>
        <w:sz w:val="16"/>
        <w:szCs w:val="16"/>
        <w:lang w:val="fr-FR"/>
      </w:rPr>
      <w:fldChar w:fldCharType="separate"/>
    </w:r>
    <w:r w:rsidR="00E9583B" w:rsidRPr="00E451D2">
      <w:rPr>
        <w:noProof/>
        <w:sz w:val="16"/>
        <w:szCs w:val="16"/>
        <w:lang w:val="en-GB"/>
      </w:rPr>
      <w:t>P:\ARA\ITU-R\CONF-R\CMR23\100\148ADD08A.docx</w:t>
    </w:r>
    <w:r w:rsidRPr="0026373E">
      <w:rPr>
        <w:sz w:val="16"/>
        <w:szCs w:val="16"/>
      </w:rPr>
      <w:fldChar w:fldCharType="end"/>
    </w:r>
    <w:r w:rsidRPr="0026373E">
      <w:rPr>
        <w:sz w:val="16"/>
        <w:szCs w:val="16"/>
      </w:rPr>
      <w:t xml:space="preserve">  </w:t>
    </w:r>
    <w:r w:rsidRPr="00E451D2">
      <w:rPr>
        <w:sz w:val="16"/>
        <w:szCs w:val="16"/>
        <w:lang w:val="en-GB"/>
      </w:rPr>
      <w:t xml:space="preserve"> (</w:t>
    </w:r>
    <w:r w:rsidRPr="00271698">
      <w:rPr>
        <w:sz w:val="16"/>
        <w:szCs w:val="16"/>
      </w:rPr>
      <w:t>530406</w:t>
    </w:r>
    <w:r w:rsidRPr="00E451D2">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9AFE" w14:textId="77777777" w:rsidR="001A6F04" w:rsidRDefault="001A6F04" w:rsidP="00C45930">
      <w:r>
        <w:separator/>
      </w:r>
    </w:p>
  </w:footnote>
  <w:footnote w:type="continuationSeparator" w:id="0">
    <w:p w14:paraId="13990271" w14:textId="77777777" w:rsidR="001A6F04" w:rsidRDefault="001A6F04" w:rsidP="002919E1">
      <w:r>
        <w:continuationSeparator/>
      </w:r>
    </w:p>
    <w:p w14:paraId="6FFF5209" w14:textId="77777777" w:rsidR="001A6F04" w:rsidRDefault="001A6F04" w:rsidP="002919E1"/>
    <w:p w14:paraId="30FB0AD2" w14:textId="77777777" w:rsidR="001A6F04" w:rsidRDefault="001A6F04" w:rsidP="002919E1"/>
    <w:p w14:paraId="29DAF554" w14:textId="77777777" w:rsidR="001A6F04" w:rsidRDefault="001A6F04"/>
    <w:p w14:paraId="50026597" w14:textId="77777777" w:rsidR="001A6F04" w:rsidRDefault="001A6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4DB0" w14:textId="064D1E02" w:rsidR="00D63A6F" w:rsidRPr="00CF0CCE" w:rsidRDefault="005E5F16" w:rsidP="00CF0CCE">
    <w:pPr>
      <w:bidi w:val="0"/>
      <w:spacing w:after="360" w:line="240" w:lineRule="auto"/>
      <w:jc w:val="center"/>
      <w:rPr>
        <w:sz w:val="20"/>
        <w:szCs w:val="20"/>
      </w:rPr>
    </w:pPr>
    <w:r w:rsidRPr="00CF0CCE">
      <w:rPr>
        <w:rStyle w:val="PageNumber"/>
        <w:rFonts w:ascii="Dubai" w:hAnsi="Dubai" w:cs="Dubai"/>
      </w:rPr>
      <w:fldChar w:fldCharType="begin"/>
    </w:r>
    <w:r w:rsidRPr="00CF0CCE">
      <w:rPr>
        <w:rStyle w:val="PageNumber"/>
        <w:rFonts w:ascii="Dubai" w:hAnsi="Dubai" w:cs="Dubai"/>
      </w:rPr>
      <w:instrText xml:space="preserve"> PAGE </w:instrText>
    </w:r>
    <w:r w:rsidRPr="00CF0CCE">
      <w:rPr>
        <w:rStyle w:val="PageNumber"/>
        <w:rFonts w:ascii="Dubai" w:hAnsi="Dubai" w:cs="Dubai"/>
      </w:rPr>
      <w:fldChar w:fldCharType="separate"/>
    </w:r>
    <w:r w:rsidRPr="00CF0CCE">
      <w:rPr>
        <w:rStyle w:val="PageNumber"/>
        <w:rFonts w:ascii="Dubai" w:hAnsi="Dubai" w:cs="Dubai"/>
      </w:rPr>
      <w:t>2</w:t>
    </w:r>
    <w:r w:rsidRPr="00CF0CCE">
      <w:rPr>
        <w:rStyle w:val="PageNumber"/>
        <w:rFonts w:ascii="Dubai" w:hAnsi="Dubai" w:cs="Dubai"/>
      </w:rPr>
      <w:fldChar w:fldCharType="end"/>
    </w:r>
    <w:r w:rsidRPr="00CF0CCE">
      <w:rPr>
        <w:rStyle w:val="PageNumber"/>
        <w:rFonts w:ascii="Dubai" w:hAnsi="Dubai" w:cs="Dubai"/>
        <w:rtl/>
      </w:rPr>
      <w:br/>
    </w:r>
    <w:r w:rsidR="004F5F29" w:rsidRPr="00CF0CCE">
      <w:rPr>
        <w:rStyle w:val="PageNumber"/>
        <w:rFonts w:ascii="Dubai" w:hAnsi="Dubai" w:cs="Dubai"/>
      </w:rPr>
      <w:t>WRC</w:t>
    </w:r>
    <w:r w:rsidRPr="00CF0CCE">
      <w:rPr>
        <w:rStyle w:val="PageNumber"/>
        <w:rFonts w:ascii="Dubai" w:hAnsi="Dubai" w:cs="Dubai"/>
      </w:rPr>
      <w:t>23/148(Add.8)-A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DB21" w14:textId="0089EB9B" w:rsidR="00CF0CCE" w:rsidRPr="00CF0CCE" w:rsidRDefault="00CF0CCE" w:rsidP="00CF0CCE">
    <w:pPr>
      <w:bidi w:val="0"/>
      <w:spacing w:after="360" w:line="240" w:lineRule="auto"/>
      <w:jc w:val="center"/>
      <w:rPr>
        <w:sz w:val="20"/>
        <w:szCs w:val="20"/>
      </w:rPr>
    </w:pPr>
    <w:r w:rsidRPr="00CF0CCE">
      <w:rPr>
        <w:rStyle w:val="PageNumber"/>
        <w:rFonts w:ascii="Dubai" w:hAnsi="Dubai" w:cs="Dubai"/>
      </w:rPr>
      <w:fldChar w:fldCharType="begin"/>
    </w:r>
    <w:r w:rsidRPr="00CF0CCE">
      <w:rPr>
        <w:rStyle w:val="PageNumber"/>
        <w:rFonts w:ascii="Dubai" w:hAnsi="Dubai" w:cs="Dubai"/>
      </w:rPr>
      <w:instrText xml:space="preserve"> PAGE </w:instrText>
    </w:r>
    <w:r w:rsidRPr="00CF0CCE">
      <w:rPr>
        <w:rStyle w:val="PageNumber"/>
        <w:rFonts w:ascii="Dubai" w:hAnsi="Dubai" w:cs="Dubai"/>
      </w:rPr>
      <w:fldChar w:fldCharType="separate"/>
    </w:r>
    <w:r>
      <w:rPr>
        <w:rStyle w:val="PageNumber"/>
        <w:rFonts w:ascii="Dubai" w:hAnsi="Dubai" w:cs="Dubai"/>
      </w:rPr>
      <w:t>2</w:t>
    </w:r>
    <w:r w:rsidRPr="00CF0CCE">
      <w:rPr>
        <w:rStyle w:val="PageNumber"/>
        <w:rFonts w:ascii="Dubai" w:hAnsi="Dubai" w:cs="Dubai"/>
      </w:rPr>
      <w:fldChar w:fldCharType="end"/>
    </w:r>
    <w:r w:rsidRPr="00CF0CCE">
      <w:rPr>
        <w:rStyle w:val="PageNumber"/>
        <w:rFonts w:ascii="Dubai" w:hAnsi="Dubai" w:cs="Dubai"/>
        <w:rtl/>
      </w:rPr>
      <w:br/>
    </w:r>
    <w:r w:rsidRPr="00CF0CCE">
      <w:rPr>
        <w:rStyle w:val="PageNumber"/>
        <w:rFonts w:ascii="Dubai" w:hAnsi="Dubai" w:cs="Dubai"/>
      </w:rPr>
      <w:t>WRC23/148(Add.8)-A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4AC3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9E5C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1E3B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5C25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277C7108"/>
    <w:multiLevelType w:val="hybridMultilevel"/>
    <w:tmpl w:val="CE38F75A"/>
    <w:lvl w:ilvl="0" w:tplc="74289342">
      <w:start w:val="6"/>
      <w:numFmt w:val="bullet"/>
      <w:lvlText w:val="–"/>
      <w:lvlJc w:val="left"/>
      <w:pPr>
        <w:ind w:left="720" w:hanging="360"/>
      </w:pPr>
      <w:rPr>
        <w:rFonts w:ascii="Dubai" w:eastAsia="Times New Roman"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15:restartNumberingAfterBreak="0">
    <w:nsid w:val="63E33D50"/>
    <w:multiLevelType w:val="hybridMultilevel"/>
    <w:tmpl w:val="3194655C"/>
    <w:lvl w:ilvl="0" w:tplc="8224FF8C">
      <w:start w:val="6"/>
      <w:numFmt w:val="bullet"/>
      <w:lvlText w:val="–"/>
      <w:lvlJc w:val="left"/>
      <w:pPr>
        <w:ind w:left="720" w:hanging="360"/>
      </w:pPr>
      <w:rPr>
        <w:rFonts w:ascii="Dubai" w:eastAsia="Times New Roman"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751585570">
    <w:abstractNumId w:val="9"/>
  </w:num>
  <w:num w:numId="2" w16cid:durableId="1359969749">
    <w:abstractNumId w:val="14"/>
  </w:num>
  <w:num w:numId="3" w16cid:durableId="1796172126">
    <w:abstractNumId w:val="11"/>
  </w:num>
  <w:num w:numId="4" w16cid:durableId="663780554">
    <w:abstractNumId w:val="15"/>
  </w:num>
  <w:num w:numId="5" w16cid:durableId="1631278723">
    <w:abstractNumId w:val="7"/>
  </w:num>
  <w:num w:numId="6" w16cid:durableId="56055926">
    <w:abstractNumId w:val="6"/>
  </w:num>
  <w:num w:numId="7" w16cid:durableId="361824463">
    <w:abstractNumId w:val="5"/>
  </w:num>
  <w:num w:numId="8" w16cid:durableId="585116926">
    <w:abstractNumId w:val="4"/>
  </w:num>
  <w:num w:numId="9" w16cid:durableId="1544101211">
    <w:abstractNumId w:val="8"/>
  </w:num>
  <w:num w:numId="10" w16cid:durableId="2130855229">
    <w:abstractNumId w:val="3"/>
  </w:num>
  <w:num w:numId="11" w16cid:durableId="1337149801">
    <w:abstractNumId w:val="2"/>
  </w:num>
  <w:num w:numId="12" w16cid:durableId="295138602">
    <w:abstractNumId w:val="1"/>
  </w:num>
  <w:num w:numId="13" w16cid:durableId="962275787">
    <w:abstractNumId w:val="0"/>
  </w:num>
  <w:num w:numId="14" w16cid:durableId="1743521027">
    <w:abstractNumId w:val="10"/>
  </w:num>
  <w:num w:numId="15" w16cid:durableId="1844465528">
    <w:abstractNumId w:val="17"/>
  </w:num>
  <w:num w:numId="16" w16cid:durableId="240598887">
    <w:abstractNumId w:val="12"/>
  </w:num>
  <w:num w:numId="17" w16cid:durableId="1391342044">
    <w:abstractNumId w:val="6"/>
  </w:num>
  <w:num w:numId="18" w16cid:durableId="1019772201">
    <w:abstractNumId w:val="5"/>
  </w:num>
  <w:num w:numId="19" w16cid:durableId="1842429984">
    <w:abstractNumId w:val="3"/>
  </w:num>
  <w:num w:numId="20" w16cid:durableId="759909571">
    <w:abstractNumId w:val="2"/>
  </w:num>
  <w:num w:numId="21" w16cid:durableId="759377081">
    <w:abstractNumId w:val="6"/>
  </w:num>
  <w:num w:numId="22" w16cid:durableId="1008754899">
    <w:abstractNumId w:val="5"/>
  </w:num>
  <w:num w:numId="23" w16cid:durableId="174925088">
    <w:abstractNumId w:val="3"/>
  </w:num>
  <w:num w:numId="24" w16cid:durableId="557743479">
    <w:abstractNumId w:val="2"/>
  </w:num>
  <w:num w:numId="25" w16cid:durableId="743987801">
    <w:abstractNumId w:val="16"/>
  </w:num>
  <w:num w:numId="26" w16cid:durableId="425535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46D2"/>
    <w:rsid w:val="00014CD2"/>
    <w:rsid w:val="000151B1"/>
    <w:rsid w:val="000166DD"/>
    <w:rsid w:val="00022B74"/>
    <w:rsid w:val="0002327C"/>
    <w:rsid w:val="00034B65"/>
    <w:rsid w:val="00037AB5"/>
    <w:rsid w:val="00040C94"/>
    <w:rsid w:val="000425FC"/>
    <w:rsid w:val="00044D43"/>
    <w:rsid w:val="00046844"/>
    <w:rsid w:val="00046995"/>
    <w:rsid w:val="00051887"/>
    <w:rsid w:val="00051907"/>
    <w:rsid w:val="0005672F"/>
    <w:rsid w:val="00072F6A"/>
    <w:rsid w:val="0007384A"/>
    <w:rsid w:val="000746E7"/>
    <w:rsid w:val="00075A3F"/>
    <w:rsid w:val="00081F53"/>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B5E31"/>
    <w:rsid w:val="000C2EA0"/>
    <w:rsid w:val="000C4669"/>
    <w:rsid w:val="000C6716"/>
    <w:rsid w:val="000D06EB"/>
    <w:rsid w:val="000D1708"/>
    <w:rsid w:val="000D1EE4"/>
    <w:rsid w:val="000D6E0C"/>
    <w:rsid w:val="000E2AFC"/>
    <w:rsid w:val="000E4B40"/>
    <w:rsid w:val="000E6D30"/>
    <w:rsid w:val="000F05F5"/>
    <w:rsid w:val="000F06D4"/>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A76"/>
    <w:rsid w:val="0016459B"/>
    <w:rsid w:val="00164793"/>
    <w:rsid w:val="00167364"/>
    <w:rsid w:val="00182783"/>
    <w:rsid w:val="00184515"/>
    <w:rsid w:val="001903B2"/>
    <w:rsid w:val="001956F9"/>
    <w:rsid w:val="001A37CF"/>
    <w:rsid w:val="001A6F04"/>
    <w:rsid w:val="001B0F78"/>
    <w:rsid w:val="001B217C"/>
    <w:rsid w:val="001B37B7"/>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2612"/>
    <w:rsid w:val="00203382"/>
    <w:rsid w:val="002047FE"/>
    <w:rsid w:val="002075D4"/>
    <w:rsid w:val="00211B2A"/>
    <w:rsid w:val="002160EC"/>
    <w:rsid w:val="0022104A"/>
    <w:rsid w:val="002238C8"/>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1698"/>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64C1"/>
    <w:rsid w:val="002A7E2E"/>
    <w:rsid w:val="002B12C5"/>
    <w:rsid w:val="002B16D8"/>
    <w:rsid w:val="002B6B3A"/>
    <w:rsid w:val="002C0901"/>
    <w:rsid w:val="002C15DE"/>
    <w:rsid w:val="002C25AF"/>
    <w:rsid w:val="002C691C"/>
    <w:rsid w:val="002C7A55"/>
    <w:rsid w:val="002D1FFC"/>
    <w:rsid w:val="002D5F64"/>
    <w:rsid w:val="002D6BB4"/>
    <w:rsid w:val="002D6FBF"/>
    <w:rsid w:val="002E1E56"/>
    <w:rsid w:val="002E48BF"/>
    <w:rsid w:val="002E61C2"/>
    <w:rsid w:val="002F0F67"/>
    <w:rsid w:val="002F3E46"/>
    <w:rsid w:val="002F524B"/>
    <w:rsid w:val="002F6B9D"/>
    <w:rsid w:val="00301B24"/>
    <w:rsid w:val="00304DBA"/>
    <w:rsid w:val="00305971"/>
    <w:rsid w:val="00310AC4"/>
    <w:rsid w:val="00311E3F"/>
    <w:rsid w:val="00314B1E"/>
    <w:rsid w:val="00323DAA"/>
    <w:rsid w:val="0032715E"/>
    <w:rsid w:val="00330AB2"/>
    <w:rsid w:val="003365C2"/>
    <w:rsid w:val="0033737F"/>
    <w:rsid w:val="003401B0"/>
    <w:rsid w:val="00342F1E"/>
    <w:rsid w:val="00353652"/>
    <w:rsid w:val="003559A4"/>
    <w:rsid w:val="003569E1"/>
    <w:rsid w:val="003605D1"/>
    <w:rsid w:val="00365DC6"/>
    <w:rsid w:val="00372EF3"/>
    <w:rsid w:val="003815E2"/>
    <w:rsid w:val="00381FAD"/>
    <w:rsid w:val="00382A66"/>
    <w:rsid w:val="0038593B"/>
    <w:rsid w:val="0039238F"/>
    <w:rsid w:val="003923B1"/>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1ABB"/>
    <w:rsid w:val="004226EB"/>
    <w:rsid w:val="00422C04"/>
    <w:rsid w:val="00423A40"/>
    <w:rsid w:val="00423B29"/>
    <w:rsid w:val="00426144"/>
    <w:rsid w:val="004351B3"/>
    <w:rsid w:val="0043653E"/>
    <w:rsid w:val="004375C2"/>
    <w:rsid w:val="00440622"/>
    <w:rsid w:val="0044575B"/>
    <w:rsid w:val="00450693"/>
    <w:rsid w:val="00456934"/>
    <w:rsid w:val="004636E2"/>
    <w:rsid w:val="00470CBD"/>
    <w:rsid w:val="00471819"/>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3566"/>
    <w:rsid w:val="004C5C04"/>
    <w:rsid w:val="004C67F1"/>
    <w:rsid w:val="004C6A41"/>
    <w:rsid w:val="004D0448"/>
    <w:rsid w:val="004D1B32"/>
    <w:rsid w:val="004D1FA0"/>
    <w:rsid w:val="004D2146"/>
    <w:rsid w:val="004D48CC"/>
    <w:rsid w:val="004D4AE6"/>
    <w:rsid w:val="004D5234"/>
    <w:rsid w:val="004E5775"/>
    <w:rsid w:val="004E74B4"/>
    <w:rsid w:val="004F4785"/>
    <w:rsid w:val="004F5F29"/>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4989"/>
    <w:rsid w:val="005350B0"/>
    <w:rsid w:val="005431B5"/>
    <w:rsid w:val="005447B3"/>
    <w:rsid w:val="005461A1"/>
    <w:rsid w:val="00546A99"/>
    <w:rsid w:val="005470D7"/>
    <w:rsid w:val="00550CE5"/>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B79EC"/>
    <w:rsid w:val="005C29C8"/>
    <w:rsid w:val="005C47A6"/>
    <w:rsid w:val="005C5D25"/>
    <w:rsid w:val="005D1BEC"/>
    <w:rsid w:val="005D2606"/>
    <w:rsid w:val="005D6D48"/>
    <w:rsid w:val="005D72A4"/>
    <w:rsid w:val="005D7B55"/>
    <w:rsid w:val="005E1676"/>
    <w:rsid w:val="005E5F16"/>
    <w:rsid w:val="005E7604"/>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6E1"/>
    <w:rsid w:val="00651F17"/>
    <w:rsid w:val="00654D43"/>
    <w:rsid w:val="0065562F"/>
    <w:rsid w:val="006569F9"/>
    <w:rsid w:val="00660B83"/>
    <w:rsid w:val="00666697"/>
    <w:rsid w:val="00671C24"/>
    <w:rsid w:val="00673E18"/>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3792F"/>
    <w:rsid w:val="00741855"/>
    <w:rsid w:val="00742B73"/>
    <w:rsid w:val="00751251"/>
    <w:rsid w:val="00751BB3"/>
    <w:rsid w:val="00751D7E"/>
    <w:rsid w:val="00752552"/>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A607A"/>
    <w:rsid w:val="007B1FCA"/>
    <w:rsid w:val="007B4AC4"/>
    <w:rsid w:val="007C12CE"/>
    <w:rsid w:val="007C2C12"/>
    <w:rsid w:val="007C3CFA"/>
    <w:rsid w:val="007C7603"/>
    <w:rsid w:val="007D173C"/>
    <w:rsid w:val="007D2E6C"/>
    <w:rsid w:val="007D66A4"/>
    <w:rsid w:val="007E059A"/>
    <w:rsid w:val="007E0E8B"/>
    <w:rsid w:val="007E2231"/>
    <w:rsid w:val="007E26C1"/>
    <w:rsid w:val="007E48CC"/>
    <w:rsid w:val="007E6847"/>
    <w:rsid w:val="007E6B0A"/>
    <w:rsid w:val="007E7696"/>
    <w:rsid w:val="007F08CA"/>
    <w:rsid w:val="007F4998"/>
    <w:rsid w:val="007F6A4D"/>
    <w:rsid w:val="007F7FC3"/>
    <w:rsid w:val="00800790"/>
    <w:rsid w:val="00810482"/>
    <w:rsid w:val="008150D6"/>
    <w:rsid w:val="0081655A"/>
    <w:rsid w:val="0081659C"/>
    <w:rsid w:val="00816F17"/>
    <w:rsid w:val="00817568"/>
    <w:rsid w:val="008204AC"/>
    <w:rsid w:val="008261C2"/>
    <w:rsid w:val="00830D96"/>
    <w:rsid w:val="00844DE0"/>
    <w:rsid w:val="00851423"/>
    <w:rsid w:val="00851E79"/>
    <w:rsid w:val="00854536"/>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6552"/>
    <w:rsid w:val="008B3AF2"/>
    <w:rsid w:val="008B4E93"/>
    <w:rsid w:val="008B52B7"/>
    <w:rsid w:val="008B5C07"/>
    <w:rsid w:val="008C380B"/>
    <w:rsid w:val="008C3818"/>
    <w:rsid w:val="008D2BB5"/>
    <w:rsid w:val="008D6ACC"/>
    <w:rsid w:val="008D7AF0"/>
    <w:rsid w:val="008E27B6"/>
    <w:rsid w:val="008E2CBE"/>
    <w:rsid w:val="008E32DD"/>
    <w:rsid w:val="008E53C5"/>
    <w:rsid w:val="008E6075"/>
    <w:rsid w:val="008F0471"/>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4D86"/>
    <w:rsid w:val="00955405"/>
    <w:rsid w:val="00960472"/>
    <w:rsid w:val="00960962"/>
    <w:rsid w:val="009633E4"/>
    <w:rsid w:val="00963EEA"/>
    <w:rsid w:val="00972CE0"/>
    <w:rsid w:val="00984018"/>
    <w:rsid w:val="009906D6"/>
    <w:rsid w:val="00995CE3"/>
    <w:rsid w:val="009A3D30"/>
    <w:rsid w:val="009A5AC1"/>
    <w:rsid w:val="009A64AB"/>
    <w:rsid w:val="009B006F"/>
    <w:rsid w:val="009C1611"/>
    <w:rsid w:val="009C3927"/>
    <w:rsid w:val="009D15C6"/>
    <w:rsid w:val="009D1DDD"/>
    <w:rsid w:val="009D6348"/>
    <w:rsid w:val="009E0A44"/>
    <w:rsid w:val="009E5007"/>
    <w:rsid w:val="009E613F"/>
    <w:rsid w:val="009F042B"/>
    <w:rsid w:val="009F2EC9"/>
    <w:rsid w:val="00A03FD6"/>
    <w:rsid w:val="00A04CF4"/>
    <w:rsid w:val="00A116A8"/>
    <w:rsid w:val="00A13C5D"/>
    <w:rsid w:val="00A161E3"/>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0B7"/>
    <w:rsid w:val="00A455BE"/>
    <w:rsid w:val="00A46FC4"/>
    <w:rsid w:val="00A47548"/>
    <w:rsid w:val="00A567C6"/>
    <w:rsid w:val="00A60CD2"/>
    <w:rsid w:val="00A6131E"/>
    <w:rsid w:val="00A62883"/>
    <w:rsid w:val="00A64791"/>
    <w:rsid w:val="00A66D2B"/>
    <w:rsid w:val="00A741B5"/>
    <w:rsid w:val="00A7588B"/>
    <w:rsid w:val="00A809E8"/>
    <w:rsid w:val="00A82CC1"/>
    <w:rsid w:val="00A86B29"/>
    <w:rsid w:val="00A870AD"/>
    <w:rsid w:val="00A90843"/>
    <w:rsid w:val="00A9645C"/>
    <w:rsid w:val="00AB2A33"/>
    <w:rsid w:val="00AB5370"/>
    <w:rsid w:val="00AC1275"/>
    <w:rsid w:val="00AC640F"/>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1697"/>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999"/>
    <w:rsid w:val="00B81CB5"/>
    <w:rsid w:val="00B8351F"/>
    <w:rsid w:val="00B86C44"/>
    <w:rsid w:val="00B97131"/>
    <w:rsid w:val="00B9727C"/>
    <w:rsid w:val="00BA2033"/>
    <w:rsid w:val="00BA5669"/>
    <w:rsid w:val="00BA7D44"/>
    <w:rsid w:val="00BC30FC"/>
    <w:rsid w:val="00BC5018"/>
    <w:rsid w:val="00BD6291"/>
    <w:rsid w:val="00BD6471"/>
    <w:rsid w:val="00BD6EF3"/>
    <w:rsid w:val="00BD7A07"/>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651C3"/>
    <w:rsid w:val="00C71759"/>
    <w:rsid w:val="00C71CEF"/>
    <w:rsid w:val="00C75863"/>
    <w:rsid w:val="00C8199C"/>
    <w:rsid w:val="00C84112"/>
    <w:rsid w:val="00C841EB"/>
    <w:rsid w:val="00C8665F"/>
    <w:rsid w:val="00C917B5"/>
    <w:rsid w:val="00C94DFA"/>
    <w:rsid w:val="00C96F80"/>
    <w:rsid w:val="00CA1971"/>
    <w:rsid w:val="00CA298C"/>
    <w:rsid w:val="00CA7C98"/>
    <w:rsid w:val="00CB0D04"/>
    <w:rsid w:val="00CB1480"/>
    <w:rsid w:val="00CB2BF9"/>
    <w:rsid w:val="00CB3FF3"/>
    <w:rsid w:val="00CB4300"/>
    <w:rsid w:val="00CB454E"/>
    <w:rsid w:val="00CB50FD"/>
    <w:rsid w:val="00CB5813"/>
    <w:rsid w:val="00CB7F01"/>
    <w:rsid w:val="00CC030E"/>
    <w:rsid w:val="00CC119F"/>
    <w:rsid w:val="00CC3B5E"/>
    <w:rsid w:val="00CC43A6"/>
    <w:rsid w:val="00CC68C4"/>
    <w:rsid w:val="00CC79A4"/>
    <w:rsid w:val="00CD0FDE"/>
    <w:rsid w:val="00CD4BE3"/>
    <w:rsid w:val="00CE0302"/>
    <w:rsid w:val="00CE0E68"/>
    <w:rsid w:val="00CE21B5"/>
    <w:rsid w:val="00CE2DED"/>
    <w:rsid w:val="00CE5779"/>
    <w:rsid w:val="00CE5BA4"/>
    <w:rsid w:val="00CE7DB9"/>
    <w:rsid w:val="00CF0CCE"/>
    <w:rsid w:val="00CF0F3D"/>
    <w:rsid w:val="00D05322"/>
    <w:rsid w:val="00D10CFC"/>
    <w:rsid w:val="00D14E11"/>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664A6"/>
    <w:rsid w:val="00D81703"/>
    <w:rsid w:val="00D82929"/>
    <w:rsid w:val="00D834D6"/>
    <w:rsid w:val="00D84010"/>
    <w:rsid w:val="00D84214"/>
    <w:rsid w:val="00D92B71"/>
    <w:rsid w:val="00D943E5"/>
    <w:rsid w:val="00D9665F"/>
    <w:rsid w:val="00DA10E0"/>
    <w:rsid w:val="00DA1AE0"/>
    <w:rsid w:val="00DA595D"/>
    <w:rsid w:val="00DA601D"/>
    <w:rsid w:val="00DA7B65"/>
    <w:rsid w:val="00DB4CC9"/>
    <w:rsid w:val="00DC0EE9"/>
    <w:rsid w:val="00DC24FF"/>
    <w:rsid w:val="00DC29DD"/>
    <w:rsid w:val="00DC4E64"/>
    <w:rsid w:val="00DC67FB"/>
    <w:rsid w:val="00DC71D8"/>
    <w:rsid w:val="00DC7C0E"/>
    <w:rsid w:val="00DD0088"/>
    <w:rsid w:val="00DD0091"/>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529E"/>
    <w:rsid w:val="00E26520"/>
    <w:rsid w:val="00E33051"/>
    <w:rsid w:val="00E343A3"/>
    <w:rsid w:val="00E428EF"/>
    <w:rsid w:val="00E451D2"/>
    <w:rsid w:val="00E50850"/>
    <w:rsid w:val="00E51605"/>
    <w:rsid w:val="00E51BFA"/>
    <w:rsid w:val="00E549DE"/>
    <w:rsid w:val="00E56A31"/>
    <w:rsid w:val="00E56BD6"/>
    <w:rsid w:val="00E574F4"/>
    <w:rsid w:val="00E611F1"/>
    <w:rsid w:val="00E621A3"/>
    <w:rsid w:val="00E631D7"/>
    <w:rsid w:val="00E653BA"/>
    <w:rsid w:val="00E66C64"/>
    <w:rsid w:val="00E73408"/>
    <w:rsid w:val="00E75EEB"/>
    <w:rsid w:val="00E833BC"/>
    <w:rsid w:val="00E8580E"/>
    <w:rsid w:val="00E87B97"/>
    <w:rsid w:val="00E90F86"/>
    <w:rsid w:val="00E91538"/>
    <w:rsid w:val="00E919DA"/>
    <w:rsid w:val="00E9583B"/>
    <w:rsid w:val="00E97E21"/>
    <w:rsid w:val="00EA10CF"/>
    <w:rsid w:val="00EA1B76"/>
    <w:rsid w:val="00EA5D25"/>
    <w:rsid w:val="00EA6A9E"/>
    <w:rsid w:val="00EA77D7"/>
    <w:rsid w:val="00EB6DE3"/>
    <w:rsid w:val="00EB740B"/>
    <w:rsid w:val="00EC080F"/>
    <w:rsid w:val="00EC09B9"/>
    <w:rsid w:val="00EC2F74"/>
    <w:rsid w:val="00ED048C"/>
    <w:rsid w:val="00ED78BD"/>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00B9"/>
    <w:rsid w:val="00F25B80"/>
    <w:rsid w:val="00F2685F"/>
    <w:rsid w:val="00F33A34"/>
    <w:rsid w:val="00F350C8"/>
    <w:rsid w:val="00F42650"/>
    <w:rsid w:val="00F44068"/>
    <w:rsid w:val="00F501CE"/>
    <w:rsid w:val="00F5260F"/>
    <w:rsid w:val="00F545E4"/>
    <w:rsid w:val="00F55E63"/>
    <w:rsid w:val="00F56BB7"/>
    <w:rsid w:val="00F5713F"/>
    <w:rsid w:val="00F5756A"/>
    <w:rsid w:val="00F62EB1"/>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635"/>
    <w:rsid w:val="00F97D1C"/>
    <w:rsid w:val="00FA0D4E"/>
    <w:rsid w:val="00FA1C74"/>
    <w:rsid w:val="00FB049A"/>
    <w:rsid w:val="00FB0753"/>
    <w:rsid w:val="00FB0F38"/>
    <w:rsid w:val="00FB15D0"/>
    <w:rsid w:val="00FB2926"/>
    <w:rsid w:val="00FB4A1C"/>
    <w:rsid w:val="00FB5CC8"/>
    <w:rsid w:val="00FC0A30"/>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BB8E7"/>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024d9486-88fa-4754-a3ca-8785949cd1c9">DPM</DPM_x0020_Author>
    <DPM_x0020_File_x0020_name xmlns="024d9486-88fa-4754-a3ca-8785949cd1c9">R23-WRC23-C-0148!A8!MSW-A</DPM_x0020_File_x0020_name>
    <DPM_x0020_Version xmlns="024d9486-88fa-4754-a3ca-8785949cd1c9">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24d9486-88fa-4754-a3ca-8785949cd1c9" targetNamespace="http://schemas.microsoft.com/office/2006/metadata/properties" ma:root="true" ma:fieldsID="d41af5c836d734370eb92e7ee5f83852" ns2:_="" ns3:_="">
    <xsd:import namespace="996b2e75-67fd-4955-a3b0-5ab9934cb50b"/>
    <xsd:import namespace="024d9486-88fa-4754-a3ca-8785949cd1c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24d9486-88fa-4754-a3ca-8785949cd1c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2.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3.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d9486-88fa-4754-a3ca-8785949cd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6.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24d9486-88fa-4754-a3ca-8785949cd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5</Pages>
  <Words>1348</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R23-WRC23-C-0148!A8!MSW-A</vt:lpstr>
    </vt:vector>
  </TitlesOfParts>
  <Manager>General Secretariat - Pool</Manager>
  <Company>International Telecommunication Union (ITU)</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R23-WRC23-C-0148!A8!MSW-A</dc:title>
  <dc:creator>Documents Proposals Manager (DPM)</dc:creator>
  <cp:keywords>DPM_v2023.8.1.1_prod</cp:keywords>
  <cp:lastModifiedBy>Arabic-IR</cp:lastModifiedBy>
  <cp:revision>9</cp:revision>
  <cp:lastPrinted>2020-08-11T14:28:00Z</cp:lastPrinted>
  <dcterms:created xsi:type="dcterms:W3CDTF">2023-11-12T18:22:00Z</dcterms:created>
  <dcterms:modified xsi:type="dcterms:W3CDTF">2023-11-13T19:32:00Z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