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311"/>
        <w:gridCol w:w="1809"/>
      </w:tblGrid>
      <w:tr w:rsidR="0080079E" w:rsidRPr="0009358E" w14:paraId="1291D35B" w14:textId="77777777" w:rsidTr="0080079E">
        <w:trPr>
          <w:cantSplit/>
        </w:trPr>
        <w:tc>
          <w:tcPr>
            <w:tcW w:w="1418" w:type="dxa"/>
            <w:vAlign w:val="center"/>
          </w:tcPr>
          <w:p w14:paraId="7DA2CD35" w14:textId="77777777" w:rsidR="0080079E" w:rsidRPr="0009358E" w:rsidRDefault="0080079E" w:rsidP="0080079E">
            <w:pPr>
              <w:spacing w:before="0" w:line="240" w:lineRule="atLeast"/>
              <w:rPr>
                <w:rFonts w:ascii="Verdana" w:hAnsi="Verdana"/>
                <w:position w:val="6"/>
              </w:rPr>
            </w:pPr>
            <w:r w:rsidRPr="0009358E">
              <w:rPr>
                <w:noProof/>
              </w:rPr>
              <w:drawing>
                <wp:inline distT="0" distB="0" distL="0" distR="0" wp14:anchorId="4B4CEAA4" wp14:editId="60D26A5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</w:tcPr>
          <w:p w14:paraId="69A75FAA" w14:textId="77777777" w:rsidR="0080079E" w:rsidRPr="0009358E" w:rsidRDefault="0080079E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09358E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(CMR-23)</w:t>
            </w:r>
            <w:r w:rsidRPr="0009358E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09358E">
              <w:rPr>
                <w:rFonts w:ascii="Verdana" w:hAnsi="Verdana" w:cs="Times"/>
                <w:b/>
                <w:position w:val="6"/>
                <w:sz w:val="18"/>
                <w:szCs w:val="18"/>
              </w:rPr>
              <w:t>Dubái, 20 de noviembre - 15 de diciembre de 2023</w:t>
            </w:r>
          </w:p>
        </w:tc>
        <w:tc>
          <w:tcPr>
            <w:tcW w:w="1809" w:type="dxa"/>
            <w:vAlign w:val="center"/>
          </w:tcPr>
          <w:p w14:paraId="550DEEDF" w14:textId="77777777" w:rsidR="0080079E" w:rsidRPr="0009358E" w:rsidRDefault="0080079E" w:rsidP="0080079E">
            <w:pPr>
              <w:spacing w:before="0" w:line="240" w:lineRule="atLeast"/>
            </w:pPr>
            <w:r w:rsidRPr="0009358E">
              <w:rPr>
                <w:noProof/>
              </w:rPr>
              <w:drawing>
                <wp:inline distT="0" distB="0" distL="0" distR="0" wp14:anchorId="0345B657" wp14:editId="2470E653">
                  <wp:extent cx="1003465" cy="10034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527" cy="1008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9358E" w14:paraId="7D28A429" w14:textId="77777777" w:rsidTr="0050008E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7F660493" w14:textId="77777777" w:rsidR="0090121B" w:rsidRPr="0009358E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07CA764A" w14:textId="77777777" w:rsidR="0090121B" w:rsidRPr="0009358E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09358E" w14:paraId="66A899C8" w14:textId="77777777" w:rsidTr="0090121B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1B2EAA57" w14:textId="77777777" w:rsidR="0090121B" w:rsidRPr="0009358E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68497F61" w14:textId="77777777" w:rsidR="0090121B" w:rsidRPr="0009358E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09358E" w14:paraId="5619DF51" w14:textId="77777777" w:rsidTr="0090121B">
        <w:trPr>
          <w:cantSplit/>
        </w:trPr>
        <w:tc>
          <w:tcPr>
            <w:tcW w:w="6911" w:type="dxa"/>
            <w:gridSpan w:val="2"/>
          </w:tcPr>
          <w:p w14:paraId="6D207CEC" w14:textId="77777777" w:rsidR="0090121B" w:rsidRPr="0009358E" w:rsidRDefault="001E7D42" w:rsidP="00EA77F0">
            <w:pPr>
              <w:pStyle w:val="Committee"/>
              <w:framePr w:hSpace="0" w:wrap="auto" w:hAnchor="text" w:yAlign="inline"/>
              <w:rPr>
                <w:sz w:val="18"/>
                <w:szCs w:val="18"/>
                <w:lang w:val="es-ES_tradnl"/>
              </w:rPr>
            </w:pPr>
            <w:r w:rsidRPr="0009358E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  <w:gridSpan w:val="2"/>
          </w:tcPr>
          <w:p w14:paraId="12655FD3" w14:textId="77777777" w:rsidR="0090121B" w:rsidRPr="0009358E" w:rsidRDefault="00AE658F" w:rsidP="0045384C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09358E">
              <w:rPr>
                <w:rFonts w:ascii="Verdana" w:hAnsi="Verdana"/>
                <w:b/>
                <w:sz w:val="18"/>
                <w:szCs w:val="18"/>
              </w:rPr>
              <w:t>Addéndum 4 al</w:t>
            </w:r>
            <w:r w:rsidRPr="0009358E">
              <w:rPr>
                <w:rFonts w:ascii="Verdana" w:hAnsi="Verdana"/>
                <w:b/>
                <w:sz w:val="18"/>
                <w:szCs w:val="18"/>
              </w:rPr>
              <w:br/>
              <w:t>Documento 148</w:t>
            </w:r>
            <w:r w:rsidR="0090121B" w:rsidRPr="0009358E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09358E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09358E" w14:paraId="29EDC8D3" w14:textId="77777777" w:rsidTr="0090121B">
        <w:trPr>
          <w:cantSplit/>
        </w:trPr>
        <w:tc>
          <w:tcPr>
            <w:tcW w:w="6911" w:type="dxa"/>
            <w:gridSpan w:val="2"/>
          </w:tcPr>
          <w:p w14:paraId="39991313" w14:textId="77777777" w:rsidR="000A5B9A" w:rsidRPr="0009358E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407D81EA" w14:textId="77777777" w:rsidR="000A5B9A" w:rsidRPr="0009358E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9358E">
              <w:rPr>
                <w:rFonts w:ascii="Verdana" w:hAnsi="Verdana"/>
                <w:b/>
                <w:sz w:val="18"/>
                <w:szCs w:val="18"/>
              </w:rPr>
              <w:t>25 de octubre de 2023</w:t>
            </w:r>
          </w:p>
        </w:tc>
      </w:tr>
      <w:tr w:rsidR="000A5B9A" w:rsidRPr="0009358E" w14:paraId="7AAEBD79" w14:textId="77777777" w:rsidTr="0090121B">
        <w:trPr>
          <w:cantSplit/>
        </w:trPr>
        <w:tc>
          <w:tcPr>
            <w:tcW w:w="6911" w:type="dxa"/>
            <w:gridSpan w:val="2"/>
          </w:tcPr>
          <w:p w14:paraId="223DFFD3" w14:textId="77777777" w:rsidR="000A5B9A" w:rsidRPr="0009358E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3F8C0BD5" w14:textId="77777777" w:rsidR="000A5B9A" w:rsidRPr="0009358E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9358E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09358E" w14:paraId="68F0BAAE" w14:textId="77777777" w:rsidTr="006744FC">
        <w:trPr>
          <w:cantSplit/>
        </w:trPr>
        <w:tc>
          <w:tcPr>
            <w:tcW w:w="10031" w:type="dxa"/>
            <w:gridSpan w:val="4"/>
          </w:tcPr>
          <w:p w14:paraId="1CA7B5A8" w14:textId="77777777" w:rsidR="000A5B9A" w:rsidRPr="0009358E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09358E" w14:paraId="28695135" w14:textId="77777777" w:rsidTr="0050008E">
        <w:trPr>
          <w:cantSplit/>
        </w:trPr>
        <w:tc>
          <w:tcPr>
            <w:tcW w:w="10031" w:type="dxa"/>
            <w:gridSpan w:val="4"/>
          </w:tcPr>
          <w:p w14:paraId="76369E71" w14:textId="77777777" w:rsidR="000A5B9A" w:rsidRPr="0009358E" w:rsidRDefault="000A5B9A" w:rsidP="000A5B9A">
            <w:pPr>
              <w:pStyle w:val="Source"/>
            </w:pPr>
            <w:bookmarkStart w:id="1" w:name="dsource" w:colFirst="0" w:colLast="0"/>
            <w:r w:rsidRPr="0009358E">
              <w:t>Irán (República Islámica del)</w:t>
            </w:r>
          </w:p>
        </w:tc>
      </w:tr>
      <w:tr w:rsidR="000A5B9A" w:rsidRPr="0009358E" w14:paraId="722103AE" w14:textId="77777777" w:rsidTr="0050008E">
        <w:trPr>
          <w:cantSplit/>
        </w:trPr>
        <w:tc>
          <w:tcPr>
            <w:tcW w:w="10031" w:type="dxa"/>
            <w:gridSpan w:val="4"/>
          </w:tcPr>
          <w:p w14:paraId="6B5D3757" w14:textId="55892F04" w:rsidR="000A5B9A" w:rsidRPr="0009358E" w:rsidRDefault="0009358E" w:rsidP="000A5B9A">
            <w:pPr>
              <w:pStyle w:val="Title1"/>
            </w:pPr>
            <w:bookmarkStart w:id="2" w:name="dtitle1" w:colFirst="0" w:colLast="0"/>
            <w:bookmarkEnd w:id="1"/>
            <w:r w:rsidRPr="0009358E">
              <w:t>PROPUESTAS PARA LOS TRABAJOS DE LA CONFERENCIA</w:t>
            </w:r>
          </w:p>
        </w:tc>
      </w:tr>
      <w:tr w:rsidR="000A5B9A" w:rsidRPr="0009358E" w14:paraId="7D9EF21D" w14:textId="77777777" w:rsidTr="0050008E">
        <w:trPr>
          <w:cantSplit/>
        </w:trPr>
        <w:tc>
          <w:tcPr>
            <w:tcW w:w="10031" w:type="dxa"/>
            <w:gridSpan w:val="4"/>
          </w:tcPr>
          <w:p w14:paraId="77972CCF" w14:textId="77777777" w:rsidR="000A5B9A" w:rsidRPr="0009358E" w:rsidRDefault="000A5B9A" w:rsidP="000A5B9A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09358E" w14:paraId="0A753000" w14:textId="77777777" w:rsidTr="0050008E">
        <w:trPr>
          <w:cantSplit/>
        </w:trPr>
        <w:tc>
          <w:tcPr>
            <w:tcW w:w="10031" w:type="dxa"/>
            <w:gridSpan w:val="4"/>
          </w:tcPr>
          <w:p w14:paraId="55BB388C" w14:textId="77777777" w:rsidR="000A5B9A" w:rsidRPr="0009358E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09358E">
              <w:t>Punto 1.4 del orden del día</w:t>
            </w:r>
          </w:p>
        </w:tc>
      </w:tr>
    </w:tbl>
    <w:bookmarkEnd w:id="4"/>
    <w:p w14:paraId="4CBF1B02" w14:textId="77777777" w:rsidR="007428D4" w:rsidRPr="0009358E" w:rsidRDefault="004B6881" w:rsidP="007A48AC">
      <w:r w:rsidRPr="0009358E">
        <w:rPr>
          <w:bCs/>
        </w:rPr>
        <w:t>1.4</w:t>
      </w:r>
      <w:r w:rsidRPr="0009358E">
        <w:rPr>
          <w:b/>
        </w:rPr>
        <w:tab/>
      </w:r>
      <w:r w:rsidRPr="0009358E">
        <w:t>considerar, de conformidad con la Resolución </w:t>
      </w:r>
      <w:r w:rsidRPr="0009358E">
        <w:rPr>
          <w:b/>
          <w:bCs/>
        </w:rPr>
        <w:t xml:space="preserve">247 </w:t>
      </w:r>
      <w:r w:rsidRPr="0009358E">
        <w:rPr>
          <w:b/>
        </w:rPr>
        <w:t>(CMR-19)</w:t>
      </w:r>
      <w:r w:rsidRPr="0009358E">
        <w:t xml:space="preserve">, la utilización de estaciones en plataformas a gran altitud como estaciones base IMT (HIBS) del servicio móvil en ciertas bandas </w:t>
      </w:r>
      <w:r w:rsidRPr="0009358E">
        <w:rPr>
          <w:bCs/>
        </w:rPr>
        <w:t xml:space="preserve">de frecuencias </w:t>
      </w:r>
      <w:r w:rsidRPr="0009358E">
        <w:t>por debajo de 2,7 GHz ya identificadas para las IMT, a nivel mundial o regional;</w:t>
      </w:r>
    </w:p>
    <w:p w14:paraId="3C4BB3BD" w14:textId="32F0E6F0" w:rsidR="0009358E" w:rsidRPr="0009358E" w:rsidRDefault="0009358E" w:rsidP="0009358E">
      <w:pPr>
        <w:pStyle w:val="Headingb"/>
        <w:rPr>
          <w:rFonts w:eastAsia="MS Mincho"/>
        </w:rPr>
      </w:pPr>
      <w:r w:rsidRPr="0009358E">
        <w:rPr>
          <w:rFonts w:eastAsia="MS Mincho"/>
        </w:rPr>
        <w:t>Introducción</w:t>
      </w:r>
    </w:p>
    <w:p w14:paraId="3F3B245D" w14:textId="3F3D9C47" w:rsidR="0009358E" w:rsidRPr="0009358E" w:rsidRDefault="0009358E" w:rsidP="00991545">
      <w:pPr>
        <w:rPr>
          <w:rFonts w:eastAsia="MS Mincho"/>
        </w:rPr>
      </w:pPr>
      <w:r w:rsidRPr="0009358E">
        <w:t xml:space="preserve">Resulta evidente que la utilización de estaciones en plataformas a gran altitud como estaciones base IMT (HIBS) </w:t>
      </w:r>
      <w:r>
        <w:t>en</w:t>
      </w:r>
      <w:r w:rsidRPr="0009358E">
        <w:t xml:space="preserve"> las 4 bandas de frecuencias contempladas en el punto 1.4 del orden del día de la CMR-23 no </w:t>
      </w:r>
      <w:r w:rsidR="007428D4">
        <w:t xml:space="preserve">debe </w:t>
      </w:r>
      <w:r w:rsidRPr="0009358E">
        <w:t>causar interferencias</w:t>
      </w:r>
      <w:r>
        <w:t>,</w:t>
      </w:r>
      <w:r w:rsidRPr="0009358E">
        <w:t xml:space="preserve"> ni</w:t>
      </w:r>
      <w:r w:rsidR="00991545">
        <w:t xml:space="preserve"> requerir</w:t>
      </w:r>
      <w:r w:rsidRPr="0009358E">
        <w:t xml:space="preserve"> protección</w:t>
      </w:r>
      <w:r w:rsidR="00991545">
        <w:t>,</w:t>
      </w:r>
      <w:r w:rsidRPr="0009358E">
        <w:t xml:space="preserve"> ni impon</w:t>
      </w:r>
      <w:r w:rsidR="007428D4">
        <w:t>er</w:t>
      </w:r>
      <w:r w:rsidRPr="0009358E">
        <w:t xml:space="preserve"> restricciones adicionales a</w:t>
      </w:r>
      <w:r w:rsidR="00227A3B">
        <w:t xml:space="preserve"> </w:t>
      </w:r>
      <w:r w:rsidRPr="0009358E">
        <w:t>l</w:t>
      </w:r>
      <w:r w:rsidR="00227A3B">
        <w:t>a</w:t>
      </w:r>
      <w:r w:rsidRPr="0009358E">
        <w:t xml:space="preserve"> </w:t>
      </w:r>
      <w:r w:rsidR="00227A3B">
        <w:t>explotación</w:t>
      </w:r>
      <w:r w:rsidRPr="0009358E">
        <w:t xml:space="preserve"> de los sistemas existentes en la misma banda de frecuencias </w:t>
      </w:r>
      <w:r w:rsidR="00991545">
        <w:t>o</w:t>
      </w:r>
      <w:r w:rsidRPr="0009358E">
        <w:t xml:space="preserve"> en bandas adyacentes. Los estudios de compartición y compatibilidad </w:t>
      </w:r>
      <w:r w:rsidR="00991545">
        <w:t>llevados a cabo</w:t>
      </w:r>
      <w:r w:rsidRPr="0009358E">
        <w:t xml:space="preserve"> por el Grupo de Trabajo (GT) 5D no incluyen cálculo</w:t>
      </w:r>
      <w:r w:rsidR="00227A3B">
        <w:t>s</w:t>
      </w:r>
      <w:r w:rsidRPr="0009358E">
        <w:t xml:space="preserve"> claro</w:t>
      </w:r>
      <w:r w:rsidR="00227A3B">
        <w:t>s</w:t>
      </w:r>
      <w:r w:rsidRPr="0009358E">
        <w:t xml:space="preserve"> del </w:t>
      </w:r>
      <w:r w:rsidR="00991545">
        <w:t>balance</w:t>
      </w:r>
      <w:r w:rsidRPr="0009358E">
        <w:t xml:space="preserve"> de enlace para</w:t>
      </w:r>
      <w:r w:rsidR="00991545">
        <w:t xml:space="preserve"> los enlaces ascendentes y descendentes de las</w:t>
      </w:r>
      <w:r w:rsidRPr="0009358E">
        <w:t xml:space="preserve"> HIBS, </w:t>
      </w:r>
      <w:r w:rsidR="00991545">
        <w:t xml:space="preserve">a pesar de que </w:t>
      </w:r>
      <w:r w:rsidRPr="0009358E">
        <w:t xml:space="preserve">el </w:t>
      </w:r>
      <w:r w:rsidR="00991545">
        <w:t>balance</w:t>
      </w:r>
      <w:r w:rsidRPr="0009358E">
        <w:t xml:space="preserve"> de enlace permite a las administraciones evaluar con </w:t>
      </w:r>
      <w:r w:rsidR="00991545">
        <w:t>precisión</w:t>
      </w:r>
      <w:r w:rsidRPr="0009358E">
        <w:t xml:space="preserve"> las interferencias</w:t>
      </w:r>
      <w:r w:rsidR="00991545">
        <w:t xml:space="preserve"> causadas </w:t>
      </w:r>
      <w:r w:rsidR="00227A3B">
        <w:t xml:space="preserve">a los </w:t>
      </w:r>
      <w:r w:rsidR="00227A3B" w:rsidRPr="0009358E">
        <w:t xml:space="preserve">servicios existentes en las mismas bandas de frecuencias </w:t>
      </w:r>
      <w:r w:rsidRPr="0009358E">
        <w:t>y la protección</w:t>
      </w:r>
      <w:r w:rsidR="00991545">
        <w:t xml:space="preserve"> requerida por</w:t>
      </w:r>
      <w:r w:rsidR="00227A3B">
        <w:t xml:space="preserve"> estos últimos</w:t>
      </w:r>
      <w:r w:rsidRPr="0009358E">
        <w:t>. Por</w:t>
      </w:r>
      <w:r w:rsidR="00991545">
        <w:t xml:space="preserve"> consiguiente, </w:t>
      </w:r>
      <w:r w:rsidRPr="0009358E">
        <w:t>es necesario realizar estudios y revisiones</w:t>
      </w:r>
      <w:r w:rsidR="00991545">
        <w:t xml:space="preserve"> adicionales</w:t>
      </w:r>
      <w:r w:rsidRPr="0009358E">
        <w:t xml:space="preserve"> de las características de l</w:t>
      </w:r>
      <w:r w:rsidR="00991545">
        <w:t>a</w:t>
      </w:r>
      <w:r w:rsidRPr="0009358E">
        <w:t>s HIBS y estudios pertinentes de compartición y compatibilidad.</w:t>
      </w:r>
    </w:p>
    <w:p w14:paraId="5AEEE14B" w14:textId="4CA0AEA1" w:rsidR="0009358E" w:rsidRPr="0009358E" w:rsidRDefault="0009358E" w:rsidP="0009358E">
      <w:pPr>
        <w:pStyle w:val="Headingb"/>
        <w:rPr>
          <w:rFonts w:eastAsia="MS Mincho"/>
        </w:rPr>
      </w:pPr>
      <w:r w:rsidRPr="0009358E">
        <w:rPr>
          <w:rFonts w:eastAsia="MS Mincho"/>
        </w:rPr>
        <w:t>Propuestas</w:t>
      </w:r>
    </w:p>
    <w:p w14:paraId="34C16DC2" w14:textId="16E0E42D" w:rsidR="0009358E" w:rsidRPr="0009358E" w:rsidRDefault="0009358E" w:rsidP="0009358E">
      <w:r w:rsidRPr="0009358E">
        <w:t xml:space="preserve">Esta </w:t>
      </w:r>
      <w:r w:rsidR="00227A3B" w:rsidRPr="0009358E">
        <w:t xml:space="preserve">Administración </w:t>
      </w:r>
      <w:r w:rsidR="00084944">
        <w:t xml:space="preserve">considera </w:t>
      </w:r>
      <w:r w:rsidRPr="0009358E">
        <w:t xml:space="preserve">que la ambigüedad </w:t>
      </w:r>
      <w:r w:rsidR="00084944">
        <w:t>de</w:t>
      </w:r>
      <w:r w:rsidRPr="0009358E">
        <w:t xml:space="preserve"> los estudios de compartición y compatibilidad</w:t>
      </w:r>
      <w:r w:rsidR="00084944">
        <w:t xml:space="preserve"> en lo que respecta</w:t>
      </w:r>
      <w:r w:rsidRPr="0009358E">
        <w:t xml:space="preserve"> a los parámetros</w:t>
      </w:r>
      <w:r w:rsidR="00084944">
        <w:t xml:space="preserve"> de las</w:t>
      </w:r>
      <w:r w:rsidRPr="0009358E">
        <w:t xml:space="preserve"> HIBS y los </w:t>
      </w:r>
      <w:r w:rsidR="00084944">
        <w:t>balance</w:t>
      </w:r>
      <w:r w:rsidRPr="0009358E">
        <w:t>s de enlace</w:t>
      </w:r>
      <w:r w:rsidR="00084944">
        <w:t xml:space="preserve"> dificulta en gran medida</w:t>
      </w:r>
      <w:r w:rsidRPr="0009358E">
        <w:t xml:space="preserve"> la evaluación de la protección de los servicios existentes. Además, </w:t>
      </w:r>
      <w:r w:rsidR="00084944">
        <w:t xml:space="preserve">en virtud del </w:t>
      </w:r>
      <w:r w:rsidR="00084944" w:rsidRPr="00084944">
        <w:rPr>
          <w:i/>
          <w:iCs/>
        </w:rPr>
        <w:t>resuelve</w:t>
      </w:r>
      <w:r w:rsidR="00084944" w:rsidRPr="0009358E">
        <w:t xml:space="preserve"> 2</w:t>
      </w:r>
      <w:r w:rsidR="00084944">
        <w:t xml:space="preserve"> de</w:t>
      </w:r>
      <w:r w:rsidRPr="0009358E">
        <w:t xml:space="preserve"> la Resolución </w:t>
      </w:r>
      <w:r w:rsidRPr="00084944">
        <w:rPr>
          <w:b/>
          <w:bCs/>
        </w:rPr>
        <w:t>247 (CMR</w:t>
      </w:r>
      <w:r w:rsidR="00084944">
        <w:rPr>
          <w:b/>
          <w:bCs/>
        </w:rPr>
        <w:t>-</w:t>
      </w:r>
      <w:r w:rsidRPr="00084944">
        <w:rPr>
          <w:b/>
          <w:bCs/>
        </w:rPr>
        <w:t>19)</w:t>
      </w:r>
      <w:r w:rsidRPr="0009358E">
        <w:t>, se</w:t>
      </w:r>
      <w:r w:rsidR="00084944">
        <w:t xml:space="preserve"> requiere</w:t>
      </w:r>
      <w:r w:rsidRPr="0009358E">
        <w:t xml:space="preserve">n estudios de compartición y compatibilidad </w:t>
      </w:r>
      <w:r w:rsidR="00FF18C7">
        <w:t>«</w:t>
      </w:r>
      <w:r w:rsidR="00084944" w:rsidRPr="00ED1619">
        <w:rPr>
          <w:rFonts w:eastAsia="BatangChe"/>
        </w:rPr>
        <w:t>para ciertas bandas de frecuencias por debajo de 2,7</w:t>
      </w:r>
      <w:r w:rsidR="00084944">
        <w:rPr>
          <w:rFonts w:eastAsia="BatangChe"/>
        </w:rPr>
        <w:t> GHz</w:t>
      </w:r>
      <w:r w:rsidR="00084944" w:rsidRPr="00ED1619">
        <w:rPr>
          <w:rFonts w:eastAsia="BatangChe"/>
        </w:rPr>
        <w:t>, o partes de la misma, armonizadas para las IMT a nivel mundial o regional</w:t>
      </w:r>
      <w:r w:rsidR="00FF18C7">
        <w:rPr>
          <w:rFonts w:eastAsia="BatangChe"/>
        </w:rPr>
        <w:t>»</w:t>
      </w:r>
      <w:r w:rsidRPr="0009358E">
        <w:t>, mientras que el n</w:t>
      </w:r>
      <w:r w:rsidR="00084944">
        <w:t>úmero</w:t>
      </w:r>
      <w:r w:rsidRPr="0009358E">
        <w:t xml:space="preserve"> </w:t>
      </w:r>
      <w:r w:rsidRPr="00084944">
        <w:rPr>
          <w:b/>
          <w:bCs/>
        </w:rPr>
        <w:t>5.313A</w:t>
      </w:r>
      <w:r w:rsidRPr="0009358E">
        <w:t xml:space="preserve"> del Reglamento de Radiocomunicaciones (RR) trata la identificación </w:t>
      </w:r>
      <w:r w:rsidR="007428D4">
        <w:t>para</w:t>
      </w:r>
      <w:r w:rsidRPr="0009358E">
        <w:t xml:space="preserve"> las IMT </w:t>
      </w:r>
      <w:r w:rsidR="00EE4BFC" w:rsidRPr="00EE4BFC">
        <w:t>mediante una nota de país.</w:t>
      </w:r>
    </w:p>
    <w:p w14:paraId="194EB90B" w14:textId="70DC7F65" w:rsidR="0009358E" w:rsidRPr="0009358E" w:rsidRDefault="00EE4BFC" w:rsidP="0009358E">
      <w:r>
        <w:t>En l</w:t>
      </w:r>
      <w:r w:rsidR="0009358E" w:rsidRPr="0009358E">
        <w:t xml:space="preserve">a sección </w:t>
      </w:r>
      <w:r w:rsidR="00FF18C7">
        <w:t>«</w:t>
      </w:r>
      <w:r w:rsidR="0009358E" w:rsidRPr="00EE4BFC">
        <w:rPr>
          <w:i/>
          <w:iCs/>
        </w:rPr>
        <w:t>invita a la CMR-23</w:t>
      </w:r>
      <w:r w:rsidR="00FF18C7">
        <w:t>»</w:t>
      </w:r>
      <w:r w:rsidR="0009358E" w:rsidRPr="0009358E">
        <w:t xml:space="preserve"> </w:t>
      </w:r>
      <w:r>
        <w:t xml:space="preserve">se </w:t>
      </w:r>
      <w:r w:rsidR="0009358E" w:rsidRPr="0009358E">
        <w:t>hace referencia</w:t>
      </w:r>
      <w:r>
        <w:t xml:space="preserve"> explícita</w:t>
      </w:r>
      <w:r w:rsidR="0009358E" w:rsidRPr="0009358E">
        <w:t xml:space="preserve"> a</w:t>
      </w:r>
      <w:r>
        <w:t xml:space="preserve"> </w:t>
      </w:r>
      <w:r w:rsidR="00FF18C7">
        <w:t>«</w:t>
      </w:r>
      <w:r w:rsidRPr="00ED1619">
        <w:rPr>
          <w:rFonts w:eastAsia="BatangChe"/>
        </w:rPr>
        <w:t>la utilización de HIBS en ciertas bandas de frecuencia por debajo de 2,7</w:t>
      </w:r>
      <w:r>
        <w:rPr>
          <w:rFonts w:eastAsia="BatangChe"/>
        </w:rPr>
        <w:t> GHz</w:t>
      </w:r>
      <w:r w:rsidRPr="00ED1619">
        <w:rPr>
          <w:rFonts w:eastAsia="BatangChe"/>
        </w:rPr>
        <w:t xml:space="preserve"> que ya estén identificadas para las IMT, a nivel mundial o regional</w:t>
      </w:r>
      <w:r w:rsidR="00FF18C7">
        <w:rPr>
          <w:rFonts w:eastAsia="BatangChe"/>
        </w:rPr>
        <w:t>»</w:t>
      </w:r>
      <w:r w:rsidR="0009358E" w:rsidRPr="0009358E">
        <w:t>.</w:t>
      </w:r>
    </w:p>
    <w:p w14:paraId="0677E9AA" w14:textId="61FBE582" w:rsidR="0009358E" w:rsidRPr="0009358E" w:rsidRDefault="0009358E" w:rsidP="00EE4BFC">
      <w:r w:rsidRPr="0009358E">
        <w:lastRenderedPageBreak/>
        <w:t>Además, e</w:t>
      </w:r>
      <w:r w:rsidR="00EE4BFC">
        <w:t>n e</w:t>
      </w:r>
      <w:r w:rsidRPr="0009358E">
        <w:t>l</w:t>
      </w:r>
      <w:r w:rsidR="00EE4BFC">
        <w:t xml:space="preserve"> </w:t>
      </w:r>
      <w:r w:rsidR="00EE4BFC">
        <w:rPr>
          <w:i/>
          <w:iCs/>
        </w:rPr>
        <w:t>reconociendo</w:t>
      </w:r>
      <w:r w:rsidRPr="0009358E">
        <w:t xml:space="preserve"> d) </w:t>
      </w:r>
      <w:r w:rsidR="00EE4BFC">
        <w:t xml:space="preserve">se indica </w:t>
      </w:r>
      <w:r w:rsidRPr="0009358E">
        <w:t>claramente</w:t>
      </w:r>
      <w:r w:rsidR="00EE4BFC" w:rsidRPr="00EE4BFC">
        <w:t xml:space="preserve"> que algunas bandas están identificadas a nivel mundial o regional para las IMT de conformidad con los números </w:t>
      </w:r>
      <w:r w:rsidR="00EE4BFC" w:rsidRPr="00EE4BFC">
        <w:rPr>
          <w:b/>
          <w:bCs/>
        </w:rPr>
        <w:t xml:space="preserve">5.286AA, 5.317A, 5.341A, 5.341B, 5.341C, 5.346, 5.346A, 5.384A </w:t>
      </w:r>
      <w:r w:rsidR="00EE4BFC" w:rsidRPr="00EE4BFC">
        <w:t xml:space="preserve">y </w:t>
      </w:r>
      <w:r w:rsidR="00EE4BFC" w:rsidRPr="00EE4BFC">
        <w:rPr>
          <w:b/>
          <w:bCs/>
        </w:rPr>
        <w:t>5.388</w:t>
      </w:r>
      <w:r w:rsidR="00EE4BFC">
        <w:rPr>
          <w:b/>
          <w:bCs/>
        </w:rPr>
        <w:t xml:space="preserve"> </w:t>
      </w:r>
      <w:r w:rsidR="00EE4BFC">
        <w:t>del RR</w:t>
      </w:r>
      <w:r w:rsidRPr="0009358E">
        <w:t xml:space="preserve">. El </w:t>
      </w:r>
      <w:r w:rsidR="00EE4BFC">
        <w:t>número</w:t>
      </w:r>
      <w:r w:rsidRPr="0009358E">
        <w:t xml:space="preserve"> </w:t>
      </w:r>
      <w:r w:rsidRPr="00EE4BFC">
        <w:rPr>
          <w:b/>
          <w:bCs/>
        </w:rPr>
        <w:t>5.313A</w:t>
      </w:r>
      <w:r w:rsidRPr="0009358E">
        <w:t xml:space="preserve"> no </w:t>
      </w:r>
      <w:r w:rsidR="007428D4">
        <w:t>se menciona</w:t>
      </w:r>
      <w:r w:rsidR="00EE4BFC">
        <w:t xml:space="preserve"> en dicha enumeración </w:t>
      </w:r>
      <w:r w:rsidRPr="0009358E">
        <w:t>y, por tanto, no se reconoce su inclusión en este punto del orden del día.</w:t>
      </w:r>
    </w:p>
    <w:p w14:paraId="3C968984" w14:textId="5638B85F" w:rsidR="0009358E" w:rsidRPr="0009358E" w:rsidRDefault="00EE4BFC" w:rsidP="0009358E">
      <w:r>
        <w:t>Habida cuenta de las consideraciones que anteceden,</w:t>
      </w:r>
      <w:r w:rsidR="0009358E" w:rsidRPr="0009358E">
        <w:t xml:space="preserve"> la Administración de Irán (República</w:t>
      </w:r>
      <w:r w:rsidR="00C174A9">
        <w:t> </w:t>
      </w:r>
      <w:r w:rsidR="0009358E" w:rsidRPr="0009358E">
        <w:t>Islámica</w:t>
      </w:r>
      <w:r w:rsidR="00C174A9">
        <w:t> </w:t>
      </w:r>
      <w:r w:rsidR="0009358E" w:rsidRPr="0009358E">
        <w:t>de</w:t>
      </w:r>
      <w:r w:rsidR="007428D4">
        <w:t>l</w:t>
      </w:r>
      <w:r w:rsidR="0009358E" w:rsidRPr="0009358E">
        <w:t xml:space="preserve">) </w:t>
      </w:r>
      <w:r>
        <w:t>se decanta por</w:t>
      </w:r>
      <w:r w:rsidRPr="0009358E">
        <w:t xml:space="preserve"> la Alternativa A1</w:t>
      </w:r>
      <w:r>
        <w:t xml:space="preserve"> para </w:t>
      </w:r>
      <w:r w:rsidRPr="0009358E">
        <w:t>el Tema A</w:t>
      </w:r>
      <w:r>
        <w:t xml:space="preserve"> </w:t>
      </w:r>
      <w:r w:rsidRPr="0009358E">
        <w:t>(694-960</w:t>
      </w:r>
      <w:r w:rsidR="00C174A9">
        <w:t> </w:t>
      </w:r>
      <w:r w:rsidRPr="0009358E">
        <w:t xml:space="preserve">MHz) </w:t>
      </w:r>
      <w:r>
        <w:t>d</w:t>
      </w:r>
      <w:r w:rsidR="0009358E" w:rsidRPr="0009358E">
        <w:t>el punto</w:t>
      </w:r>
      <w:r w:rsidR="00C174A9">
        <w:t> </w:t>
      </w:r>
      <w:r w:rsidR="0009358E" w:rsidRPr="007428D4">
        <w:rPr>
          <w:b/>
          <w:bCs/>
        </w:rPr>
        <w:t>1.4</w:t>
      </w:r>
      <w:r w:rsidR="0009358E" w:rsidRPr="0009358E">
        <w:t xml:space="preserve"> del orden del día de la CMR-23. </w:t>
      </w:r>
    </w:p>
    <w:p w14:paraId="1593708C" w14:textId="44920D9D" w:rsidR="0009358E" w:rsidRPr="0009358E" w:rsidRDefault="0009358E" w:rsidP="00EE4BFC">
      <w:r w:rsidRPr="0009358E">
        <w:t xml:space="preserve">Para los demás temas, esta </w:t>
      </w:r>
      <w:r w:rsidR="00EE4BFC" w:rsidRPr="0009358E">
        <w:t xml:space="preserve">Administración </w:t>
      </w:r>
      <w:r w:rsidRPr="0009358E">
        <w:t>apoya la propuesta común</w:t>
      </w:r>
      <w:r w:rsidR="00EE4BFC">
        <w:t xml:space="preserve"> de la</w:t>
      </w:r>
      <w:r w:rsidRPr="0009358E">
        <w:t xml:space="preserve"> APT.</w:t>
      </w:r>
    </w:p>
    <w:p w14:paraId="5A7BFF9B" w14:textId="77777777" w:rsidR="00363A65" w:rsidRPr="0009358E" w:rsidRDefault="00363A65" w:rsidP="002C1A52"/>
    <w:p w14:paraId="6209BC04" w14:textId="77777777" w:rsidR="008750A8" w:rsidRPr="0009358E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09358E">
        <w:br w:type="page"/>
      </w:r>
    </w:p>
    <w:p w14:paraId="2A7ED612" w14:textId="77777777" w:rsidR="00922EF5" w:rsidRPr="0009358E" w:rsidRDefault="004B6881">
      <w:pPr>
        <w:pStyle w:val="Proposal"/>
      </w:pPr>
      <w:r w:rsidRPr="0009358E">
        <w:rPr>
          <w:u w:val="single"/>
        </w:rPr>
        <w:lastRenderedPageBreak/>
        <w:t>NOC</w:t>
      </w:r>
      <w:r w:rsidRPr="0009358E">
        <w:tab/>
        <w:t>IRN/148A4/1</w:t>
      </w:r>
      <w:r w:rsidRPr="0009358E">
        <w:rPr>
          <w:vanish/>
          <w:color w:val="7F7F7F" w:themeColor="text1" w:themeTint="80"/>
          <w:vertAlign w:val="superscript"/>
        </w:rPr>
        <w:t>#1446</w:t>
      </w:r>
    </w:p>
    <w:p w14:paraId="5EE74A9A" w14:textId="77777777" w:rsidR="007428D4" w:rsidRPr="0009358E" w:rsidRDefault="004B6881" w:rsidP="00FF63E6">
      <w:pPr>
        <w:pStyle w:val="Volumetitle"/>
      </w:pPr>
      <w:r w:rsidRPr="0009358E">
        <w:t>ARTÍCULOS</w:t>
      </w:r>
    </w:p>
    <w:p w14:paraId="6A25DC85" w14:textId="77777777" w:rsidR="00922EF5" w:rsidRPr="0009358E" w:rsidRDefault="00922EF5">
      <w:pPr>
        <w:pStyle w:val="Reasons"/>
      </w:pPr>
    </w:p>
    <w:p w14:paraId="4989CDB5" w14:textId="77777777" w:rsidR="00922EF5" w:rsidRPr="0009358E" w:rsidRDefault="004B6881">
      <w:pPr>
        <w:pStyle w:val="Proposal"/>
      </w:pPr>
      <w:r w:rsidRPr="0009358E">
        <w:rPr>
          <w:u w:val="single"/>
        </w:rPr>
        <w:t>NOC</w:t>
      </w:r>
      <w:r w:rsidRPr="0009358E">
        <w:tab/>
        <w:t>IRN/148A4/2</w:t>
      </w:r>
      <w:r w:rsidRPr="0009358E">
        <w:rPr>
          <w:vanish/>
          <w:color w:val="7F7F7F" w:themeColor="text1" w:themeTint="80"/>
          <w:vertAlign w:val="superscript"/>
        </w:rPr>
        <w:t>#1447</w:t>
      </w:r>
    </w:p>
    <w:p w14:paraId="46A5681A" w14:textId="77777777" w:rsidR="007428D4" w:rsidRPr="0009358E" w:rsidRDefault="004B6881" w:rsidP="00FF63E6">
      <w:pPr>
        <w:pStyle w:val="Volumetitle"/>
      </w:pPr>
      <w:r w:rsidRPr="0009358E">
        <w:t>APÉNDICES</w:t>
      </w:r>
    </w:p>
    <w:p w14:paraId="529794FF" w14:textId="77777777" w:rsidR="00922EF5" w:rsidRPr="0009358E" w:rsidRDefault="00922EF5">
      <w:pPr>
        <w:pStyle w:val="Reasons"/>
      </w:pPr>
    </w:p>
    <w:p w14:paraId="1C3BD587" w14:textId="77777777" w:rsidR="00922EF5" w:rsidRPr="0009358E" w:rsidRDefault="004B6881">
      <w:pPr>
        <w:pStyle w:val="Proposal"/>
      </w:pPr>
      <w:r w:rsidRPr="0009358E">
        <w:t>SUP</w:t>
      </w:r>
      <w:r w:rsidRPr="0009358E">
        <w:tab/>
        <w:t>IRN/148A4/3</w:t>
      </w:r>
    </w:p>
    <w:p w14:paraId="3E7B5C2F" w14:textId="77777777" w:rsidR="007428D4" w:rsidRPr="0009358E" w:rsidRDefault="004B6881" w:rsidP="006610A2">
      <w:pPr>
        <w:pStyle w:val="ResNo"/>
      </w:pPr>
      <w:bookmarkStart w:id="5" w:name="_Toc39734899"/>
      <w:r w:rsidRPr="006610A2">
        <w:t>RESOLUCIÓN</w:t>
      </w:r>
      <w:r w:rsidRPr="0009358E">
        <w:t xml:space="preserve"> </w:t>
      </w:r>
      <w:r w:rsidRPr="0009358E">
        <w:rPr>
          <w:rStyle w:val="href"/>
          <w:caps w:val="0"/>
        </w:rPr>
        <w:t>221</w:t>
      </w:r>
      <w:r w:rsidRPr="0009358E">
        <w:t xml:space="preserve"> (REV.CMR-07)</w:t>
      </w:r>
      <w:bookmarkEnd w:id="5"/>
    </w:p>
    <w:p w14:paraId="53784832" w14:textId="77777777" w:rsidR="0009358E" w:rsidRPr="0009358E" w:rsidRDefault="004B6881" w:rsidP="0009358E">
      <w:pPr>
        <w:pStyle w:val="Restitle"/>
      </w:pPr>
      <w:bookmarkStart w:id="6" w:name="_Toc328141322"/>
      <w:bookmarkStart w:id="7" w:name="_Toc39734900"/>
      <w:r w:rsidRPr="0009358E">
        <w:t>Utilización de estaciones en plataformas a gran altitud que proporcionan IMT</w:t>
      </w:r>
      <w:r w:rsidRPr="0009358E">
        <w:br/>
        <w:t>en las bandas 1 885</w:t>
      </w:r>
      <w:r w:rsidRPr="0009358E">
        <w:noBreakHyphen/>
        <w:t>1 980 MHz, 2 010</w:t>
      </w:r>
      <w:r w:rsidRPr="0009358E">
        <w:noBreakHyphen/>
        <w:t>2 025 MHz y 2 110</w:t>
      </w:r>
      <w:r w:rsidRPr="0009358E">
        <w:noBreakHyphen/>
        <w:t>2 170 MHz</w:t>
      </w:r>
      <w:r w:rsidRPr="0009358E">
        <w:br/>
        <w:t>en las Regiones 1 y 3, y 1 885</w:t>
      </w:r>
      <w:r w:rsidRPr="0009358E">
        <w:noBreakHyphen/>
        <w:t>1 980 MHz y 2 110</w:t>
      </w:r>
      <w:r w:rsidRPr="0009358E">
        <w:noBreakHyphen/>
        <w:t>2 160 MHz</w:t>
      </w:r>
      <w:r w:rsidRPr="0009358E">
        <w:br/>
        <w:t>en la Región 2</w:t>
      </w:r>
      <w:bookmarkEnd w:id="6"/>
      <w:bookmarkEnd w:id="7"/>
    </w:p>
    <w:p w14:paraId="48767669" w14:textId="77777777" w:rsidR="0009358E" w:rsidRPr="0009358E" w:rsidRDefault="0009358E" w:rsidP="0009358E">
      <w:pPr>
        <w:pStyle w:val="Reasons"/>
      </w:pPr>
    </w:p>
    <w:p w14:paraId="58B5A377" w14:textId="52002D82" w:rsidR="00922EF5" w:rsidRPr="0009358E" w:rsidRDefault="0009358E" w:rsidP="0009358E">
      <w:pPr>
        <w:jc w:val="center"/>
      </w:pPr>
      <w:r w:rsidRPr="0009358E">
        <w:t>___________________</w:t>
      </w:r>
    </w:p>
    <w:sectPr w:rsidR="00922EF5" w:rsidRPr="0009358E">
      <w:headerReference w:type="default" r:id="rId14"/>
      <w:footerReference w:type="even" r:id="rId15"/>
      <w:footerReference w:type="default" r:id="rId16"/>
      <w:footerReference w:type="first" r:id="rId17"/>
      <w:type w:val="oddPage"/>
      <w:pgSz w:w="11907" w:h="16834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F95AA" w14:textId="77777777" w:rsidR="00666B37" w:rsidRDefault="00666B37">
      <w:r>
        <w:separator/>
      </w:r>
    </w:p>
  </w:endnote>
  <w:endnote w:type="continuationSeparator" w:id="0">
    <w:p w14:paraId="601F2FDF" w14:textId="77777777" w:rsidR="00666B37" w:rsidRDefault="0066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C5E6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25EA7C" w14:textId="428FA11F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610A2">
      <w:rPr>
        <w:noProof/>
      </w:rPr>
      <w:t>07.11.23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8B5E" w14:textId="3EB5A23C" w:rsidR="0077084A" w:rsidRDefault="004B6881" w:rsidP="00B86034">
    <w:pPr>
      <w:pStyle w:val="Footer"/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174A9">
      <w:rPr>
        <w:lang w:val="en-US"/>
      </w:rPr>
      <w:t>P:\ESP\ITU-R\CONF-R\CMR23\100\148ADD04S.docx</w:t>
    </w:r>
    <w:r>
      <w:fldChar w:fldCharType="end"/>
    </w:r>
    <w:r w:rsidRPr="004B6881">
      <w:rPr>
        <w:lang w:val="en-US"/>
      </w:rPr>
      <w:t xml:space="preserve"> </w:t>
    </w:r>
    <w:r>
      <w:rPr>
        <w:lang w:val="en-US"/>
      </w:rPr>
      <w:t>(530402)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8" w:name="_Hlk150246245"/>
  <w:bookmarkStart w:id="9" w:name="_Hlk150246246"/>
  <w:p w14:paraId="7E5681E0" w14:textId="2F3E1CC0" w:rsidR="0077084A" w:rsidRPr="004B6881" w:rsidRDefault="0077084A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174A9">
      <w:rPr>
        <w:lang w:val="en-US"/>
      </w:rPr>
      <w:t>P:\ESP\ITU-R\CONF-R\CMR23\100\148ADD04S.docx</w:t>
    </w:r>
    <w:r>
      <w:fldChar w:fldCharType="end"/>
    </w:r>
    <w:r w:rsidR="004B6881" w:rsidRPr="004B6881">
      <w:rPr>
        <w:lang w:val="en-US"/>
      </w:rPr>
      <w:t xml:space="preserve"> </w:t>
    </w:r>
    <w:r w:rsidR="004B6881">
      <w:rPr>
        <w:lang w:val="en-US"/>
      </w:rPr>
      <w:t>(530402)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0B2E8" w14:textId="77777777" w:rsidR="00666B37" w:rsidRDefault="00666B37">
      <w:r>
        <w:rPr>
          <w:b/>
        </w:rPr>
        <w:t>_______________</w:t>
      </w:r>
    </w:p>
  </w:footnote>
  <w:footnote w:type="continuationSeparator" w:id="0">
    <w:p w14:paraId="380261B9" w14:textId="77777777" w:rsidR="00666B37" w:rsidRDefault="00666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F4A2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D7D04E" w14:textId="77777777" w:rsidR="0077084A" w:rsidRDefault="000A2A7D" w:rsidP="00C44E9E">
    <w:pPr>
      <w:pStyle w:val="Header"/>
      <w:rPr>
        <w:lang w:val="en-US"/>
      </w:rPr>
    </w:pPr>
    <w:r>
      <w:rPr>
        <w:lang w:val="en-US"/>
      </w:rPr>
      <w:t>WRC</w:t>
    </w:r>
    <w:r w:rsidR="004D2749">
      <w:rPr>
        <w:lang w:val="en-US"/>
      </w:rPr>
      <w:t>23</w:t>
    </w:r>
    <w:r w:rsidR="008750A8">
      <w:rPr>
        <w:lang w:val="en-US"/>
      </w:rPr>
      <w:t>/</w:t>
    </w:r>
    <w:r w:rsidR="00702F3D">
      <w:t>148(Add.4)-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575671663">
    <w:abstractNumId w:val="8"/>
  </w:num>
  <w:num w:numId="2" w16cid:durableId="34729434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216239310">
    <w:abstractNumId w:val="9"/>
  </w:num>
  <w:num w:numId="4" w16cid:durableId="1553497577">
    <w:abstractNumId w:val="7"/>
  </w:num>
  <w:num w:numId="5" w16cid:durableId="143550128">
    <w:abstractNumId w:val="6"/>
  </w:num>
  <w:num w:numId="6" w16cid:durableId="167596479">
    <w:abstractNumId w:val="5"/>
  </w:num>
  <w:num w:numId="7" w16cid:durableId="1662152104">
    <w:abstractNumId w:val="4"/>
  </w:num>
  <w:num w:numId="8" w16cid:durableId="140855593">
    <w:abstractNumId w:val="3"/>
  </w:num>
  <w:num w:numId="9" w16cid:durableId="786894878">
    <w:abstractNumId w:val="2"/>
  </w:num>
  <w:num w:numId="10" w16cid:durableId="353923657">
    <w:abstractNumId w:val="1"/>
  </w:num>
  <w:num w:numId="11" w16cid:durableId="19708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4944"/>
    <w:rsid w:val="00087AE8"/>
    <w:rsid w:val="00091054"/>
    <w:rsid w:val="0009358E"/>
    <w:rsid w:val="000A2A7D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27A3B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B6881"/>
    <w:rsid w:val="004D2749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10A2"/>
    <w:rsid w:val="00662BA0"/>
    <w:rsid w:val="00666B37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28D4"/>
    <w:rsid w:val="0074579D"/>
    <w:rsid w:val="00765578"/>
    <w:rsid w:val="00766333"/>
    <w:rsid w:val="0077084A"/>
    <w:rsid w:val="007952C7"/>
    <w:rsid w:val="007C0B95"/>
    <w:rsid w:val="007C2317"/>
    <w:rsid w:val="007D330A"/>
    <w:rsid w:val="007E5C02"/>
    <w:rsid w:val="0080079E"/>
    <w:rsid w:val="008504C2"/>
    <w:rsid w:val="00866AE6"/>
    <w:rsid w:val="008750A8"/>
    <w:rsid w:val="008D3316"/>
    <w:rsid w:val="008E5AF2"/>
    <w:rsid w:val="0090121B"/>
    <w:rsid w:val="009144C9"/>
    <w:rsid w:val="00922EF5"/>
    <w:rsid w:val="0094091F"/>
    <w:rsid w:val="00962171"/>
    <w:rsid w:val="00973754"/>
    <w:rsid w:val="00991545"/>
    <w:rsid w:val="009C0BED"/>
    <w:rsid w:val="009E11EC"/>
    <w:rsid w:val="00A021CC"/>
    <w:rsid w:val="00A118DB"/>
    <w:rsid w:val="00A4450C"/>
    <w:rsid w:val="00AA5E6C"/>
    <w:rsid w:val="00AC49B1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174A9"/>
    <w:rsid w:val="00C44E9E"/>
    <w:rsid w:val="00C63EB5"/>
    <w:rsid w:val="00C87DA7"/>
    <w:rsid w:val="00CA4945"/>
    <w:rsid w:val="00CC01E0"/>
    <w:rsid w:val="00CD5FEE"/>
    <w:rsid w:val="00CE60D2"/>
    <w:rsid w:val="00CE7431"/>
    <w:rsid w:val="00D00CA8"/>
    <w:rsid w:val="00D0288A"/>
    <w:rsid w:val="00D72A5D"/>
    <w:rsid w:val="00DA71A3"/>
    <w:rsid w:val="00DC1922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83483"/>
    <w:rsid w:val="00EA77F0"/>
    <w:rsid w:val="00EE4BFC"/>
    <w:rsid w:val="00F32316"/>
    <w:rsid w:val="00F66597"/>
    <w:rsid w:val="00F675D0"/>
    <w:rsid w:val="00F8150C"/>
    <w:rsid w:val="00FD03C4"/>
    <w:rsid w:val="00FE4574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8DDFCE9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DD5F56"/>
  </w:style>
  <w:style w:type="paragraph" w:customStyle="1" w:styleId="Normalaftertitle0">
    <w:name w:val="Normal_after_title"/>
    <w:basedOn w:val="Normal"/>
    <w:next w:val="Normal"/>
    <w:qFormat/>
    <w:rsid w:val="00786F85"/>
    <w:pPr>
      <w:spacing w:before="360"/>
    </w:p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R23-WRC23-C-0148!A4!MSW-S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2CBE0-17FC-4ED0-898F-FF411CB5448D}">
  <ds:schemaRefs>
    <ds:schemaRef ds:uri="http://purl.org/dc/elements/1.1/"/>
    <ds:schemaRef ds:uri="http://schemas.microsoft.com/office/infopath/2007/PartnerControls"/>
    <ds:schemaRef ds:uri="996b2e75-67fd-4955-a3b0-5ab9934cb50b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32a1a8c5-2265-4ebc-b7a0-2071e2c5c9b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789A8E-98E2-4116-9E27-0D4C903E5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315F3-A5D8-4A0F-9413-B1F086707B2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BA77A30-2D7A-4526-895C-6AFAB191FA3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670BA2-C622-4BDD-9D70-F003FDC47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559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R23-WRC23-C-0148!A4!MSW-S</vt:lpstr>
    </vt:vector>
  </TitlesOfParts>
  <Manager>Secretaría General - Pool</Manager>
  <Company>Unión Internacional de Telecomunicaciones (UIT)</Company>
  <LinksUpToDate>false</LinksUpToDate>
  <CharactersWithSpaces>3473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R23-WRC23-C-0148!A4!MSW-S</dc:title>
  <dc:subject>Conferencia Mundial de Radiocomunicaciones - 2019</dc:subject>
  <dc:creator>Documents Proposals Manager (DPM)</dc:creator>
  <cp:keywords>DPM_v2023.11.6.1_prod</cp:keywords>
  <dc:description/>
  <cp:lastModifiedBy>Spanish</cp:lastModifiedBy>
  <cp:revision>4</cp:revision>
  <cp:lastPrinted>2003-02-19T20:20:00Z</cp:lastPrinted>
  <dcterms:created xsi:type="dcterms:W3CDTF">2023-11-07T14:19:00Z</dcterms:created>
  <dcterms:modified xsi:type="dcterms:W3CDTF">2023-11-07T14:24:00Z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