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D15E0" w14:paraId="69FCC143" w14:textId="77777777" w:rsidTr="004C6D0B">
        <w:trPr>
          <w:cantSplit/>
        </w:trPr>
        <w:tc>
          <w:tcPr>
            <w:tcW w:w="1418" w:type="dxa"/>
            <w:vAlign w:val="center"/>
          </w:tcPr>
          <w:p w14:paraId="35B56B6E" w14:textId="77777777" w:rsidR="004C6D0B" w:rsidRPr="00ED15E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D15E0">
              <w:rPr>
                <w:lang w:eastAsia="ru-RU"/>
              </w:rPr>
              <w:drawing>
                <wp:inline distT="0" distB="0" distL="0" distR="0" wp14:anchorId="7CEDE91F" wp14:editId="4E1548E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BE72AEA" w14:textId="77777777" w:rsidR="004C6D0B" w:rsidRPr="00ED15E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D15E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D15E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E65FF37" w14:textId="77777777" w:rsidR="004C6D0B" w:rsidRPr="00ED15E0" w:rsidRDefault="004C6D0B" w:rsidP="004C6D0B">
            <w:pPr>
              <w:spacing w:before="0" w:line="240" w:lineRule="atLeast"/>
            </w:pPr>
            <w:r w:rsidRPr="00ED15E0">
              <w:rPr>
                <w:lang w:eastAsia="ru-RU"/>
              </w:rPr>
              <w:drawing>
                <wp:inline distT="0" distB="0" distL="0" distR="0" wp14:anchorId="219A2BC5" wp14:editId="328DEF5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D15E0" w14:paraId="48C9E32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08F10D7" w14:textId="77777777" w:rsidR="005651C9" w:rsidRPr="00ED15E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B85D85B" w14:textId="77777777" w:rsidR="005651C9" w:rsidRPr="00ED15E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D15E0" w14:paraId="1D5E740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41BABE1" w14:textId="77777777" w:rsidR="005651C9" w:rsidRPr="00ED15E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49D9B60" w14:textId="77777777" w:rsidR="005651C9" w:rsidRPr="00ED15E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ED15E0" w14:paraId="6FCEEE19" w14:textId="77777777" w:rsidTr="001226EC">
        <w:trPr>
          <w:cantSplit/>
        </w:trPr>
        <w:tc>
          <w:tcPr>
            <w:tcW w:w="6771" w:type="dxa"/>
            <w:gridSpan w:val="2"/>
          </w:tcPr>
          <w:p w14:paraId="4B966605" w14:textId="77777777" w:rsidR="005651C9" w:rsidRPr="00ED15E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D15E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3D4A51B" w14:textId="77777777" w:rsidR="005651C9" w:rsidRPr="00ED15E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D15E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ED15E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ED15E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D15E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D15E0" w14:paraId="580C0C41" w14:textId="77777777" w:rsidTr="001226EC">
        <w:trPr>
          <w:cantSplit/>
        </w:trPr>
        <w:tc>
          <w:tcPr>
            <w:tcW w:w="6771" w:type="dxa"/>
            <w:gridSpan w:val="2"/>
          </w:tcPr>
          <w:p w14:paraId="7091277F" w14:textId="77777777" w:rsidR="000F33D8" w:rsidRPr="00ED15E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BA51B11" w14:textId="77777777" w:rsidR="000F33D8" w:rsidRPr="00ED15E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D15E0">
              <w:rPr>
                <w:rFonts w:ascii="Verdana" w:hAnsi="Verdana"/>
                <w:b/>
                <w:bCs/>
                <w:sz w:val="18"/>
                <w:szCs w:val="18"/>
              </w:rPr>
              <w:t>25 октября 2023 года</w:t>
            </w:r>
          </w:p>
        </w:tc>
      </w:tr>
      <w:tr w:rsidR="000F33D8" w:rsidRPr="00ED15E0" w14:paraId="77F6F65F" w14:textId="77777777" w:rsidTr="001226EC">
        <w:trPr>
          <w:cantSplit/>
        </w:trPr>
        <w:tc>
          <w:tcPr>
            <w:tcW w:w="6771" w:type="dxa"/>
            <w:gridSpan w:val="2"/>
          </w:tcPr>
          <w:p w14:paraId="613EF27A" w14:textId="77777777" w:rsidR="000F33D8" w:rsidRPr="00ED15E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6E91C7E" w14:textId="77777777" w:rsidR="000F33D8" w:rsidRPr="00ED15E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D15E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D15E0" w14:paraId="0B01CCAF" w14:textId="77777777" w:rsidTr="009546EA">
        <w:trPr>
          <w:cantSplit/>
        </w:trPr>
        <w:tc>
          <w:tcPr>
            <w:tcW w:w="10031" w:type="dxa"/>
            <w:gridSpan w:val="4"/>
          </w:tcPr>
          <w:p w14:paraId="58568A3B" w14:textId="77777777" w:rsidR="000F33D8" w:rsidRPr="00ED15E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D15E0" w14:paraId="6A43B674" w14:textId="77777777">
        <w:trPr>
          <w:cantSplit/>
        </w:trPr>
        <w:tc>
          <w:tcPr>
            <w:tcW w:w="10031" w:type="dxa"/>
            <w:gridSpan w:val="4"/>
          </w:tcPr>
          <w:p w14:paraId="5F16017B" w14:textId="77777777" w:rsidR="000F33D8" w:rsidRPr="00ED15E0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ED15E0">
              <w:rPr>
                <w:szCs w:val="26"/>
              </w:rPr>
              <w:t>Иран (Исламская Республика)</w:t>
            </w:r>
          </w:p>
        </w:tc>
      </w:tr>
      <w:tr w:rsidR="000F33D8" w:rsidRPr="00ED15E0" w14:paraId="2D48EC60" w14:textId="77777777">
        <w:trPr>
          <w:cantSplit/>
        </w:trPr>
        <w:tc>
          <w:tcPr>
            <w:tcW w:w="10031" w:type="dxa"/>
            <w:gridSpan w:val="4"/>
          </w:tcPr>
          <w:p w14:paraId="42BB7A20" w14:textId="77777777" w:rsidR="000F33D8" w:rsidRPr="00ED15E0" w:rsidRDefault="00BC1DDA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ED15E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D15E0" w14:paraId="76E57C7C" w14:textId="77777777">
        <w:trPr>
          <w:cantSplit/>
        </w:trPr>
        <w:tc>
          <w:tcPr>
            <w:tcW w:w="10031" w:type="dxa"/>
            <w:gridSpan w:val="4"/>
          </w:tcPr>
          <w:p w14:paraId="61A0F50A" w14:textId="77777777" w:rsidR="000F33D8" w:rsidRPr="00ED15E0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ED15E0" w14:paraId="71DAB53C" w14:textId="77777777">
        <w:trPr>
          <w:cantSplit/>
        </w:trPr>
        <w:tc>
          <w:tcPr>
            <w:tcW w:w="10031" w:type="dxa"/>
            <w:gridSpan w:val="4"/>
          </w:tcPr>
          <w:p w14:paraId="5CE5AAEA" w14:textId="77777777" w:rsidR="000F33D8" w:rsidRPr="00ED15E0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ED15E0">
              <w:rPr>
                <w:lang w:val="ru-RU"/>
              </w:rPr>
              <w:t>Пункт 1.4 повестки дня</w:t>
            </w:r>
          </w:p>
        </w:tc>
      </w:tr>
    </w:tbl>
    <w:bookmarkEnd w:id="3"/>
    <w:p w14:paraId="6E67C404" w14:textId="77777777" w:rsidR="00544ACF" w:rsidRPr="00ED15E0" w:rsidRDefault="008B4169" w:rsidP="00EE0FF8">
      <w:r w:rsidRPr="00ED15E0">
        <w:rPr>
          <w:bCs/>
        </w:rPr>
        <w:t>1.4</w:t>
      </w:r>
      <w:r w:rsidRPr="00ED15E0">
        <w:rPr>
          <w:b/>
        </w:rPr>
        <w:tab/>
      </w:r>
      <w:r w:rsidRPr="00ED15E0">
        <w:rPr>
          <w:bCs/>
        </w:rPr>
        <w:t>в соответствии с Резолюцией </w:t>
      </w:r>
      <w:r w:rsidRPr="00ED15E0">
        <w:rPr>
          <w:b/>
          <w:bCs/>
        </w:rPr>
        <w:t>247</w:t>
      </w:r>
      <w:r w:rsidRPr="00ED15E0">
        <w:rPr>
          <w:b/>
        </w:rPr>
        <w:t xml:space="preserve"> (ВКР-19)</w:t>
      </w:r>
      <w:r w:rsidRPr="00ED15E0">
        <w:t xml:space="preserve">, </w:t>
      </w:r>
      <w:r w:rsidRPr="00ED15E0">
        <w:rPr>
          <w:bCs/>
        </w:rPr>
        <w:t xml:space="preserve">рассмотреть </w:t>
      </w:r>
      <w:r w:rsidRPr="00ED15E0">
        <w:t>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</w:r>
    </w:p>
    <w:p w14:paraId="1DD7CC29" w14:textId="77777777" w:rsidR="00BC1DDA" w:rsidRPr="00ED15E0" w:rsidRDefault="00BC1DDA" w:rsidP="00BC1DDA">
      <w:pPr>
        <w:pStyle w:val="Headingb"/>
        <w:rPr>
          <w:rFonts w:eastAsia="MS Mincho"/>
          <w:lang w:val="ru-RU"/>
        </w:rPr>
      </w:pPr>
      <w:r w:rsidRPr="00ED15E0">
        <w:rPr>
          <w:rFonts w:eastAsia="MS Mincho"/>
          <w:lang w:val="ru-RU"/>
        </w:rPr>
        <w:t>Введение</w:t>
      </w:r>
    </w:p>
    <w:p w14:paraId="7ABFFA5C" w14:textId="4C5C5BAD" w:rsidR="00BC1DDA" w:rsidRPr="00ED15E0" w:rsidRDefault="00FD0B97" w:rsidP="00BC1DDA">
      <w:pPr>
        <w:rPr>
          <w:rFonts w:eastAsia="MS Mincho"/>
        </w:rPr>
      </w:pPr>
      <w:r w:rsidRPr="00ED15E0">
        <w:t xml:space="preserve">Очевидно, что </w:t>
      </w:r>
      <w:r w:rsidR="005E6B47" w:rsidRPr="00ED15E0">
        <w:t>в соответствии с пунктом</w:t>
      </w:r>
      <w:r w:rsidR="00C13E3E" w:rsidRPr="00ED15E0">
        <w:t> </w:t>
      </w:r>
      <w:r w:rsidR="005E6B47" w:rsidRPr="00ED15E0">
        <w:t>1.4 повестки дня ВКР</w:t>
      </w:r>
      <w:r w:rsidR="00C13E3E" w:rsidRPr="00ED15E0">
        <w:noBreakHyphen/>
      </w:r>
      <w:r w:rsidR="005E6B47" w:rsidRPr="00ED15E0">
        <w:t xml:space="preserve">23 </w:t>
      </w:r>
      <w:r w:rsidRPr="00ED15E0">
        <w:t xml:space="preserve">использование HIBS в четырех полосах частот не должно создавать помех для существующих систем в той же и соседних полосах частот, требовать от </w:t>
      </w:r>
      <w:r w:rsidR="005E6B47" w:rsidRPr="00ED15E0">
        <w:t>этих систем</w:t>
      </w:r>
      <w:r w:rsidRPr="00ED15E0">
        <w:t xml:space="preserve"> защиты и накладывать какие бы то ни было дополнительные ограничения на их использование. </w:t>
      </w:r>
      <w:r w:rsidR="005E6B47" w:rsidRPr="00ED15E0">
        <w:rPr>
          <w:rFonts w:eastAsia="MS Mincho"/>
        </w:rPr>
        <w:t xml:space="preserve">Исследования </w:t>
      </w:r>
      <w:r w:rsidRPr="00ED15E0">
        <w:rPr>
          <w:rFonts w:eastAsia="MS Mincho"/>
        </w:rPr>
        <w:t xml:space="preserve">совместного использования частот и совместимости, проведенных Рабочей группой (РГ) 5D, </w:t>
      </w:r>
      <w:r w:rsidR="005E6B47" w:rsidRPr="00ED15E0">
        <w:rPr>
          <w:rFonts w:eastAsia="MS Mincho"/>
        </w:rPr>
        <w:t xml:space="preserve">не содержат </w:t>
      </w:r>
      <w:r w:rsidR="001B12FB" w:rsidRPr="00ED15E0">
        <w:rPr>
          <w:rFonts w:eastAsia="MS Mincho"/>
        </w:rPr>
        <w:t>четких</w:t>
      </w:r>
      <w:r w:rsidRPr="00ED15E0">
        <w:rPr>
          <w:rFonts w:eastAsia="MS Mincho"/>
        </w:rPr>
        <w:t xml:space="preserve"> расчет</w:t>
      </w:r>
      <w:r w:rsidR="005E6B47" w:rsidRPr="00ED15E0">
        <w:rPr>
          <w:rFonts w:eastAsia="MS Mincho"/>
        </w:rPr>
        <w:t>ов</w:t>
      </w:r>
      <w:r w:rsidRPr="00ED15E0">
        <w:rPr>
          <w:rFonts w:eastAsia="MS Mincho"/>
        </w:rPr>
        <w:t xml:space="preserve"> бюджета линии для </w:t>
      </w:r>
      <w:r w:rsidR="001B12FB" w:rsidRPr="00ED15E0">
        <w:rPr>
          <w:rFonts w:eastAsia="MS Mincho"/>
        </w:rPr>
        <w:t xml:space="preserve">линий вверх и линий вниз </w:t>
      </w:r>
      <w:r w:rsidRPr="00ED15E0">
        <w:rPr>
          <w:rFonts w:eastAsia="MS Mincho"/>
        </w:rPr>
        <w:t xml:space="preserve">HIBS, </w:t>
      </w:r>
      <w:r w:rsidR="005E6B47" w:rsidRPr="00ED15E0">
        <w:rPr>
          <w:rFonts w:eastAsia="MS Mincho"/>
        </w:rPr>
        <w:t xml:space="preserve">которые позволили бы администрациям </w:t>
      </w:r>
      <w:r w:rsidRPr="00ED15E0">
        <w:rPr>
          <w:rFonts w:eastAsia="MS Mincho"/>
        </w:rPr>
        <w:t xml:space="preserve">четко оценить помехи и защиту других существующих служб, работающих в тех же полосах частот. </w:t>
      </w:r>
      <w:r w:rsidR="00FD11EB" w:rsidRPr="00ED15E0">
        <w:rPr>
          <w:rFonts w:eastAsia="Calibri"/>
        </w:rPr>
        <w:t>Поэтому необходимо провести дополнительные исследования и пересмотр характеристик HIBS, а также соответствующие исследования совместного использования частот и совместимости</w:t>
      </w:r>
      <w:r w:rsidR="00BC1DDA" w:rsidRPr="00ED15E0">
        <w:rPr>
          <w:rFonts w:eastAsia="Calibri"/>
        </w:rPr>
        <w:t>.</w:t>
      </w:r>
    </w:p>
    <w:p w14:paraId="31F4A7D7" w14:textId="77777777" w:rsidR="00BC1DDA" w:rsidRPr="00ED15E0" w:rsidRDefault="00BC1DDA" w:rsidP="00BC1DDA">
      <w:pPr>
        <w:pStyle w:val="Headingb"/>
        <w:rPr>
          <w:rFonts w:eastAsia="MS Mincho"/>
          <w:lang w:val="ru-RU"/>
        </w:rPr>
      </w:pPr>
      <w:r w:rsidRPr="00ED15E0">
        <w:rPr>
          <w:rFonts w:eastAsia="MS Mincho"/>
          <w:lang w:val="ru-RU"/>
        </w:rPr>
        <w:t>Предложения</w:t>
      </w:r>
    </w:p>
    <w:p w14:paraId="11D7A5DF" w14:textId="600F5EA3" w:rsidR="00BC1DDA" w:rsidRPr="00ED15E0" w:rsidRDefault="00FD11EB" w:rsidP="00BC1DDA">
      <w:r w:rsidRPr="00ED15E0">
        <w:t>Администрация считает, что недостаточно ясные формулировки в исследованиях совместного использования частот и совместимости</w:t>
      </w:r>
      <w:r w:rsidR="00803E34" w:rsidRPr="00ED15E0">
        <w:t>, касающиеся</w:t>
      </w:r>
      <w:r w:rsidRPr="00ED15E0">
        <w:t xml:space="preserve"> параметров HIBS и бюджетов линии</w:t>
      </w:r>
      <w:r w:rsidR="00803E34" w:rsidRPr="00ED15E0">
        <w:t>,</w:t>
      </w:r>
      <w:r w:rsidRPr="00ED15E0">
        <w:t xml:space="preserve"> сильно затрудняют оценку защиты существующих служб. </w:t>
      </w:r>
      <w:r w:rsidR="00544ACF" w:rsidRPr="00ED15E0">
        <w:t>Кроме того, в соответствии с п.</w:t>
      </w:r>
      <w:r w:rsidR="00C13E3E" w:rsidRPr="00ED15E0">
        <w:t> </w:t>
      </w:r>
      <w:r w:rsidR="00544ACF" w:rsidRPr="00ED15E0">
        <w:t xml:space="preserve">2 раздела </w:t>
      </w:r>
      <w:r w:rsidR="00544ACF" w:rsidRPr="00ED15E0">
        <w:rPr>
          <w:i/>
          <w:iCs/>
        </w:rPr>
        <w:t>решает</w:t>
      </w:r>
      <w:r w:rsidR="00544ACF" w:rsidRPr="00ED15E0">
        <w:t xml:space="preserve"> Резолюции</w:t>
      </w:r>
      <w:r w:rsidR="00C13E3E" w:rsidRPr="00ED15E0">
        <w:t> </w:t>
      </w:r>
      <w:r w:rsidR="00544ACF" w:rsidRPr="00ED15E0">
        <w:rPr>
          <w:b/>
          <w:bCs/>
        </w:rPr>
        <w:t>247 (ВКР</w:t>
      </w:r>
      <w:r w:rsidR="00C13E3E" w:rsidRPr="00ED15E0">
        <w:rPr>
          <w:b/>
          <w:bCs/>
        </w:rPr>
        <w:noBreakHyphen/>
      </w:r>
      <w:r w:rsidR="00544ACF" w:rsidRPr="00ED15E0">
        <w:rPr>
          <w:b/>
          <w:bCs/>
        </w:rPr>
        <w:t>19)</w:t>
      </w:r>
      <w:r w:rsidR="00544ACF" w:rsidRPr="00ED15E0">
        <w:t xml:space="preserve"> предлагается проведение исследований совместного использования частот и совместимости "для некоторых полос частот ниже 2,7</w:t>
      </w:r>
      <w:r w:rsidR="00C13E3E" w:rsidRPr="00ED15E0">
        <w:t> </w:t>
      </w:r>
      <w:r w:rsidR="00544ACF" w:rsidRPr="00ED15E0">
        <w:t>ГГц или участков этих полос, согласованных на глобальной или региональной основе для IMT", в то время как п.</w:t>
      </w:r>
      <w:r w:rsidR="00C13E3E" w:rsidRPr="00ED15E0">
        <w:t> </w:t>
      </w:r>
      <w:r w:rsidR="00544ACF" w:rsidRPr="00ED15E0">
        <w:rPr>
          <w:b/>
          <w:bCs/>
        </w:rPr>
        <w:t>5.313A</w:t>
      </w:r>
      <w:r w:rsidR="00544ACF" w:rsidRPr="00ED15E0">
        <w:t xml:space="preserve"> Регламента радиосвязи </w:t>
      </w:r>
      <w:r w:rsidR="005E6B47" w:rsidRPr="00ED15E0">
        <w:t xml:space="preserve">(РР) </w:t>
      </w:r>
      <w:r w:rsidR="00544ACF" w:rsidRPr="00ED15E0">
        <w:t>касается определения для IMT в качестве примечания по странам.</w:t>
      </w:r>
    </w:p>
    <w:p w14:paraId="1903096C" w14:textId="5C7C9FC6" w:rsidR="00BC1DDA" w:rsidRPr="00ED15E0" w:rsidRDefault="007822E9" w:rsidP="00BC1DDA">
      <w:r w:rsidRPr="00ED15E0">
        <w:t xml:space="preserve">Раздел </w:t>
      </w:r>
      <w:r w:rsidR="00C13E3E" w:rsidRPr="00ED15E0">
        <w:t>"</w:t>
      </w:r>
      <w:r w:rsidRPr="00ED15E0">
        <w:rPr>
          <w:i/>
          <w:iCs/>
        </w:rPr>
        <w:t>предлагает ВКР</w:t>
      </w:r>
      <w:r w:rsidR="00C13E3E" w:rsidRPr="00ED15E0">
        <w:rPr>
          <w:i/>
          <w:iCs/>
        </w:rPr>
        <w:noBreakHyphen/>
      </w:r>
      <w:r w:rsidRPr="00ED15E0">
        <w:rPr>
          <w:i/>
          <w:iCs/>
        </w:rPr>
        <w:t>23</w:t>
      </w:r>
      <w:r w:rsidR="00C13E3E" w:rsidRPr="00ED15E0">
        <w:rPr>
          <w:iCs/>
        </w:rPr>
        <w:t>"</w:t>
      </w:r>
      <w:r w:rsidRPr="00ED15E0">
        <w:t xml:space="preserve"> очевидно ссылается на "использование HIBS в некоторых полосах частот ниже 2,7 ГГц, уже определенных для IMT на глобальной или региональной основе".</w:t>
      </w:r>
    </w:p>
    <w:p w14:paraId="248D2A8F" w14:textId="0BE3C4BB" w:rsidR="00BC1DDA" w:rsidRPr="00ED15E0" w:rsidRDefault="007822E9" w:rsidP="00BC1DDA">
      <w:r w:rsidRPr="00ED15E0">
        <w:t>Кроме того, в п.</w:t>
      </w:r>
      <w:r w:rsidR="00C13E3E" w:rsidRPr="00ED15E0">
        <w:t> </w:t>
      </w:r>
      <w:r w:rsidRPr="00ED15E0">
        <w:rPr>
          <w:i/>
        </w:rPr>
        <w:t>d)</w:t>
      </w:r>
      <w:r w:rsidRPr="00ED15E0">
        <w:t xml:space="preserve"> раздела </w:t>
      </w:r>
      <w:r w:rsidRPr="00ED15E0">
        <w:rPr>
          <w:i/>
          <w:iCs/>
        </w:rPr>
        <w:t xml:space="preserve">признавая </w:t>
      </w:r>
      <w:r w:rsidRPr="00ED15E0">
        <w:t xml:space="preserve">четко указаны </w:t>
      </w:r>
      <w:proofErr w:type="spellStart"/>
      <w:r w:rsidRPr="00ED15E0">
        <w:t>пп</w:t>
      </w:r>
      <w:proofErr w:type="spellEnd"/>
      <w:r w:rsidRPr="00ED15E0">
        <w:t>.</w:t>
      </w:r>
      <w:r w:rsidR="00C13E3E" w:rsidRPr="00ED15E0">
        <w:t> </w:t>
      </w:r>
      <w:r w:rsidRPr="00ED15E0">
        <w:t>5</w:t>
      </w:r>
      <w:r w:rsidRPr="00ED15E0">
        <w:rPr>
          <w:b/>
          <w:bCs/>
        </w:rPr>
        <w:t>.286AA</w:t>
      </w:r>
      <w:r w:rsidRPr="00ED15E0">
        <w:t xml:space="preserve">, </w:t>
      </w:r>
      <w:r w:rsidRPr="00ED15E0">
        <w:rPr>
          <w:b/>
          <w:bCs/>
        </w:rPr>
        <w:t>5.317A</w:t>
      </w:r>
      <w:r w:rsidRPr="00ED15E0">
        <w:t xml:space="preserve">, </w:t>
      </w:r>
      <w:r w:rsidRPr="00ED15E0">
        <w:rPr>
          <w:b/>
          <w:bCs/>
        </w:rPr>
        <w:t>5.341A</w:t>
      </w:r>
      <w:r w:rsidRPr="00ED15E0">
        <w:t xml:space="preserve">, </w:t>
      </w:r>
      <w:r w:rsidRPr="00ED15E0">
        <w:rPr>
          <w:b/>
          <w:bCs/>
        </w:rPr>
        <w:t>5.341B</w:t>
      </w:r>
      <w:r w:rsidRPr="00ED15E0">
        <w:t xml:space="preserve">, </w:t>
      </w:r>
      <w:r w:rsidRPr="00ED15E0">
        <w:rPr>
          <w:b/>
          <w:bCs/>
        </w:rPr>
        <w:t>5.341C</w:t>
      </w:r>
      <w:r w:rsidRPr="00ED15E0">
        <w:t xml:space="preserve">, </w:t>
      </w:r>
      <w:r w:rsidRPr="00ED15E0">
        <w:rPr>
          <w:b/>
          <w:bCs/>
        </w:rPr>
        <w:t>5.346</w:t>
      </w:r>
      <w:r w:rsidRPr="00ED15E0">
        <w:t xml:space="preserve">, </w:t>
      </w:r>
      <w:r w:rsidRPr="00ED15E0">
        <w:rPr>
          <w:b/>
          <w:bCs/>
        </w:rPr>
        <w:t>5.346A</w:t>
      </w:r>
      <w:r w:rsidRPr="00ED15E0">
        <w:t xml:space="preserve">, </w:t>
      </w:r>
      <w:r w:rsidRPr="00ED15E0">
        <w:rPr>
          <w:b/>
          <w:bCs/>
        </w:rPr>
        <w:t>5.384A</w:t>
      </w:r>
      <w:r w:rsidRPr="00ED15E0">
        <w:t xml:space="preserve"> РР как содержащие определения для IMT на глобальной или региональной основе. П</w:t>
      </w:r>
      <w:r w:rsidR="005E6B47" w:rsidRPr="00ED15E0">
        <w:t>ункт</w:t>
      </w:r>
      <w:r w:rsidR="00C13E3E" w:rsidRPr="00ED15E0">
        <w:t> </w:t>
      </w:r>
      <w:r w:rsidRPr="00ED15E0">
        <w:rPr>
          <w:b/>
          <w:bCs/>
        </w:rPr>
        <w:t>5.313A</w:t>
      </w:r>
      <w:r w:rsidRPr="00ED15E0">
        <w:t xml:space="preserve"> </w:t>
      </w:r>
      <w:r w:rsidR="00C13E3E" w:rsidRPr="00ED15E0">
        <w:t>РР не включен в этот перечень</w:t>
      </w:r>
      <w:r w:rsidRPr="00ED15E0">
        <w:t xml:space="preserve"> и поэтому не может быть включен в данный пункт повестки дня.</w:t>
      </w:r>
    </w:p>
    <w:p w14:paraId="56A67DE0" w14:textId="1CE83748" w:rsidR="00BC1DDA" w:rsidRPr="00ED15E0" w:rsidRDefault="007B3195" w:rsidP="00BC1DDA">
      <w:r w:rsidRPr="00ED15E0">
        <w:lastRenderedPageBreak/>
        <w:t xml:space="preserve">Согласно приведенным выше разъяснениям, позиция </w:t>
      </w:r>
      <w:r w:rsidR="001B12FB" w:rsidRPr="00ED15E0">
        <w:t xml:space="preserve">администрации </w:t>
      </w:r>
      <w:r w:rsidRPr="00ED15E0">
        <w:t>Ирана (Исламск</w:t>
      </w:r>
      <w:r w:rsidR="001B12FB" w:rsidRPr="00ED15E0">
        <w:t>ой</w:t>
      </w:r>
      <w:r w:rsidRPr="00ED15E0">
        <w:t xml:space="preserve"> Республик</w:t>
      </w:r>
      <w:r w:rsidR="001B12FB" w:rsidRPr="00ED15E0">
        <w:t>и</w:t>
      </w:r>
      <w:r w:rsidRPr="00ED15E0">
        <w:t>) по пункту</w:t>
      </w:r>
      <w:r w:rsidR="00C13E3E" w:rsidRPr="00ED15E0">
        <w:t> </w:t>
      </w:r>
      <w:r w:rsidRPr="00ED15E0">
        <w:rPr>
          <w:b/>
          <w:bCs/>
        </w:rPr>
        <w:t>1.4</w:t>
      </w:r>
      <w:r w:rsidRPr="00ED15E0">
        <w:t xml:space="preserve"> повестки дня ВКР</w:t>
      </w:r>
      <w:r w:rsidR="00C13E3E" w:rsidRPr="00ED15E0">
        <w:noBreakHyphen/>
      </w:r>
      <w:r w:rsidRPr="00ED15E0">
        <w:t xml:space="preserve">23 в рамках </w:t>
      </w:r>
      <w:r w:rsidR="00803E34" w:rsidRPr="00ED15E0">
        <w:t>Вопроса</w:t>
      </w:r>
      <w:r w:rsidR="00C13E3E" w:rsidRPr="00ED15E0">
        <w:t> </w:t>
      </w:r>
      <w:r w:rsidRPr="00ED15E0">
        <w:t>A (</w:t>
      </w:r>
      <w:proofErr w:type="gramStart"/>
      <w:r w:rsidRPr="00ED15E0">
        <w:t>694−960</w:t>
      </w:r>
      <w:proofErr w:type="gramEnd"/>
      <w:r w:rsidR="00C13E3E" w:rsidRPr="00ED15E0">
        <w:t> </w:t>
      </w:r>
      <w:r w:rsidRPr="00ED15E0">
        <w:t>МГц) отражена в альтернативном варианте</w:t>
      </w:r>
      <w:r w:rsidR="00C13E3E" w:rsidRPr="00ED15E0">
        <w:t> </w:t>
      </w:r>
      <w:r w:rsidRPr="00ED15E0">
        <w:t>A1</w:t>
      </w:r>
      <w:r w:rsidR="008B4169" w:rsidRPr="00ED15E0">
        <w:t>.</w:t>
      </w:r>
    </w:p>
    <w:p w14:paraId="4C37D09E" w14:textId="3168CDFE" w:rsidR="00BC1DDA" w:rsidRPr="00ED15E0" w:rsidRDefault="007B3195" w:rsidP="00BC1DDA">
      <w:r w:rsidRPr="00ED15E0">
        <w:t>По другим Вопросам настоящая администрация поддерживает общее предложение АТСЭ</w:t>
      </w:r>
      <w:r w:rsidR="00BC1DDA" w:rsidRPr="00ED15E0">
        <w:t>.</w:t>
      </w:r>
    </w:p>
    <w:p w14:paraId="144B19DD" w14:textId="77777777" w:rsidR="009B5CC2" w:rsidRPr="00ED15E0" w:rsidRDefault="009B5CC2" w:rsidP="00ED15E0">
      <w:r w:rsidRPr="00ED15E0">
        <w:br w:type="page"/>
      </w:r>
    </w:p>
    <w:p w14:paraId="202BEC4F" w14:textId="77777777" w:rsidR="00DD67D6" w:rsidRPr="00ED15E0" w:rsidRDefault="008B4169">
      <w:pPr>
        <w:pStyle w:val="Proposal"/>
      </w:pPr>
      <w:r w:rsidRPr="00ED15E0">
        <w:rPr>
          <w:u w:val="single"/>
        </w:rPr>
        <w:lastRenderedPageBreak/>
        <w:t>NOC</w:t>
      </w:r>
      <w:r w:rsidRPr="00ED15E0">
        <w:tab/>
        <w:t>IRN/148A4/1</w:t>
      </w:r>
      <w:r w:rsidRPr="00ED15E0">
        <w:rPr>
          <w:vanish/>
          <w:color w:val="7F7F7F" w:themeColor="text1" w:themeTint="80"/>
          <w:vertAlign w:val="superscript"/>
        </w:rPr>
        <w:t>#1446</w:t>
      </w:r>
    </w:p>
    <w:p w14:paraId="50154EF1" w14:textId="77777777" w:rsidR="00544ACF" w:rsidRPr="00ED15E0" w:rsidRDefault="008B4169" w:rsidP="00ED15E0">
      <w:pPr>
        <w:pStyle w:val="Volumetitle"/>
      </w:pPr>
      <w:r w:rsidRPr="00ED15E0">
        <w:t>СТАТЬИ</w:t>
      </w:r>
    </w:p>
    <w:p w14:paraId="5C824EE3" w14:textId="77777777" w:rsidR="00DD67D6" w:rsidRPr="00ED15E0" w:rsidRDefault="00DD67D6">
      <w:pPr>
        <w:pStyle w:val="Reasons"/>
      </w:pPr>
    </w:p>
    <w:p w14:paraId="0E19446B" w14:textId="77777777" w:rsidR="00DD67D6" w:rsidRPr="00ED15E0" w:rsidRDefault="008B4169">
      <w:pPr>
        <w:pStyle w:val="Proposal"/>
      </w:pPr>
      <w:r w:rsidRPr="00ED15E0">
        <w:rPr>
          <w:u w:val="single"/>
        </w:rPr>
        <w:t>NOC</w:t>
      </w:r>
      <w:r w:rsidRPr="00ED15E0">
        <w:tab/>
        <w:t>IRN/148A4/2</w:t>
      </w:r>
      <w:r w:rsidRPr="00ED15E0">
        <w:rPr>
          <w:vanish/>
          <w:color w:val="7F7F7F" w:themeColor="text1" w:themeTint="80"/>
          <w:vertAlign w:val="superscript"/>
        </w:rPr>
        <w:t>#1447</w:t>
      </w:r>
    </w:p>
    <w:p w14:paraId="7A626A33" w14:textId="77777777" w:rsidR="00544ACF" w:rsidRPr="00ED15E0" w:rsidRDefault="008B4169" w:rsidP="00ED15E0">
      <w:pPr>
        <w:pStyle w:val="Volumetitle"/>
      </w:pPr>
      <w:r w:rsidRPr="00ED15E0">
        <w:t>ПРИЛОЖЕНИЯ</w:t>
      </w:r>
    </w:p>
    <w:p w14:paraId="2C91229C" w14:textId="77777777" w:rsidR="00DD67D6" w:rsidRPr="00ED15E0" w:rsidRDefault="00DD67D6">
      <w:pPr>
        <w:pStyle w:val="Reasons"/>
      </w:pPr>
    </w:p>
    <w:p w14:paraId="56E98CB8" w14:textId="77777777" w:rsidR="00DD67D6" w:rsidRPr="00ED15E0" w:rsidRDefault="008B4169">
      <w:pPr>
        <w:pStyle w:val="Proposal"/>
      </w:pPr>
      <w:r w:rsidRPr="00ED15E0">
        <w:t>SUP</w:t>
      </w:r>
      <w:r w:rsidRPr="00ED15E0">
        <w:tab/>
        <w:t>IRN/148A4/3</w:t>
      </w:r>
    </w:p>
    <w:p w14:paraId="58C844B6" w14:textId="77777777" w:rsidR="00544ACF" w:rsidRPr="00ED15E0" w:rsidRDefault="008B4169" w:rsidP="00B43798">
      <w:pPr>
        <w:pStyle w:val="ResNo"/>
      </w:pPr>
      <w:r w:rsidRPr="00ED15E0">
        <w:t xml:space="preserve">РЕЗОЛЮЦИЯ </w:t>
      </w:r>
      <w:r w:rsidRPr="00ED15E0">
        <w:rPr>
          <w:rStyle w:val="href"/>
        </w:rPr>
        <w:t>221</w:t>
      </w:r>
      <w:r w:rsidRPr="00ED15E0">
        <w:t xml:space="preserve"> (Пересм. ВКР-07)</w:t>
      </w:r>
    </w:p>
    <w:p w14:paraId="1600DA1A" w14:textId="77777777" w:rsidR="00544ACF" w:rsidRPr="00ED15E0" w:rsidRDefault="008B4169" w:rsidP="00B43798">
      <w:pPr>
        <w:pStyle w:val="Restitle"/>
      </w:pPr>
      <w:bookmarkStart w:id="4" w:name="_Toc329089592"/>
      <w:bookmarkStart w:id="5" w:name="_Toc450292621"/>
      <w:bookmarkStart w:id="6" w:name="_Toc39740134"/>
      <w:r w:rsidRPr="00ED15E0">
        <w:t xml:space="preserve">Использование станций на высотной платформе, обеспечивающих IMT </w:t>
      </w:r>
      <w:r w:rsidRPr="00ED15E0">
        <w:br/>
        <w:t>в полосах 1885–1980 МГц, 2010–2025 МГц и 2110</w:t>
      </w:r>
      <w:r w:rsidRPr="00ED15E0">
        <w:sym w:font="Symbol" w:char="F02D"/>
      </w:r>
      <w:r w:rsidRPr="00ED15E0">
        <w:t xml:space="preserve">2170 МГц в Районах 1 и 3, </w:t>
      </w:r>
      <w:r w:rsidRPr="00ED15E0">
        <w:br/>
        <w:t>а также 1885–1980 МГц и 2110–2160 МГц в Районе 2</w:t>
      </w:r>
      <w:bookmarkEnd w:id="4"/>
      <w:bookmarkEnd w:id="5"/>
      <w:bookmarkEnd w:id="6"/>
    </w:p>
    <w:p w14:paraId="784FC445" w14:textId="24FA4EBB" w:rsidR="00DD67D6" w:rsidRPr="00ED15E0" w:rsidRDefault="00DD67D6">
      <w:pPr>
        <w:pStyle w:val="Reasons"/>
      </w:pPr>
    </w:p>
    <w:p w14:paraId="27297804" w14:textId="77777777" w:rsidR="00BC1DDA" w:rsidRPr="00ED15E0" w:rsidRDefault="00BC1DDA" w:rsidP="00ED15E0">
      <w:pPr>
        <w:jc w:val="center"/>
      </w:pPr>
      <w:r w:rsidRPr="00ED15E0">
        <w:t>______________</w:t>
      </w:r>
    </w:p>
    <w:sectPr w:rsidR="00BC1DDA" w:rsidRPr="00ED15E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815B" w14:textId="77777777" w:rsidR="00B958BD" w:rsidRDefault="00B958BD">
      <w:r>
        <w:separator/>
      </w:r>
    </w:p>
  </w:endnote>
  <w:endnote w:type="continuationSeparator" w:id="0">
    <w:p w14:paraId="7137167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092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7FE606" w14:textId="201CEFD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15E0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76A9" w14:textId="77777777" w:rsidR="00567276" w:rsidRPr="00ED15E0" w:rsidRDefault="00567276" w:rsidP="00F33B22">
    <w:pPr>
      <w:pStyle w:val="Footer"/>
      <w:rPr>
        <w:lang w:val="pt-BR"/>
      </w:rPr>
    </w:pPr>
    <w:r>
      <w:fldChar w:fldCharType="begin"/>
    </w:r>
    <w:r w:rsidRPr="00ED15E0">
      <w:rPr>
        <w:lang w:val="pt-BR"/>
      </w:rPr>
      <w:instrText xml:space="preserve"> FILENAME \p  \* MERGEFORMAT </w:instrText>
    </w:r>
    <w:r>
      <w:fldChar w:fldCharType="separate"/>
    </w:r>
    <w:r w:rsidR="00BC1DDA" w:rsidRPr="00ED15E0">
      <w:rPr>
        <w:lang w:val="pt-BR"/>
      </w:rPr>
      <w:t>P:\RUS\ITU-R\CONF-R\CMR23\100\148ADD04R.docx</w:t>
    </w:r>
    <w:r>
      <w:fldChar w:fldCharType="end"/>
    </w:r>
    <w:r w:rsidR="00BC1DDA" w:rsidRPr="00ED15E0">
      <w:rPr>
        <w:lang w:val="pt-BR"/>
      </w:rPr>
      <w:t xml:space="preserve"> (530402)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786D" w14:textId="77777777" w:rsidR="00567276" w:rsidRPr="00ED15E0" w:rsidRDefault="00567276" w:rsidP="00FB67E5">
    <w:pPr>
      <w:pStyle w:val="Footer"/>
      <w:rPr>
        <w:lang w:val="pt-BR"/>
      </w:rPr>
    </w:pPr>
    <w:r>
      <w:fldChar w:fldCharType="begin"/>
    </w:r>
    <w:r w:rsidRPr="00ED15E0">
      <w:rPr>
        <w:lang w:val="pt-BR"/>
      </w:rPr>
      <w:instrText xml:space="preserve"> FILENAME \p  \* MERGEFORMAT </w:instrText>
    </w:r>
    <w:r>
      <w:fldChar w:fldCharType="separate"/>
    </w:r>
    <w:r w:rsidR="00BC1DDA" w:rsidRPr="00ED15E0">
      <w:rPr>
        <w:lang w:val="pt-BR"/>
      </w:rPr>
      <w:t>P:\RUS\ITU-R\CONF-R\CMR23\100\148ADD04R.docx</w:t>
    </w:r>
    <w:r>
      <w:fldChar w:fldCharType="end"/>
    </w:r>
    <w:r w:rsidR="00BC1DDA" w:rsidRPr="00ED15E0">
      <w:rPr>
        <w:lang w:val="pt-BR"/>
      </w:rPr>
      <w:t xml:space="preserve"> (530402)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F08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453C07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7954" w14:textId="12DC273D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13E3E">
      <w:rPr>
        <w:noProof/>
      </w:rPr>
      <w:t>3</w:t>
    </w:r>
    <w:r>
      <w:fldChar w:fldCharType="end"/>
    </w:r>
  </w:p>
  <w:p w14:paraId="6257977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452546">
    <w:abstractNumId w:val="0"/>
  </w:num>
  <w:num w:numId="2" w16cid:durableId="18897619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12FB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24DB4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4ACF"/>
    <w:rsid w:val="005651C9"/>
    <w:rsid w:val="00567276"/>
    <w:rsid w:val="005755E2"/>
    <w:rsid w:val="00597005"/>
    <w:rsid w:val="005A295E"/>
    <w:rsid w:val="005D1879"/>
    <w:rsid w:val="005D79A3"/>
    <w:rsid w:val="005E61DD"/>
    <w:rsid w:val="005E6B47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22E9"/>
    <w:rsid w:val="007917AE"/>
    <w:rsid w:val="007A08B5"/>
    <w:rsid w:val="007B3195"/>
    <w:rsid w:val="00803E34"/>
    <w:rsid w:val="00811633"/>
    <w:rsid w:val="00812452"/>
    <w:rsid w:val="00815749"/>
    <w:rsid w:val="00872FC8"/>
    <w:rsid w:val="008B4169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1DDA"/>
    <w:rsid w:val="00BC5313"/>
    <w:rsid w:val="00BD0D2F"/>
    <w:rsid w:val="00BD1129"/>
    <w:rsid w:val="00C0572C"/>
    <w:rsid w:val="00C13E3E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D67D6"/>
    <w:rsid w:val="00DE2EBA"/>
    <w:rsid w:val="00E2253F"/>
    <w:rsid w:val="00E43E99"/>
    <w:rsid w:val="00E5155F"/>
    <w:rsid w:val="00E65919"/>
    <w:rsid w:val="00E976C1"/>
    <w:rsid w:val="00EA0C0C"/>
    <w:rsid w:val="00EB66F7"/>
    <w:rsid w:val="00ED15E0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0B97"/>
    <w:rsid w:val="00FD11EB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A2BB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D15E0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A13D4-C48E-4CDD-921C-4569DFC6A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604EB5-927B-47E6-8C43-170BEE74D00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R23-WRC23-C-0148!A4!MSW-R</vt:lpstr>
    </vt:vector>
  </TitlesOfParts>
  <Manager>General Secretariat - Pool</Manager>
  <Company>International Telecommunication Union (ITU)</Company>
  <LinksUpToDate>false</LinksUpToDate>
  <CharactersWithSpaces>3051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R23-WRC23-C-0148!A4!MSW-R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9</cp:revision>
  <cp:lastPrinted>2003-06-17T08:22:00Z</cp:lastPrinted>
  <dcterms:created xsi:type="dcterms:W3CDTF">2023-11-06T13:49:00Z</dcterms:created>
  <dcterms:modified xsi:type="dcterms:W3CDTF">2023-11-15T23:15:00Z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