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C1305F" w:rsidRPr="005D69D6" w14:paraId="3B52B63B" w14:textId="77777777" w:rsidTr="00C1305F">
        <w:trPr>
          <w:cantSplit/>
        </w:trPr>
        <w:tc>
          <w:tcPr>
            <w:tcW w:w="1418" w:type="dxa"/>
            <w:vAlign w:val="center"/>
          </w:tcPr>
          <w:p w14:paraId="42BC5822" w14:textId="77777777" w:rsidR="00C1305F" w:rsidRPr="005D69D6" w:rsidRDefault="00C1305F" w:rsidP="0084391D">
            <w:pPr>
              <w:spacing w:before="0"/>
              <w:rPr>
                <w:rFonts w:ascii="Verdana" w:hAnsi="Verdana"/>
                <w:b/>
                <w:bCs/>
                <w:sz w:val="20"/>
              </w:rPr>
            </w:pPr>
            <w:r w:rsidRPr="005D69D6">
              <w:rPr>
                <w:lang w:eastAsia="fr-CH"/>
              </w:rPr>
              <w:drawing>
                <wp:inline distT="0" distB="0" distL="0" distR="0" wp14:anchorId="4EF77DD3" wp14:editId="07A2E2C5">
                  <wp:extent cx="713105" cy="786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3105" cy="786765"/>
                          </a:xfrm>
                          <a:prstGeom prst="rect">
                            <a:avLst/>
                          </a:prstGeom>
                          <a:noFill/>
                        </pic:spPr>
                      </pic:pic>
                    </a:graphicData>
                  </a:graphic>
                </wp:inline>
              </w:drawing>
            </w:r>
          </w:p>
        </w:tc>
        <w:tc>
          <w:tcPr>
            <w:tcW w:w="6804" w:type="dxa"/>
            <w:gridSpan w:val="2"/>
          </w:tcPr>
          <w:p w14:paraId="4E8DF7FA" w14:textId="12A993C2" w:rsidR="00C1305F" w:rsidRPr="005D69D6" w:rsidRDefault="00C1305F" w:rsidP="0084391D">
            <w:pPr>
              <w:spacing w:before="400" w:after="48"/>
              <w:rPr>
                <w:rFonts w:ascii="Verdana" w:hAnsi="Verdana"/>
                <w:b/>
                <w:bCs/>
                <w:sz w:val="20"/>
              </w:rPr>
            </w:pPr>
            <w:r w:rsidRPr="005D69D6">
              <w:rPr>
                <w:rFonts w:ascii="Verdana" w:hAnsi="Verdana"/>
                <w:b/>
                <w:bCs/>
                <w:sz w:val="20"/>
              </w:rPr>
              <w:t>Conférence mondiale des radiocommunications (CMR-23)</w:t>
            </w:r>
            <w:r w:rsidRPr="005D69D6">
              <w:rPr>
                <w:rFonts w:ascii="Verdana" w:hAnsi="Verdana"/>
                <w:b/>
                <w:bCs/>
                <w:sz w:val="20"/>
              </w:rPr>
              <w:br/>
            </w:r>
            <w:r w:rsidRPr="005D69D6">
              <w:rPr>
                <w:rFonts w:ascii="Verdana" w:hAnsi="Verdana"/>
                <w:b/>
                <w:bCs/>
                <w:sz w:val="18"/>
                <w:szCs w:val="18"/>
              </w:rPr>
              <w:t xml:space="preserve">Dubaï, 20 novembre </w:t>
            </w:r>
            <w:r w:rsidR="00E35E72" w:rsidRPr="005D69D6">
              <w:rPr>
                <w:rFonts w:ascii="Verdana" w:hAnsi="Verdana"/>
                <w:b/>
                <w:bCs/>
                <w:sz w:val="18"/>
                <w:szCs w:val="18"/>
              </w:rPr>
              <w:t>–</w:t>
            </w:r>
            <w:r w:rsidRPr="005D69D6">
              <w:rPr>
                <w:rFonts w:ascii="Verdana" w:hAnsi="Verdana"/>
                <w:b/>
                <w:bCs/>
                <w:sz w:val="18"/>
                <w:szCs w:val="18"/>
              </w:rPr>
              <w:t xml:space="preserve"> 15 décembre 2023</w:t>
            </w:r>
          </w:p>
        </w:tc>
        <w:tc>
          <w:tcPr>
            <w:tcW w:w="1809" w:type="dxa"/>
            <w:vAlign w:val="center"/>
          </w:tcPr>
          <w:p w14:paraId="376F13AD" w14:textId="77777777" w:rsidR="00C1305F" w:rsidRPr="005D69D6" w:rsidRDefault="00C1305F" w:rsidP="0084391D">
            <w:pPr>
              <w:spacing w:before="0"/>
            </w:pPr>
            <w:bookmarkStart w:id="0" w:name="ditulogo"/>
            <w:bookmarkEnd w:id="0"/>
            <w:r w:rsidRPr="005D69D6">
              <w:rPr>
                <w:lang w:eastAsia="fr-CH"/>
              </w:rPr>
              <w:drawing>
                <wp:inline distT="0" distB="0" distL="0" distR="0" wp14:anchorId="0EE24E40" wp14:editId="1AE0A6F3">
                  <wp:extent cx="1015340" cy="1015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9632" cy="1029632"/>
                          </a:xfrm>
                          <a:prstGeom prst="rect">
                            <a:avLst/>
                          </a:prstGeom>
                          <a:noFill/>
                          <a:ln>
                            <a:noFill/>
                          </a:ln>
                        </pic:spPr>
                      </pic:pic>
                    </a:graphicData>
                  </a:graphic>
                </wp:inline>
              </w:drawing>
            </w:r>
          </w:p>
        </w:tc>
      </w:tr>
      <w:tr w:rsidR="00BB1D82" w:rsidRPr="005D69D6" w14:paraId="7687D73A" w14:textId="77777777" w:rsidTr="0050008E">
        <w:trPr>
          <w:cantSplit/>
        </w:trPr>
        <w:tc>
          <w:tcPr>
            <w:tcW w:w="6911" w:type="dxa"/>
            <w:gridSpan w:val="2"/>
            <w:tcBorders>
              <w:bottom w:val="single" w:sz="12" w:space="0" w:color="auto"/>
            </w:tcBorders>
          </w:tcPr>
          <w:p w14:paraId="6F25BBDD" w14:textId="77777777" w:rsidR="00BB1D82" w:rsidRPr="005D69D6" w:rsidRDefault="00BB1D82" w:rsidP="0084391D">
            <w:pPr>
              <w:spacing w:before="0" w:after="48"/>
              <w:rPr>
                <w:b/>
                <w:smallCaps/>
                <w:szCs w:val="24"/>
              </w:rPr>
            </w:pPr>
            <w:bookmarkStart w:id="1" w:name="dhead"/>
          </w:p>
        </w:tc>
        <w:tc>
          <w:tcPr>
            <w:tcW w:w="3120" w:type="dxa"/>
            <w:gridSpan w:val="2"/>
            <w:tcBorders>
              <w:bottom w:val="single" w:sz="12" w:space="0" w:color="auto"/>
            </w:tcBorders>
          </w:tcPr>
          <w:p w14:paraId="15A5039A" w14:textId="77777777" w:rsidR="00BB1D82" w:rsidRPr="005D69D6" w:rsidRDefault="00BB1D82" w:rsidP="0084391D">
            <w:pPr>
              <w:spacing w:before="0"/>
              <w:rPr>
                <w:rFonts w:ascii="Verdana" w:hAnsi="Verdana"/>
                <w:szCs w:val="24"/>
              </w:rPr>
            </w:pPr>
          </w:p>
        </w:tc>
      </w:tr>
      <w:tr w:rsidR="00BB1D82" w:rsidRPr="005D69D6" w14:paraId="73049FFC" w14:textId="77777777" w:rsidTr="00BB1D82">
        <w:trPr>
          <w:cantSplit/>
        </w:trPr>
        <w:tc>
          <w:tcPr>
            <w:tcW w:w="6911" w:type="dxa"/>
            <w:gridSpan w:val="2"/>
            <w:tcBorders>
              <w:top w:val="single" w:sz="12" w:space="0" w:color="auto"/>
            </w:tcBorders>
          </w:tcPr>
          <w:p w14:paraId="5458B352" w14:textId="77777777" w:rsidR="00BB1D82" w:rsidRPr="005D69D6" w:rsidRDefault="00BB1D82" w:rsidP="0084391D">
            <w:pPr>
              <w:spacing w:before="0" w:after="48"/>
              <w:rPr>
                <w:rFonts w:ascii="Verdana" w:hAnsi="Verdana"/>
                <w:b/>
                <w:smallCaps/>
                <w:sz w:val="20"/>
              </w:rPr>
            </w:pPr>
          </w:p>
        </w:tc>
        <w:tc>
          <w:tcPr>
            <w:tcW w:w="3120" w:type="dxa"/>
            <w:gridSpan w:val="2"/>
            <w:tcBorders>
              <w:top w:val="single" w:sz="12" w:space="0" w:color="auto"/>
            </w:tcBorders>
          </w:tcPr>
          <w:p w14:paraId="69E43651" w14:textId="77777777" w:rsidR="00BB1D82" w:rsidRPr="005D69D6" w:rsidRDefault="00BB1D82" w:rsidP="0084391D">
            <w:pPr>
              <w:spacing w:before="0"/>
              <w:rPr>
                <w:rFonts w:ascii="Verdana" w:hAnsi="Verdana"/>
                <w:sz w:val="20"/>
              </w:rPr>
            </w:pPr>
          </w:p>
        </w:tc>
      </w:tr>
      <w:tr w:rsidR="00BB1D82" w:rsidRPr="005D69D6" w14:paraId="27680093" w14:textId="77777777" w:rsidTr="00BB1D82">
        <w:trPr>
          <w:cantSplit/>
        </w:trPr>
        <w:tc>
          <w:tcPr>
            <w:tcW w:w="6911" w:type="dxa"/>
            <w:gridSpan w:val="2"/>
          </w:tcPr>
          <w:p w14:paraId="137A693B" w14:textId="77777777" w:rsidR="00BB1D82" w:rsidRPr="005D69D6" w:rsidRDefault="006D4724" w:rsidP="0084391D">
            <w:pPr>
              <w:spacing w:before="0"/>
              <w:rPr>
                <w:rFonts w:ascii="Verdana" w:hAnsi="Verdana"/>
                <w:b/>
                <w:sz w:val="20"/>
              </w:rPr>
            </w:pPr>
            <w:r w:rsidRPr="005D69D6">
              <w:rPr>
                <w:rFonts w:ascii="Verdana" w:hAnsi="Verdana"/>
                <w:b/>
                <w:sz w:val="20"/>
              </w:rPr>
              <w:t>SÉANCE PLÉNIÈRE</w:t>
            </w:r>
          </w:p>
        </w:tc>
        <w:tc>
          <w:tcPr>
            <w:tcW w:w="3120" w:type="dxa"/>
            <w:gridSpan w:val="2"/>
          </w:tcPr>
          <w:p w14:paraId="5A23B873" w14:textId="77777777" w:rsidR="00BB1D82" w:rsidRPr="005D69D6" w:rsidRDefault="006D4724" w:rsidP="0084391D">
            <w:pPr>
              <w:spacing w:before="0"/>
              <w:rPr>
                <w:rFonts w:ascii="Verdana" w:hAnsi="Verdana"/>
                <w:sz w:val="20"/>
              </w:rPr>
            </w:pPr>
            <w:r w:rsidRPr="005D69D6">
              <w:rPr>
                <w:rFonts w:ascii="Verdana" w:hAnsi="Verdana"/>
                <w:b/>
                <w:sz w:val="20"/>
              </w:rPr>
              <w:t>Addendum 27 au</w:t>
            </w:r>
            <w:r w:rsidRPr="005D69D6">
              <w:rPr>
                <w:rFonts w:ascii="Verdana" w:hAnsi="Verdana"/>
                <w:b/>
                <w:sz w:val="20"/>
              </w:rPr>
              <w:br/>
              <w:t>Document 148</w:t>
            </w:r>
            <w:r w:rsidR="00BB1D82" w:rsidRPr="005D69D6">
              <w:rPr>
                <w:rFonts w:ascii="Verdana" w:hAnsi="Verdana"/>
                <w:b/>
                <w:sz w:val="20"/>
              </w:rPr>
              <w:t>-</w:t>
            </w:r>
            <w:r w:rsidRPr="005D69D6">
              <w:rPr>
                <w:rFonts w:ascii="Verdana" w:hAnsi="Verdana"/>
                <w:b/>
                <w:sz w:val="20"/>
              </w:rPr>
              <w:t>F</w:t>
            </w:r>
          </w:p>
        </w:tc>
      </w:tr>
      <w:bookmarkEnd w:id="1"/>
      <w:tr w:rsidR="00690C7B" w:rsidRPr="005D69D6" w14:paraId="507D92FC" w14:textId="77777777" w:rsidTr="00BB1D82">
        <w:trPr>
          <w:cantSplit/>
        </w:trPr>
        <w:tc>
          <w:tcPr>
            <w:tcW w:w="6911" w:type="dxa"/>
            <w:gridSpan w:val="2"/>
          </w:tcPr>
          <w:p w14:paraId="5BEAD759" w14:textId="77777777" w:rsidR="00690C7B" w:rsidRPr="005D69D6" w:rsidRDefault="00690C7B" w:rsidP="0084391D">
            <w:pPr>
              <w:spacing w:before="0"/>
              <w:rPr>
                <w:rFonts w:ascii="Verdana" w:hAnsi="Verdana"/>
                <w:b/>
                <w:sz w:val="20"/>
              </w:rPr>
            </w:pPr>
          </w:p>
        </w:tc>
        <w:tc>
          <w:tcPr>
            <w:tcW w:w="3120" w:type="dxa"/>
            <w:gridSpan w:val="2"/>
          </w:tcPr>
          <w:p w14:paraId="5B546A44" w14:textId="77777777" w:rsidR="00690C7B" w:rsidRPr="005D69D6" w:rsidRDefault="00690C7B" w:rsidP="0084391D">
            <w:pPr>
              <w:spacing w:before="0"/>
              <w:rPr>
                <w:rFonts w:ascii="Verdana" w:hAnsi="Verdana"/>
                <w:b/>
                <w:sz w:val="20"/>
              </w:rPr>
            </w:pPr>
            <w:r w:rsidRPr="005D69D6">
              <w:rPr>
                <w:rFonts w:ascii="Verdana" w:hAnsi="Verdana"/>
                <w:b/>
                <w:sz w:val="20"/>
              </w:rPr>
              <w:t>30 octobre 2023</w:t>
            </w:r>
          </w:p>
        </w:tc>
      </w:tr>
      <w:tr w:rsidR="00690C7B" w:rsidRPr="005D69D6" w14:paraId="74A183D3" w14:textId="77777777" w:rsidTr="00BB1D82">
        <w:trPr>
          <w:cantSplit/>
        </w:trPr>
        <w:tc>
          <w:tcPr>
            <w:tcW w:w="6911" w:type="dxa"/>
            <w:gridSpan w:val="2"/>
          </w:tcPr>
          <w:p w14:paraId="7C7CB70B" w14:textId="77777777" w:rsidR="00690C7B" w:rsidRPr="005D69D6" w:rsidRDefault="00690C7B" w:rsidP="0084391D">
            <w:pPr>
              <w:spacing w:before="0" w:after="48"/>
              <w:rPr>
                <w:rFonts w:ascii="Verdana" w:hAnsi="Verdana"/>
                <w:b/>
                <w:smallCaps/>
                <w:sz w:val="20"/>
              </w:rPr>
            </w:pPr>
          </w:p>
        </w:tc>
        <w:tc>
          <w:tcPr>
            <w:tcW w:w="3120" w:type="dxa"/>
            <w:gridSpan w:val="2"/>
          </w:tcPr>
          <w:p w14:paraId="5787179B" w14:textId="77777777" w:rsidR="00690C7B" w:rsidRPr="005D69D6" w:rsidRDefault="00690C7B" w:rsidP="0084391D">
            <w:pPr>
              <w:spacing w:before="0"/>
              <w:rPr>
                <w:rFonts w:ascii="Verdana" w:hAnsi="Verdana"/>
                <w:b/>
                <w:sz w:val="20"/>
              </w:rPr>
            </w:pPr>
            <w:r w:rsidRPr="005D69D6">
              <w:rPr>
                <w:rFonts w:ascii="Verdana" w:hAnsi="Verdana"/>
                <w:b/>
                <w:sz w:val="20"/>
              </w:rPr>
              <w:t>Original: anglais</w:t>
            </w:r>
          </w:p>
        </w:tc>
      </w:tr>
      <w:tr w:rsidR="00690C7B" w:rsidRPr="005D69D6" w14:paraId="26E809AF" w14:textId="77777777" w:rsidTr="00C11970">
        <w:trPr>
          <w:cantSplit/>
        </w:trPr>
        <w:tc>
          <w:tcPr>
            <w:tcW w:w="10031" w:type="dxa"/>
            <w:gridSpan w:val="4"/>
          </w:tcPr>
          <w:p w14:paraId="734B32C8" w14:textId="77777777" w:rsidR="00690C7B" w:rsidRPr="005D69D6" w:rsidRDefault="00690C7B" w:rsidP="0084391D">
            <w:pPr>
              <w:spacing w:before="0"/>
              <w:rPr>
                <w:rFonts w:ascii="Verdana" w:hAnsi="Verdana"/>
                <w:b/>
                <w:sz w:val="20"/>
              </w:rPr>
            </w:pPr>
          </w:p>
        </w:tc>
      </w:tr>
      <w:tr w:rsidR="00690C7B" w:rsidRPr="005D69D6" w14:paraId="55903C37" w14:textId="77777777" w:rsidTr="0050008E">
        <w:trPr>
          <w:cantSplit/>
        </w:trPr>
        <w:tc>
          <w:tcPr>
            <w:tcW w:w="10031" w:type="dxa"/>
            <w:gridSpan w:val="4"/>
          </w:tcPr>
          <w:p w14:paraId="2EC84F20" w14:textId="77777777" w:rsidR="00690C7B" w:rsidRPr="005D69D6" w:rsidRDefault="00690C7B" w:rsidP="0084391D">
            <w:pPr>
              <w:pStyle w:val="Source"/>
            </w:pPr>
            <w:bookmarkStart w:id="2" w:name="dsource" w:colFirst="0" w:colLast="0"/>
            <w:r w:rsidRPr="005D69D6">
              <w:t>Iran (République islamique d')</w:t>
            </w:r>
          </w:p>
        </w:tc>
      </w:tr>
      <w:tr w:rsidR="00690C7B" w:rsidRPr="005D69D6" w14:paraId="0390EC88" w14:textId="77777777" w:rsidTr="0050008E">
        <w:trPr>
          <w:cantSplit/>
        </w:trPr>
        <w:tc>
          <w:tcPr>
            <w:tcW w:w="10031" w:type="dxa"/>
            <w:gridSpan w:val="4"/>
          </w:tcPr>
          <w:p w14:paraId="1962EFA9" w14:textId="13A6C2C7" w:rsidR="00690C7B" w:rsidRPr="005D69D6" w:rsidRDefault="0084065A" w:rsidP="0084391D">
            <w:pPr>
              <w:pStyle w:val="Title1"/>
            </w:pPr>
            <w:bookmarkStart w:id="3" w:name="dtitle1" w:colFirst="0" w:colLast="0"/>
            <w:bookmarkEnd w:id="2"/>
            <w:r w:rsidRPr="005D69D6">
              <w:t>propositions pour les travaux de la conférence</w:t>
            </w:r>
          </w:p>
        </w:tc>
      </w:tr>
      <w:tr w:rsidR="00690C7B" w:rsidRPr="005D69D6" w14:paraId="3E473EBD" w14:textId="77777777" w:rsidTr="0050008E">
        <w:trPr>
          <w:cantSplit/>
        </w:trPr>
        <w:tc>
          <w:tcPr>
            <w:tcW w:w="10031" w:type="dxa"/>
            <w:gridSpan w:val="4"/>
          </w:tcPr>
          <w:p w14:paraId="69CED17B" w14:textId="77777777" w:rsidR="00690C7B" w:rsidRPr="005D69D6" w:rsidRDefault="00690C7B" w:rsidP="0084391D">
            <w:pPr>
              <w:pStyle w:val="Title2"/>
            </w:pPr>
            <w:bookmarkStart w:id="4" w:name="dtitle2" w:colFirst="0" w:colLast="0"/>
            <w:bookmarkEnd w:id="3"/>
          </w:p>
        </w:tc>
      </w:tr>
      <w:tr w:rsidR="00690C7B" w:rsidRPr="005D69D6" w14:paraId="571061A3" w14:textId="77777777" w:rsidTr="0050008E">
        <w:trPr>
          <w:cantSplit/>
        </w:trPr>
        <w:tc>
          <w:tcPr>
            <w:tcW w:w="10031" w:type="dxa"/>
            <w:gridSpan w:val="4"/>
          </w:tcPr>
          <w:p w14:paraId="4E3EB772" w14:textId="77777777" w:rsidR="00690C7B" w:rsidRPr="005D69D6" w:rsidRDefault="00690C7B" w:rsidP="0084391D">
            <w:pPr>
              <w:pStyle w:val="Agendaitem"/>
              <w:rPr>
                <w:lang w:val="fr-FR"/>
              </w:rPr>
            </w:pPr>
            <w:bookmarkStart w:id="5" w:name="dtitle3" w:colFirst="0" w:colLast="0"/>
            <w:bookmarkEnd w:id="4"/>
            <w:r w:rsidRPr="005D69D6">
              <w:rPr>
                <w:lang w:val="fr-FR"/>
              </w:rPr>
              <w:t>Point 10 de l'ordre du jour</w:t>
            </w:r>
          </w:p>
        </w:tc>
      </w:tr>
    </w:tbl>
    <w:bookmarkEnd w:id="5"/>
    <w:p w14:paraId="2A7E8029" w14:textId="37536FAD" w:rsidR="0048177A" w:rsidRPr="005D69D6" w:rsidRDefault="0048177A" w:rsidP="0084391D">
      <w:r w:rsidRPr="005D69D6">
        <w:t>10</w:t>
      </w:r>
      <w:r w:rsidRPr="005D69D6">
        <w:tab/>
        <w:t>recommander au Conseil de l'UIT des points à inscrire à l'ordre du jour de la Conférence mondiale des radiocommunications suivante et des points de l'ordre du jour préliminaire de conférences futures, conformément à l'article 7 de la Convention de l'UIT et à la</w:t>
      </w:r>
      <w:r w:rsidR="0084391D">
        <w:t xml:space="preserve"> </w:t>
      </w:r>
      <w:r w:rsidRPr="005D69D6">
        <w:t>Résolution</w:t>
      </w:r>
      <w:r w:rsidR="0084391D">
        <w:t xml:space="preserve"> </w:t>
      </w:r>
      <w:r w:rsidRPr="005D69D6">
        <w:rPr>
          <w:b/>
        </w:rPr>
        <w:t>804</w:t>
      </w:r>
      <w:r w:rsidR="0084391D">
        <w:rPr>
          <w:b/>
        </w:rPr>
        <w:t xml:space="preserve"> </w:t>
      </w:r>
      <w:r w:rsidRPr="005D69D6">
        <w:rPr>
          <w:b/>
        </w:rPr>
        <w:t>(Rév.CMR-19)</w:t>
      </w:r>
      <w:r w:rsidRPr="005D69D6">
        <w:t>,</w:t>
      </w:r>
    </w:p>
    <w:p w14:paraId="244DF36D" w14:textId="2A5FAD6F" w:rsidR="00B54877" w:rsidRPr="005D69D6" w:rsidRDefault="00B54877" w:rsidP="0084391D">
      <w:pPr>
        <w:pStyle w:val="Headingb"/>
      </w:pPr>
      <w:r w:rsidRPr="005D69D6">
        <w:t>Introduction</w:t>
      </w:r>
    </w:p>
    <w:p w14:paraId="338D3A7D" w14:textId="5BC3F83F" w:rsidR="00F53C94" w:rsidRPr="005D69D6" w:rsidRDefault="00AB18A7" w:rsidP="0084391D">
      <w:r w:rsidRPr="005D69D6">
        <w:t xml:space="preserve">Dans le cadre des travaux préparatoires </w:t>
      </w:r>
      <w:r w:rsidR="00F53C94" w:rsidRPr="005D69D6">
        <w:t xml:space="preserve">de la CMR-23, certaines administrations </w:t>
      </w:r>
      <w:r w:rsidR="00294CD5" w:rsidRPr="005D69D6">
        <w:t xml:space="preserve">comptaient </w:t>
      </w:r>
      <w:r w:rsidR="00F53C94" w:rsidRPr="005D69D6">
        <w:t>proposer d'inscrire un point à l'ordre du jour de</w:t>
      </w:r>
      <w:r w:rsidR="00294CD5" w:rsidRPr="005D69D6">
        <w:t>s</w:t>
      </w:r>
      <w:r w:rsidR="00F53C94" w:rsidRPr="005D69D6">
        <w:t xml:space="preserve"> CMR futures </w:t>
      </w:r>
      <w:r w:rsidR="00294CD5" w:rsidRPr="005D69D6">
        <w:t xml:space="preserve">pour revoir et </w:t>
      </w:r>
      <w:r w:rsidR="00F53C94" w:rsidRPr="005D69D6">
        <w:t>actualiser les dispositions réglementaires relatives au partage entre les systèmes à satellites non géostationnaires</w:t>
      </w:r>
      <w:r w:rsidR="0084391D">
        <w:t xml:space="preserve"> </w:t>
      </w:r>
      <w:r w:rsidR="00F53C94" w:rsidRPr="005D69D6">
        <w:t>(non OSG) et les réseaux à satellite géostationnaire</w:t>
      </w:r>
      <w:r w:rsidR="00AF0AEB" w:rsidRPr="005D69D6">
        <w:t xml:space="preserve"> </w:t>
      </w:r>
      <w:r w:rsidR="00F53C94" w:rsidRPr="005D69D6">
        <w:t>(OSG) dans les bandes de fréquences au</w:t>
      </w:r>
      <w:r w:rsidR="0084391D">
        <w:noBreakHyphen/>
      </w:r>
      <w:r w:rsidR="00F53C94" w:rsidRPr="005D69D6">
        <w:t xml:space="preserve">dessous de 30 GHz dans lesquelles s'appliquent les limites de puissance surfacique équivalente (epfd) </w:t>
      </w:r>
      <w:r w:rsidRPr="005D69D6">
        <w:t xml:space="preserve">indiquées </w:t>
      </w:r>
      <w:r w:rsidR="00294CD5" w:rsidRPr="005D69D6">
        <w:t xml:space="preserve">à </w:t>
      </w:r>
      <w:r w:rsidR="00F53C94" w:rsidRPr="005D69D6">
        <w:t xml:space="preserve">l'Article </w:t>
      </w:r>
      <w:r w:rsidR="00F53C94" w:rsidRPr="005D69D6">
        <w:rPr>
          <w:b/>
        </w:rPr>
        <w:t>22</w:t>
      </w:r>
      <w:r w:rsidR="00F53C94" w:rsidRPr="005D69D6">
        <w:t xml:space="preserve"> du Règlement des radiocommunications (RR).</w:t>
      </w:r>
    </w:p>
    <w:p w14:paraId="5D285FF7" w14:textId="762F9457" w:rsidR="0084391D" w:rsidRDefault="00AB18A7" w:rsidP="0084391D">
      <w:pPr>
        <w:rPr>
          <w:lang w:eastAsia="ja-JP"/>
        </w:rPr>
      </w:pPr>
      <w:r w:rsidRPr="005D69D6">
        <w:t>Au</w:t>
      </w:r>
      <w:r w:rsidR="00F53C94" w:rsidRPr="005D69D6">
        <w:t xml:space="preserve"> titre </w:t>
      </w:r>
      <w:r w:rsidRPr="005D69D6">
        <w:t>du</w:t>
      </w:r>
      <w:r w:rsidR="00F53C94" w:rsidRPr="005D69D6">
        <w:t xml:space="preserve"> point 1.13 de l'ordre du jour</w:t>
      </w:r>
      <w:r w:rsidRPr="005D69D6">
        <w:t xml:space="preserve"> de la CMR-2000</w:t>
      </w:r>
      <w:r w:rsidR="00F53C94" w:rsidRPr="005D69D6">
        <w:t>,</w:t>
      </w:r>
      <w:r w:rsidR="0090252A" w:rsidRPr="005D69D6">
        <w:t xml:space="preserve"> on a défini</w:t>
      </w:r>
      <w:r w:rsidR="00F53C94" w:rsidRPr="005D69D6">
        <w:t xml:space="preserve"> des limites d'epfd cumulative, </w:t>
      </w:r>
      <w:r w:rsidR="0090252A" w:rsidRPr="005D69D6">
        <w:t>énoncées</w:t>
      </w:r>
      <w:r w:rsidR="00F53C94" w:rsidRPr="005D69D6">
        <w:t xml:space="preserve"> dans la Résolution </w:t>
      </w:r>
      <w:r w:rsidR="00F53C94" w:rsidRPr="005D69D6">
        <w:rPr>
          <w:b/>
        </w:rPr>
        <w:t>76 (Rév.CMR-15)</w:t>
      </w:r>
      <w:r w:rsidR="00F53C94" w:rsidRPr="005D69D6">
        <w:t xml:space="preserve">, </w:t>
      </w:r>
      <w:r w:rsidRPr="005D69D6">
        <w:t>et</w:t>
      </w:r>
      <w:r w:rsidR="00AE104A" w:rsidRPr="005D69D6">
        <w:t xml:space="preserve"> d</w:t>
      </w:r>
      <w:r w:rsidR="00F53C94" w:rsidRPr="005D69D6">
        <w:t>es limites d'epfd pour une seule source de bro</w:t>
      </w:r>
      <w:r w:rsidR="00AE104A" w:rsidRPr="005D69D6">
        <w:t>uillage</w:t>
      </w:r>
      <w:r w:rsidR="00F53C94" w:rsidRPr="005D69D6">
        <w:t xml:space="preserve">, </w:t>
      </w:r>
      <w:r w:rsidR="00E3763F" w:rsidRPr="005D69D6">
        <w:t>énoncées</w:t>
      </w:r>
      <w:r w:rsidR="0090252A" w:rsidRPr="005D69D6">
        <w:t xml:space="preserve"> à </w:t>
      </w:r>
      <w:r w:rsidR="00AE104A" w:rsidRPr="005D69D6">
        <w:t xml:space="preserve">l'Article </w:t>
      </w:r>
      <w:r w:rsidR="00AE104A" w:rsidRPr="005D69D6">
        <w:rPr>
          <w:b/>
        </w:rPr>
        <w:t>22</w:t>
      </w:r>
      <w:r w:rsidR="00AE104A" w:rsidRPr="005D69D6">
        <w:t xml:space="preserve"> du RR</w:t>
      </w:r>
      <w:r w:rsidR="00E3763F" w:rsidRPr="005D69D6">
        <w:t xml:space="preserve">, qui </w:t>
      </w:r>
      <w:r w:rsidR="0090252A" w:rsidRPr="005D69D6">
        <w:t xml:space="preserve">sont en vigueur </w:t>
      </w:r>
      <w:r w:rsidR="00AE104A" w:rsidRPr="005D69D6">
        <w:t xml:space="preserve">actuellement et constituent des conditions obligatoires pour les systèmes à satellites non OSG concernés. Ces limites d'epfd étaient nécessaires pour </w:t>
      </w:r>
      <w:r w:rsidRPr="005D69D6">
        <w:t>établir</w:t>
      </w:r>
      <w:r w:rsidR="00AE104A" w:rsidRPr="005D69D6">
        <w:t xml:space="preserve"> un mécanisme réglementaire propre à garantir la protection des réseaux du service fixe par satellite (SFS)/du service de radiodiffusion par satellite (SRS) OSG vis-à-vis des brouillages cumulatifs maximaux produits par plusieurs systèmes du SFS non OSG dans les bandes de fréquences où des limites d'epfd avaient été adoptées.</w:t>
      </w:r>
      <w:r w:rsidR="00AF0AEB" w:rsidRPr="005D69D6">
        <w:t xml:space="preserve"> </w:t>
      </w:r>
      <w:r w:rsidRPr="005D69D6">
        <w:rPr>
          <w:lang w:eastAsia="ja-JP"/>
        </w:rPr>
        <w:t>Au vu</w:t>
      </w:r>
      <w:r w:rsidR="00AE104A" w:rsidRPr="005D69D6">
        <w:rPr>
          <w:lang w:eastAsia="ja-JP"/>
        </w:rPr>
        <w:t xml:space="preserve"> des procédures détaillées relatives à la définition de ces limites (voir </w:t>
      </w:r>
      <w:r w:rsidR="002F6AC9" w:rsidRPr="005D69D6">
        <w:rPr>
          <w:lang w:eastAsia="ja-JP"/>
        </w:rPr>
        <w:t>le §</w:t>
      </w:r>
      <w:r w:rsidR="00AE104A" w:rsidRPr="005D69D6">
        <w:rPr>
          <w:lang w:eastAsia="ja-JP"/>
        </w:rPr>
        <w:t xml:space="preserve"> 3.1.2 du Rapport de la RPC à la CMR-2000 (</w:t>
      </w:r>
      <w:hyperlink r:id="rId13" w:history="1">
        <w:r w:rsidR="00AE104A" w:rsidRPr="005D69D6">
          <w:rPr>
            <w:rStyle w:val="Hyperlink"/>
            <w:lang w:eastAsia="ja-JP"/>
          </w:rPr>
          <w:t>https://www.itu.int/itudoc/itu-r/archives/rsg/1998-00/report99/c</w:t>
        </w:r>
        <w:r w:rsidR="00AE104A" w:rsidRPr="005D69D6">
          <w:rPr>
            <w:rStyle w:val="Hyperlink"/>
            <w:lang w:eastAsia="ja-JP"/>
          </w:rPr>
          <w:t>p</w:t>
        </w:r>
        <w:r w:rsidR="00AE104A" w:rsidRPr="005D69D6">
          <w:rPr>
            <w:rStyle w:val="Hyperlink"/>
            <w:lang w:eastAsia="ja-JP"/>
          </w:rPr>
          <w:t>m</w:t>
        </w:r>
        <w:r w:rsidR="00AE104A" w:rsidRPr="005D69D6">
          <w:rPr>
            <w:rStyle w:val="Hyperlink"/>
            <w:lang w:eastAsia="ja-JP"/>
          </w:rPr>
          <w:t>r</w:t>
        </w:r>
        <w:r w:rsidR="00AE104A" w:rsidRPr="005D69D6">
          <w:rPr>
            <w:rStyle w:val="Hyperlink"/>
            <w:lang w:eastAsia="ja-JP"/>
          </w:rPr>
          <w:t>ep-e</w:t>
        </w:r>
        <w:r w:rsidR="00AE104A" w:rsidRPr="005D69D6">
          <w:rPr>
            <w:rStyle w:val="Hyperlink"/>
            <w:lang w:eastAsia="ja-JP"/>
          </w:rPr>
          <w:t>.</w:t>
        </w:r>
        <w:r w:rsidR="00AE104A" w:rsidRPr="005D69D6">
          <w:rPr>
            <w:rStyle w:val="Hyperlink"/>
            <w:lang w:eastAsia="ja-JP"/>
          </w:rPr>
          <w:t>html</w:t>
        </w:r>
      </w:hyperlink>
      <w:r w:rsidR="0084391D">
        <w:rPr>
          <w:lang w:eastAsia="ja-JP"/>
        </w:rPr>
        <w:t>)</w:t>
      </w:r>
      <w:r w:rsidR="00AE104A" w:rsidRPr="005D69D6">
        <w:rPr>
          <w:lang w:eastAsia="ja-JP"/>
        </w:rPr>
        <w:t xml:space="preserve">), il n'est pas </w:t>
      </w:r>
      <w:r w:rsidRPr="005D69D6">
        <w:rPr>
          <w:lang w:eastAsia="ja-JP"/>
        </w:rPr>
        <w:t>approprié</w:t>
      </w:r>
      <w:r w:rsidR="00AE104A" w:rsidRPr="005D69D6">
        <w:rPr>
          <w:lang w:eastAsia="ja-JP"/>
        </w:rPr>
        <w:t xml:space="preserve"> de comparer uniquement les gabarits des limites d'</w:t>
      </w:r>
      <w:r w:rsidR="00AE104A" w:rsidRPr="005D69D6">
        <w:rPr>
          <w:bCs/>
          <w:lang w:eastAsia="ja-JP"/>
        </w:rPr>
        <w:t xml:space="preserve">epfd↓ pour une seule </w:t>
      </w:r>
      <w:r w:rsidRPr="005D69D6">
        <w:rPr>
          <w:bCs/>
          <w:lang w:eastAsia="ja-JP"/>
        </w:rPr>
        <w:t>source de brouillage</w:t>
      </w:r>
      <w:r w:rsidR="00AE104A" w:rsidRPr="005D69D6">
        <w:rPr>
          <w:bCs/>
          <w:lang w:eastAsia="ja-JP"/>
        </w:rPr>
        <w:t xml:space="preserve"> avec certains critères de protection des réseaux du SFS/SRS OSG </w:t>
      </w:r>
      <w:r w:rsidRPr="005D69D6">
        <w:rPr>
          <w:bCs/>
          <w:lang w:eastAsia="ja-JP"/>
        </w:rPr>
        <w:t>couramment</w:t>
      </w:r>
      <w:r w:rsidR="00AE104A" w:rsidRPr="005D69D6">
        <w:rPr>
          <w:bCs/>
          <w:lang w:eastAsia="ja-JP"/>
        </w:rPr>
        <w:t xml:space="preserve"> utilisés, comme les critères définis dans la Recommandation UIT-R S.1432. </w:t>
      </w:r>
      <w:r w:rsidR="00B54877" w:rsidRPr="005D69D6">
        <w:rPr>
          <w:lang w:eastAsia="ja-JP"/>
        </w:rPr>
        <w:t xml:space="preserve">À cet égard, les limites d'epfd actuelles indiquées dans la Résolution </w:t>
      </w:r>
      <w:r w:rsidR="00B54877" w:rsidRPr="005D69D6">
        <w:rPr>
          <w:b/>
          <w:bCs/>
          <w:lang w:eastAsia="ja-JP"/>
        </w:rPr>
        <w:t>76 (Rév.CMR-15)</w:t>
      </w:r>
      <w:r w:rsidR="00B54877" w:rsidRPr="005D69D6">
        <w:rPr>
          <w:lang w:eastAsia="ja-JP"/>
        </w:rPr>
        <w:t xml:space="preserve"> et dans l'Article </w:t>
      </w:r>
      <w:r w:rsidR="00B54877" w:rsidRPr="005D69D6">
        <w:rPr>
          <w:b/>
          <w:bCs/>
          <w:lang w:eastAsia="ja-JP"/>
        </w:rPr>
        <w:t>22</w:t>
      </w:r>
      <w:r w:rsidR="00B54877" w:rsidRPr="005D69D6">
        <w:rPr>
          <w:lang w:eastAsia="ja-JP"/>
        </w:rPr>
        <w:t xml:space="preserve"> du RR sont suffisantes</w:t>
      </w:r>
      <w:r w:rsidR="0084391D">
        <w:rPr>
          <w:lang w:eastAsia="ja-JP"/>
        </w:rPr>
        <w:t xml:space="preserve"> </w:t>
      </w:r>
      <w:r w:rsidR="0084391D">
        <w:rPr>
          <w:lang w:eastAsia="ja-JP"/>
        </w:rPr>
        <w:br w:type="page"/>
      </w:r>
    </w:p>
    <w:p w14:paraId="15EF28C5" w14:textId="514243CB" w:rsidR="00B54877" w:rsidRPr="005D69D6" w:rsidRDefault="00B54877" w:rsidP="0084391D">
      <w:r w:rsidRPr="005D69D6">
        <w:rPr>
          <w:lang w:eastAsia="ja-JP"/>
        </w:rPr>
        <w:lastRenderedPageBreak/>
        <w:t xml:space="preserve">pour protéger comme il se doit les réseaux </w:t>
      </w:r>
      <w:r w:rsidR="002F6AC9" w:rsidRPr="005D69D6">
        <w:rPr>
          <w:lang w:eastAsia="ja-JP"/>
        </w:rPr>
        <w:t xml:space="preserve">du SFS/SRS </w:t>
      </w:r>
      <w:r w:rsidRPr="005D69D6">
        <w:rPr>
          <w:lang w:eastAsia="ja-JP"/>
        </w:rPr>
        <w:t>OSG vis-à-vis de tous les systèmes du SFS non OSG, lesquels pris individuellement doivent respecter les limites indiquées dans</w:t>
      </w:r>
      <w:r w:rsidR="0084391D">
        <w:rPr>
          <w:lang w:eastAsia="ja-JP"/>
        </w:rPr>
        <w:t xml:space="preserve"> </w:t>
      </w:r>
      <w:r w:rsidRPr="005D69D6">
        <w:rPr>
          <w:lang w:eastAsia="ja-JP"/>
        </w:rPr>
        <w:t>l'Article</w:t>
      </w:r>
      <w:r w:rsidR="0084391D">
        <w:rPr>
          <w:lang w:eastAsia="ja-JP"/>
        </w:rPr>
        <w:t xml:space="preserve"> </w:t>
      </w:r>
      <w:r w:rsidRPr="005D69D6">
        <w:rPr>
          <w:b/>
          <w:bCs/>
          <w:lang w:eastAsia="ja-JP"/>
        </w:rPr>
        <w:t>22</w:t>
      </w:r>
      <w:r w:rsidR="0084391D">
        <w:rPr>
          <w:lang w:eastAsia="ja-JP"/>
        </w:rPr>
        <w:t xml:space="preserve"> </w:t>
      </w:r>
      <w:r w:rsidRPr="005D69D6">
        <w:rPr>
          <w:lang w:eastAsia="ja-JP"/>
        </w:rPr>
        <w:t>du</w:t>
      </w:r>
      <w:r w:rsidR="0084391D">
        <w:rPr>
          <w:lang w:eastAsia="ja-JP"/>
        </w:rPr>
        <w:t xml:space="preserve"> </w:t>
      </w:r>
      <w:r w:rsidRPr="005D69D6">
        <w:rPr>
          <w:lang w:eastAsia="ja-JP"/>
        </w:rPr>
        <w:t xml:space="preserve">RR, en particulier dans le numéro </w:t>
      </w:r>
      <w:r w:rsidRPr="005D69D6">
        <w:rPr>
          <w:b/>
          <w:bCs/>
          <w:lang w:eastAsia="ja-JP"/>
        </w:rPr>
        <w:t>22.2</w:t>
      </w:r>
      <w:r w:rsidRPr="005D69D6">
        <w:rPr>
          <w:lang w:eastAsia="ja-JP"/>
        </w:rPr>
        <w:t xml:space="preserve"> du RR en principe, tout en accordant une souplesse raisonnable aux systèmes du SFS non OSG.</w:t>
      </w:r>
    </w:p>
    <w:p w14:paraId="471550F2" w14:textId="72DB5FA1" w:rsidR="00B83F42" w:rsidRPr="005D69D6" w:rsidRDefault="002F6AC9" w:rsidP="0084391D">
      <w:pPr>
        <w:rPr>
          <w:lang w:eastAsia="ja-JP"/>
        </w:rPr>
      </w:pPr>
      <w:r w:rsidRPr="005D69D6">
        <w:rPr>
          <w:lang w:eastAsia="ja-JP"/>
        </w:rPr>
        <w:t xml:space="preserve">La CMR-19 a </w:t>
      </w:r>
      <w:r w:rsidR="00B83F42" w:rsidRPr="005D69D6">
        <w:rPr>
          <w:lang w:eastAsia="ja-JP"/>
        </w:rPr>
        <w:t xml:space="preserve">élaboré un cadre de partage quelque peu différent pour les bandes Q/V, comme le montrent les numéros </w:t>
      </w:r>
      <w:r w:rsidR="00B83F42" w:rsidRPr="005D69D6">
        <w:rPr>
          <w:b/>
          <w:bCs/>
          <w:lang w:eastAsia="ja-JP"/>
        </w:rPr>
        <w:t>22.5L</w:t>
      </w:r>
      <w:r w:rsidR="00B83F42" w:rsidRPr="005D69D6">
        <w:rPr>
          <w:lang w:eastAsia="ja-JP"/>
        </w:rPr>
        <w:t xml:space="preserve"> et </w:t>
      </w:r>
      <w:r w:rsidR="00B83F42" w:rsidRPr="005D69D6">
        <w:rPr>
          <w:b/>
          <w:bCs/>
          <w:lang w:eastAsia="ja-JP"/>
        </w:rPr>
        <w:t>22.5M</w:t>
      </w:r>
      <w:r w:rsidR="00B83F42" w:rsidRPr="005D69D6">
        <w:rPr>
          <w:lang w:eastAsia="ja-JP"/>
        </w:rPr>
        <w:t xml:space="preserve"> du RR et les Résolutions </w:t>
      </w:r>
      <w:r w:rsidR="00B83F42" w:rsidRPr="005D69D6">
        <w:rPr>
          <w:b/>
          <w:bCs/>
          <w:lang w:eastAsia="ja-JP"/>
        </w:rPr>
        <w:t>770 (CMR-19)</w:t>
      </w:r>
      <w:r w:rsidR="00B83F42" w:rsidRPr="005D69D6">
        <w:rPr>
          <w:lang w:eastAsia="ja-JP"/>
        </w:rPr>
        <w:t xml:space="preserve"> et </w:t>
      </w:r>
      <w:r w:rsidR="00B83F42" w:rsidRPr="005D69D6">
        <w:rPr>
          <w:b/>
          <w:bCs/>
          <w:lang w:eastAsia="ja-JP"/>
        </w:rPr>
        <w:t>769 (CMR-19)</w:t>
      </w:r>
      <w:r w:rsidRPr="005D69D6">
        <w:rPr>
          <w:lang w:eastAsia="ja-JP"/>
        </w:rPr>
        <w:t xml:space="preserve"> qui leur sont associées. Toutefois, </w:t>
      </w:r>
      <w:r w:rsidR="00B83F42" w:rsidRPr="005D69D6">
        <w:rPr>
          <w:lang w:eastAsia="ja-JP"/>
        </w:rPr>
        <w:t>il est indiqué ce qui suit dans le § 3.2.4 ("Fréquences en dehors de la gamme 10-30 GHz") du Rapport de la RPC à la CMR-2000:</w:t>
      </w:r>
    </w:p>
    <w:p w14:paraId="1DCE2E96" w14:textId="3161FF3D" w:rsidR="00B54877" w:rsidRPr="005D69D6" w:rsidRDefault="0084065A" w:rsidP="0084391D">
      <w:pPr>
        <w:rPr>
          <w:b/>
          <w:bCs/>
          <w:i/>
          <w:iCs/>
          <w:u w:val="single"/>
        </w:rPr>
      </w:pPr>
      <w:r w:rsidRPr="005D69D6">
        <w:rPr>
          <w:b/>
          <w:bCs/>
          <w:i/>
          <w:iCs/>
          <w:u w:val="single"/>
        </w:rPr>
        <w:t>Début de citation</w:t>
      </w:r>
    </w:p>
    <w:p w14:paraId="1E5C9711" w14:textId="77777777" w:rsidR="0084065A" w:rsidRPr="005D69D6" w:rsidRDefault="0084065A" w:rsidP="0084391D">
      <w:pPr>
        <w:rPr>
          <w:i/>
          <w:iCs/>
        </w:rPr>
      </w:pPr>
      <w:r w:rsidRPr="005D69D6">
        <w:rPr>
          <w:i/>
          <w:iCs/>
        </w:rPr>
        <w:t xml:space="preserve">Il y a des différences fondamentales entre la situation dans les bandes du SFS à 10-30 GHz identifiées dans la Résolution </w:t>
      </w:r>
      <w:r w:rsidRPr="005D69D6">
        <w:rPr>
          <w:b/>
          <w:bCs/>
          <w:i/>
          <w:iCs/>
        </w:rPr>
        <w:t>130 (CMR-97)</w:t>
      </w:r>
      <w:r w:rsidRPr="005D69D6">
        <w:rPr>
          <w:i/>
          <w:iCs/>
        </w:rPr>
        <w:t>, où un service du SFS non OSG est superposé à un service du SFS OSG existant et/ou imminent et dans d'autres bandes où des systèmes OSG et non OSG du SFS commencent tout juste à être exploités. Dans ces bandes (10-30 GHz), les systèmes OSG exploités sont très nombreux et les opérateurs de ces systèmes n'ont guère de souplesse pour s'adapter à l'introduction de systèmes non OSG. Dans ces bandes, les systèmes non OSG doivent donc assumer une grande partie ou la totalité de la charge de mise en œuvre des critères techniques pour protéger l'arc OSG. Dans les bandes où il y a peu, voire pas du tout, de systèmes à satellites et où des réseaux à satellite (OSG ou non OSG) commencent seulement à être notifiés à l'UIT-R, le fait que des systèmes OSG ou non OSG du SFS n'utilisent pas ou ne prévoient pas d'utiliser de façon imminente ces bandes signifie que les deux types d'opérateur devraient faire preuve d'une plus grande souplesse pour parvenir à l'équilibre nécessaire entre les considérations techniques, réglementaires et de politique qui affecteront leur environnement de partage.</w:t>
      </w:r>
    </w:p>
    <w:p w14:paraId="611C315A" w14:textId="47C5170D" w:rsidR="0084065A" w:rsidRPr="005D69D6" w:rsidRDefault="0084065A" w:rsidP="0084391D">
      <w:pPr>
        <w:rPr>
          <w:b/>
          <w:bCs/>
          <w:i/>
          <w:iCs/>
          <w:u w:val="single"/>
        </w:rPr>
      </w:pPr>
      <w:r w:rsidRPr="005D69D6">
        <w:rPr>
          <w:b/>
          <w:bCs/>
          <w:i/>
          <w:iCs/>
          <w:u w:val="single"/>
        </w:rPr>
        <w:t>Fin de citation</w:t>
      </w:r>
    </w:p>
    <w:p w14:paraId="27424873" w14:textId="4AB6100B" w:rsidR="0084065A" w:rsidRPr="005D69D6" w:rsidRDefault="0084065A" w:rsidP="0084391D">
      <w:pPr>
        <w:rPr>
          <w:lang w:eastAsia="ja-JP"/>
        </w:rPr>
      </w:pPr>
      <w:r w:rsidRPr="005D69D6">
        <w:rPr>
          <w:lang w:eastAsia="ja-JP"/>
        </w:rPr>
        <w:t>Cette situation est toujours d'actualité.</w:t>
      </w:r>
    </w:p>
    <w:p w14:paraId="4617DA56" w14:textId="77777777" w:rsidR="0084065A" w:rsidRPr="005D69D6" w:rsidRDefault="0084065A" w:rsidP="0084391D">
      <w:pPr>
        <w:rPr>
          <w:lang w:eastAsia="ja-JP"/>
        </w:rPr>
      </w:pPr>
      <w:r w:rsidRPr="005D69D6">
        <w:rPr>
          <w:rFonts w:eastAsia="MS Mincho"/>
          <w:lang w:eastAsia="ja-JP"/>
        </w:rPr>
        <w:t>Outre</w:t>
      </w:r>
      <w:r w:rsidRPr="005D69D6">
        <w:rPr>
          <w:lang w:eastAsia="ja-JP"/>
        </w:rPr>
        <w:t xml:space="preserve"> les points soulevés ci-dessus, l'UIT-R a reconnu certains problèmes fondamentaux concernant l'application correcte des limites d'epfd cumulative définies dans la Résolution </w:t>
      </w:r>
      <w:r w:rsidRPr="005D69D6">
        <w:rPr>
          <w:b/>
          <w:bCs/>
          <w:lang w:eastAsia="ja-JP"/>
        </w:rPr>
        <w:t xml:space="preserve">76 (Rév.CMR-15) </w:t>
      </w:r>
      <w:r w:rsidRPr="005D69D6">
        <w:rPr>
          <w:lang w:eastAsia="ja-JP"/>
        </w:rPr>
        <w:t xml:space="preserve">et des limites d'epfd pour une seule source de brouillage définies dans l'Article </w:t>
      </w:r>
      <w:r w:rsidRPr="005D69D6">
        <w:rPr>
          <w:b/>
          <w:bCs/>
          <w:lang w:eastAsia="ja-JP"/>
        </w:rPr>
        <w:t>22</w:t>
      </w:r>
      <w:r w:rsidRPr="005D69D6">
        <w:rPr>
          <w:lang w:eastAsia="ja-JP"/>
        </w:rPr>
        <w:t xml:space="preserve"> du RR, qui sont les suivants:</w:t>
      </w:r>
    </w:p>
    <w:p w14:paraId="1C1FFB5F" w14:textId="64B6A1E7" w:rsidR="0084065A" w:rsidRPr="005D69D6" w:rsidRDefault="0084065A" w:rsidP="0084391D">
      <w:pPr>
        <w:pStyle w:val="enumlev1"/>
        <w:rPr>
          <w:lang w:eastAsia="ja-JP"/>
        </w:rPr>
      </w:pPr>
      <w:r w:rsidRPr="005D69D6">
        <w:rPr>
          <w:lang w:eastAsia="ja-JP"/>
        </w:rPr>
        <w:t>–</w:t>
      </w:r>
      <w:r w:rsidRPr="005D69D6">
        <w:rPr>
          <w:lang w:eastAsia="ja-JP"/>
        </w:rPr>
        <w:tab/>
        <w:t>Les limites d'epfd cumulative obligatoires sont indiquées dans la</w:t>
      </w:r>
      <w:r w:rsidR="0084391D">
        <w:rPr>
          <w:lang w:eastAsia="ja-JP"/>
        </w:rPr>
        <w:t xml:space="preserve"> </w:t>
      </w:r>
      <w:r w:rsidRPr="005D69D6">
        <w:rPr>
          <w:spacing w:val="-4"/>
          <w:lang w:eastAsia="ja-JP"/>
        </w:rPr>
        <w:t>Résolution</w:t>
      </w:r>
      <w:r w:rsidR="00AF0AEB" w:rsidRPr="005D69D6">
        <w:rPr>
          <w:spacing w:val="-4"/>
          <w:lang w:eastAsia="ja-JP"/>
        </w:rPr>
        <w:t> </w:t>
      </w:r>
      <w:r w:rsidRPr="005D69D6">
        <w:rPr>
          <w:b/>
          <w:bCs/>
          <w:spacing w:val="-4"/>
          <w:lang w:eastAsia="ja-JP"/>
        </w:rPr>
        <w:t>76</w:t>
      </w:r>
      <w:r w:rsidR="0084391D">
        <w:rPr>
          <w:b/>
          <w:bCs/>
          <w:spacing w:val="-4"/>
          <w:lang w:eastAsia="ja-JP"/>
        </w:rPr>
        <w:t xml:space="preserve"> </w:t>
      </w:r>
      <w:r w:rsidRPr="005D69D6">
        <w:rPr>
          <w:b/>
          <w:bCs/>
          <w:spacing w:val="-4"/>
          <w:lang w:eastAsia="ja-JP"/>
        </w:rPr>
        <w:t>(Rév.CMR-15)</w:t>
      </w:r>
      <w:r w:rsidRPr="005D69D6">
        <w:rPr>
          <w:lang w:eastAsia="ja-JP"/>
        </w:rPr>
        <w:t>, mais cette Résolution ne décrit aucune méthode précise ni aucune procédure permettant aux administrations concernées de déterminer de concert si ces niveaux cumulatifs sont dépassés. Autrement dit, à l'heure actuelle, personne n'est en mesure de valider officiellement la conformité à la</w:t>
      </w:r>
      <w:r w:rsidR="0084391D">
        <w:rPr>
          <w:lang w:eastAsia="ja-JP"/>
        </w:rPr>
        <w:t xml:space="preserve"> </w:t>
      </w:r>
      <w:r w:rsidRPr="005D69D6">
        <w:rPr>
          <w:lang w:eastAsia="ja-JP"/>
        </w:rPr>
        <w:t>Résolution</w:t>
      </w:r>
      <w:r w:rsidR="00AF0AEB" w:rsidRPr="005D69D6">
        <w:rPr>
          <w:lang w:eastAsia="ja-JP"/>
        </w:rPr>
        <w:t> </w:t>
      </w:r>
      <w:r w:rsidRPr="005D69D6">
        <w:rPr>
          <w:b/>
          <w:bCs/>
          <w:spacing w:val="-4"/>
          <w:lang w:eastAsia="ja-JP"/>
        </w:rPr>
        <w:t>76</w:t>
      </w:r>
      <w:r w:rsidR="00AF0AEB" w:rsidRPr="005D69D6">
        <w:rPr>
          <w:b/>
          <w:bCs/>
          <w:spacing w:val="-4"/>
          <w:lang w:eastAsia="ja-JP"/>
        </w:rPr>
        <w:t> </w:t>
      </w:r>
      <w:r w:rsidRPr="005D69D6">
        <w:rPr>
          <w:b/>
          <w:bCs/>
          <w:spacing w:val="-4"/>
          <w:lang w:eastAsia="ja-JP"/>
        </w:rPr>
        <w:t>(Rév.CMR-15)</w:t>
      </w:r>
      <w:r w:rsidRPr="005D69D6">
        <w:rPr>
          <w:lang w:eastAsia="ja-JP"/>
        </w:rPr>
        <w:t>, alors que plusieurs systèmes du SFS non OSG à grande échelle ont déjà été mis en service. Ce sujet sera examiné au titre du point 7 de l'ordre du jour de la CMR-23, Question J.</w:t>
      </w:r>
    </w:p>
    <w:p w14:paraId="11FB3518" w14:textId="39230156" w:rsidR="0084065A" w:rsidRPr="005D69D6" w:rsidRDefault="0084065A" w:rsidP="0084391D">
      <w:pPr>
        <w:pStyle w:val="enumlev1"/>
        <w:rPr>
          <w:lang w:eastAsia="ja-JP"/>
        </w:rPr>
      </w:pPr>
      <w:r w:rsidRPr="005D69D6">
        <w:rPr>
          <w:lang w:eastAsia="ja-JP"/>
        </w:rPr>
        <w:t>–</w:t>
      </w:r>
      <w:r w:rsidRPr="005D69D6">
        <w:rPr>
          <w:lang w:eastAsia="ja-JP"/>
        </w:rPr>
        <w:tab/>
        <w:t xml:space="preserve">La pratique consistant à scinder un système à satellites non géostationnaires en plusieurs systèmes notifiés, qui risque de nuire à l'efficacité des limites d'epfd pour une seule source de brouillage définies dans l'Article </w:t>
      </w:r>
      <w:r w:rsidRPr="005D69D6">
        <w:rPr>
          <w:b/>
          <w:bCs/>
          <w:lang w:eastAsia="ja-JP"/>
        </w:rPr>
        <w:t>22</w:t>
      </w:r>
      <w:r w:rsidRPr="005D69D6">
        <w:rPr>
          <w:lang w:eastAsia="ja-JP"/>
        </w:rPr>
        <w:t xml:space="preserve"> du RR pour protéger les systèmes à satellites géostationnaires ou d'avoir des incidences sur la mise en œuvre de la</w:t>
      </w:r>
      <w:r w:rsidR="00B251C2" w:rsidRPr="005D69D6">
        <w:rPr>
          <w:lang w:eastAsia="ja-JP"/>
        </w:rPr>
        <w:t> </w:t>
      </w:r>
      <w:r w:rsidRPr="005D69D6">
        <w:rPr>
          <w:lang w:eastAsia="ja-JP"/>
        </w:rPr>
        <w:t xml:space="preserve">Résolution </w:t>
      </w:r>
      <w:r w:rsidRPr="005D69D6">
        <w:rPr>
          <w:b/>
          <w:bCs/>
          <w:lang w:eastAsia="ja-JP"/>
        </w:rPr>
        <w:t>76 (Rév.CMR-15)</w:t>
      </w:r>
      <w:r w:rsidRPr="005D69D6">
        <w:rPr>
          <w:lang w:eastAsia="ja-JP"/>
        </w:rPr>
        <w:t xml:space="preserve">, est remise en question. La seule raison pour appliquer de façon incorrecte ces limites d'epfd pour une seule source de brouillage en scindant ou en regroupant artificiellement des systèmes </w:t>
      </w:r>
      <w:r w:rsidR="00BD5716" w:rsidRPr="005D69D6">
        <w:rPr>
          <w:lang w:eastAsia="ja-JP"/>
        </w:rPr>
        <w:t xml:space="preserve">du SFS </w:t>
      </w:r>
      <w:r w:rsidRPr="005D69D6">
        <w:rPr>
          <w:lang w:eastAsia="ja-JP"/>
        </w:rPr>
        <w:t xml:space="preserve">non OSG, serait d'abaisser les niveaux d'epfd et, par voie de conséquence, d'obtenir une conclusion favorable à l'issue de l'examen réglementaire qui sera effectué par le Bureau des radiocommunications au titre du numéro </w:t>
      </w:r>
      <w:r w:rsidRPr="005D69D6">
        <w:rPr>
          <w:b/>
          <w:bCs/>
          <w:lang w:eastAsia="ja-JP"/>
        </w:rPr>
        <w:t>11.31</w:t>
      </w:r>
      <w:r w:rsidRPr="005D69D6">
        <w:rPr>
          <w:lang w:eastAsia="ja-JP"/>
        </w:rPr>
        <w:t xml:space="preserve"> du RR. Ce problème a été soulevé par le Directeur du Bureau des radiocommunications dans son </w:t>
      </w:r>
      <w:r w:rsidR="00245074" w:rsidRPr="005D69D6">
        <w:rPr>
          <w:lang w:eastAsia="ja-JP"/>
        </w:rPr>
        <w:t xml:space="preserve">projet de </w:t>
      </w:r>
      <w:r w:rsidRPr="005D69D6">
        <w:rPr>
          <w:lang w:eastAsia="ja-JP"/>
        </w:rPr>
        <w:t xml:space="preserve">Rapport </w:t>
      </w:r>
      <w:r w:rsidR="00245074" w:rsidRPr="005D69D6">
        <w:rPr>
          <w:lang w:eastAsia="ja-JP"/>
        </w:rPr>
        <w:t xml:space="preserve">préliminaire </w:t>
      </w:r>
      <w:r w:rsidRPr="005D69D6">
        <w:rPr>
          <w:lang w:eastAsia="ja-JP"/>
        </w:rPr>
        <w:t xml:space="preserve">à la CMR-23 </w:t>
      </w:r>
      <w:r w:rsidR="00245074" w:rsidRPr="005D69D6">
        <w:rPr>
          <w:lang w:eastAsia="ja-JP"/>
        </w:rPr>
        <w:t xml:space="preserve">présenté à la RPC23-2 </w:t>
      </w:r>
      <w:r w:rsidRPr="005D69D6">
        <w:rPr>
          <w:lang w:eastAsia="ja-JP"/>
        </w:rPr>
        <w:t>(§ 3.1.4</w:t>
      </w:r>
      <w:r w:rsidR="00245074" w:rsidRPr="005D69D6">
        <w:rPr>
          <w:lang w:eastAsia="ja-JP"/>
        </w:rPr>
        <w:t xml:space="preserve"> de la</w:t>
      </w:r>
      <w:r w:rsidRPr="005D69D6">
        <w:rPr>
          <w:lang w:eastAsia="ja-JP"/>
        </w:rPr>
        <w:t xml:space="preserve"> Partie 1 du Document </w:t>
      </w:r>
      <w:hyperlink r:id="rId14" w:history="1">
        <w:r w:rsidRPr="005D69D6">
          <w:rPr>
            <w:rStyle w:val="Hyperlink"/>
            <w:lang w:eastAsia="ja-JP"/>
          </w:rPr>
          <w:t>CMP23-2/236</w:t>
        </w:r>
      </w:hyperlink>
      <w:r w:rsidRPr="005D69D6">
        <w:rPr>
          <w:lang w:eastAsia="ja-JP"/>
        </w:rPr>
        <w:t>).</w:t>
      </w:r>
    </w:p>
    <w:p w14:paraId="76191C51" w14:textId="10561101" w:rsidR="0084065A" w:rsidRPr="005D69D6" w:rsidRDefault="0084065A" w:rsidP="0084391D">
      <w:pPr>
        <w:rPr>
          <w:lang w:eastAsia="ja-JP"/>
        </w:rPr>
      </w:pPr>
      <w:r w:rsidRPr="005D69D6">
        <w:rPr>
          <w:lang w:eastAsia="ja-JP"/>
        </w:rPr>
        <w:lastRenderedPageBreak/>
        <w:t xml:space="preserve">Par conséquent, il est totalement déraisonnable de modifier la limite d'epfd en tant que telle, sans remédier aux éventuelles applications incorrectes de la Résolution </w:t>
      </w:r>
      <w:r w:rsidRPr="005D69D6">
        <w:rPr>
          <w:b/>
          <w:bCs/>
          <w:lang w:eastAsia="ja-JP"/>
        </w:rPr>
        <w:t>76 (Rév.CMR-15)</w:t>
      </w:r>
      <w:r w:rsidRPr="005D69D6">
        <w:rPr>
          <w:lang w:eastAsia="ja-JP"/>
        </w:rPr>
        <w:t xml:space="preserve"> et de</w:t>
      </w:r>
      <w:r w:rsidR="0084391D">
        <w:rPr>
          <w:lang w:eastAsia="ja-JP"/>
        </w:rPr>
        <w:t xml:space="preserve"> </w:t>
      </w:r>
      <w:r w:rsidRPr="005D69D6">
        <w:rPr>
          <w:lang w:eastAsia="ja-JP"/>
        </w:rPr>
        <w:t>l'Article </w:t>
      </w:r>
      <w:r w:rsidRPr="005D69D6">
        <w:rPr>
          <w:b/>
          <w:bCs/>
          <w:lang w:eastAsia="ja-JP"/>
        </w:rPr>
        <w:t>22</w:t>
      </w:r>
      <w:r w:rsidRPr="005D69D6">
        <w:rPr>
          <w:lang w:eastAsia="ja-JP"/>
        </w:rPr>
        <w:t xml:space="preserve"> du RR par certaines administrations notificatrices de systèmes du SFS non OSG.</w:t>
      </w:r>
    </w:p>
    <w:p w14:paraId="2F29BC01" w14:textId="2D15841D" w:rsidR="00B54877" w:rsidRPr="005D69D6" w:rsidRDefault="0084065A" w:rsidP="0084391D">
      <w:pPr>
        <w:pStyle w:val="Headingb"/>
      </w:pPr>
      <w:r w:rsidRPr="005D69D6">
        <w:t>Propositions</w:t>
      </w:r>
    </w:p>
    <w:p w14:paraId="5E25D01D" w14:textId="77777777" w:rsidR="000C09FD" w:rsidRPr="005D69D6" w:rsidRDefault="000C09FD" w:rsidP="0084391D">
      <w:pPr>
        <w:pStyle w:val="Proposal"/>
      </w:pPr>
      <w:r w:rsidRPr="005D69D6">
        <w:tab/>
        <w:t>IRN/148A27/1</w:t>
      </w:r>
    </w:p>
    <w:p w14:paraId="1D15E0C7" w14:textId="62CCA7AF" w:rsidR="0084065A" w:rsidRPr="005D69D6" w:rsidRDefault="0084065A" w:rsidP="0084391D">
      <w:r w:rsidRPr="005D69D6">
        <w:t xml:space="preserve">Compte tenu de ce qui précède et de l'importance de conserver les limites </w:t>
      </w:r>
      <w:r w:rsidR="00BD5716" w:rsidRPr="005D69D6">
        <w:t xml:space="preserve">actuelles </w:t>
      </w:r>
      <w:r w:rsidRPr="005D69D6">
        <w:t xml:space="preserve">d'epfd cumulative et pour une seule source de brouillage qui sont largement appliquées en tant qu'objectifs de conception d'un grand nombre de réseaux à satellite du SFS/SRS </w:t>
      </w:r>
      <w:r w:rsidR="00245074" w:rsidRPr="005D69D6">
        <w:t xml:space="preserve">OSG </w:t>
      </w:r>
      <w:r w:rsidRPr="005D69D6">
        <w:t xml:space="preserve">opérationnels, il n'est pas approprié de réviser et de mettre à jour les dispositions réglementaires relatives à ces limites d'epfd dans les parties des bandes de fréquences des 14/11 GHz et des 30/20 GHz, </w:t>
      </w:r>
      <w:r w:rsidR="00245074" w:rsidRPr="005D69D6">
        <w:t>notamment les</w:t>
      </w:r>
      <w:r w:rsidR="0084391D">
        <w:t xml:space="preserve"> </w:t>
      </w:r>
      <w:r w:rsidR="00245074" w:rsidRPr="005D69D6">
        <w:t xml:space="preserve">Appendices </w:t>
      </w:r>
      <w:r w:rsidR="00245074" w:rsidRPr="005D69D6">
        <w:rPr>
          <w:b/>
        </w:rPr>
        <w:t>30</w:t>
      </w:r>
      <w:r w:rsidR="00245074" w:rsidRPr="005D69D6">
        <w:t xml:space="preserve">, </w:t>
      </w:r>
      <w:r w:rsidR="00245074" w:rsidRPr="005D69D6">
        <w:rPr>
          <w:b/>
        </w:rPr>
        <w:t>30A</w:t>
      </w:r>
      <w:r w:rsidR="00245074" w:rsidRPr="005D69D6">
        <w:t xml:space="preserve"> et </w:t>
      </w:r>
      <w:r w:rsidR="00245074" w:rsidRPr="005D69D6">
        <w:rPr>
          <w:b/>
        </w:rPr>
        <w:t>30B</w:t>
      </w:r>
      <w:r w:rsidR="00245074" w:rsidRPr="005D69D6">
        <w:t xml:space="preserve"> du RR.</w:t>
      </w:r>
      <w:r w:rsidRPr="005D69D6">
        <w:t xml:space="preserve"> </w:t>
      </w:r>
      <w:r w:rsidR="00245074" w:rsidRPr="005D69D6">
        <w:t xml:space="preserve">Par </w:t>
      </w:r>
      <w:r w:rsidRPr="005D69D6">
        <w:t>conséquent</w:t>
      </w:r>
      <w:r w:rsidR="00245074" w:rsidRPr="005D69D6">
        <w:t>, l'Administration de la République islamique</w:t>
      </w:r>
      <w:r w:rsidR="00B251C2" w:rsidRPr="005D69D6">
        <w:t xml:space="preserve"> </w:t>
      </w:r>
      <w:r w:rsidR="00245074" w:rsidRPr="005D69D6">
        <w:t>d'Iran s'oppose</w:t>
      </w:r>
      <w:r w:rsidRPr="005D69D6">
        <w:t xml:space="preserve"> à tout nouveau point de l'ordre du jour des CMR </w:t>
      </w:r>
      <w:r w:rsidR="00BD5716" w:rsidRPr="005D69D6">
        <w:t xml:space="preserve">futures </w:t>
      </w:r>
      <w:r w:rsidRPr="005D69D6">
        <w:t>sur ce sujet.</w:t>
      </w:r>
    </w:p>
    <w:p w14:paraId="59863C33" w14:textId="64232461" w:rsidR="0084065A" w:rsidRPr="005D69D6" w:rsidRDefault="00245074" w:rsidP="0084391D">
      <w:r w:rsidRPr="005D69D6">
        <w:t xml:space="preserve">En outre, l'Administration de la République islamique d'Iran propose d'inscrire un point à l'ordre du jour de la CMR-27 </w:t>
      </w:r>
      <w:r w:rsidR="00BD5716" w:rsidRPr="005D69D6">
        <w:t>visant à établir des</w:t>
      </w:r>
      <w:r w:rsidRPr="005D69D6">
        <w:t xml:space="preserve"> dispositions réglementaires et techniques </w:t>
      </w:r>
      <w:r w:rsidR="007950C4" w:rsidRPr="005D69D6">
        <w:t>pour obtenir</w:t>
      </w:r>
      <w:r w:rsidR="00BD5716" w:rsidRPr="005D69D6">
        <w:t xml:space="preserve"> </w:t>
      </w:r>
      <w:r w:rsidR="007950C4" w:rsidRPr="005D69D6">
        <w:t>le</w:t>
      </w:r>
      <w:r w:rsidR="00BD5716" w:rsidRPr="005D69D6">
        <w:t xml:space="preserve"> consentement ou </w:t>
      </w:r>
      <w:r w:rsidRPr="005D69D6">
        <w:t>l'acc</w:t>
      </w:r>
      <w:r w:rsidR="00BD5716" w:rsidRPr="005D69D6">
        <w:t xml:space="preserve">ord exprès d'une </w:t>
      </w:r>
      <w:r w:rsidRPr="005D69D6">
        <w:t xml:space="preserve">administration </w:t>
      </w:r>
      <w:r w:rsidR="0013510D" w:rsidRPr="005D69D6">
        <w:t>concernant</w:t>
      </w:r>
      <w:r w:rsidRPr="005D69D6">
        <w:t xml:space="preserve"> l'intégration de son territoire national à la zone de service de tout système à satellites du SFS non OSG futur et </w:t>
      </w:r>
      <w:r w:rsidR="0013510D" w:rsidRPr="005D69D6">
        <w:t xml:space="preserve">le </w:t>
      </w:r>
      <w:r w:rsidRPr="005D69D6">
        <w:t xml:space="preserve">niveau des rayonnements </w:t>
      </w:r>
      <w:r w:rsidR="00BD5716" w:rsidRPr="005D69D6">
        <w:t>émis</w:t>
      </w:r>
      <w:r w:rsidR="00AB18A7" w:rsidRPr="005D69D6">
        <w:t xml:space="preserve"> par les</w:t>
      </w:r>
      <w:r w:rsidRPr="005D69D6">
        <w:t xml:space="preserve"> stations spatiales du SFS non OSG </w:t>
      </w:r>
      <w:r w:rsidR="00AB18A7" w:rsidRPr="005D69D6">
        <w:t>en direction de son territoire national.</w:t>
      </w:r>
    </w:p>
    <w:p w14:paraId="6B1FCC86" w14:textId="77777777" w:rsidR="000C09FD" w:rsidRPr="005D69D6" w:rsidRDefault="000C09FD" w:rsidP="0084391D">
      <w:pPr>
        <w:pStyle w:val="Reasons"/>
      </w:pPr>
    </w:p>
    <w:p w14:paraId="3DF61BD4" w14:textId="77777777" w:rsidR="000C09FD" w:rsidRPr="005D69D6" w:rsidRDefault="000C09FD" w:rsidP="0084391D">
      <w:pPr>
        <w:jc w:val="center"/>
      </w:pPr>
      <w:r w:rsidRPr="005D69D6">
        <w:t>______________</w:t>
      </w:r>
    </w:p>
    <w:sectPr w:rsidR="000C09FD" w:rsidRPr="005D69D6">
      <w:headerReference w:type="default" r:id="rId15"/>
      <w:footerReference w:type="even" r:id="rId16"/>
      <w:footerReference w:type="default" r:id="rId17"/>
      <w:footerReference w:type="first" r:id="rId18"/>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6274D" w14:textId="77777777" w:rsidR="00CB685A" w:rsidRDefault="00CB685A">
      <w:r>
        <w:separator/>
      </w:r>
    </w:p>
  </w:endnote>
  <w:endnote w:type="continuationSeparator" w:id="0">
    <w:p w14:paraId="17FBB484" w14:textId="77777777" w:rsidR="00CB685A" w:rsidRDefault="00CB6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80578" w14:textId="08448CD6" w:rsidR="00936D25" w:rsidRDefault="00936D25">
    <w:pPr>
      <w:rPr>
        <w:lang w:val="en-US"/>
      </w:rPr>
    </w:pPr>
    <w:r>
      <w:fldChar w:fldCharType="begin"/>
    </w:r>
    <w:r>
      <w:rPr>
        <w:lang w:val="en-US"/>
      </w:rPr>
      <w:instrText xml:space="preserve"> FILENAME \p  \* MERGEFORMAT </w:instrText>
    </w:r>
    <w:r>
      <w:fldChar w:fldCharType="separate"/>
    </w:r>
    <w:r w:rsidR="00BB1D82">
      <w:rPr>
        <w:noProof/>
        <w:lang w:val="en-US"/>
      </w:rPr>
      <w:t>Document1</w:t>
    </w:r>
    <w:r>
      <w:fldChar w:fldCharType="end"/>
    </w:r>
    <w:r>
      <w:rPr>
        <w:lang w:val="en-US"/>
      </w:rPr>
      <w:tab/>
    </w:r>
    <w:r>
      <w:fldChar w:fldCharType="begin"/>
    </w:r>
    <w:r>
      <w:instrText xml:space="preserve"> SAVEDATE \@ DD.MM.YY </w:instrText>
    </w:r>
    <w:r>
      <w:fldChar w:fldCharType="separate"/>
    </w:r>
    <w:r w:rsidR="0084391D">
      <w:rPr>
        <w:noProof/>
      </w:rPr>
      <w:t>14.11.23</w:t>
    </w:r>
    <w:r>
      <w:fldChar w:fldCharType="end"/>
    </w:r>
    <w:r>
      <w:rPr>
        <w:lang w:val="en-US"/>
      </w:rPr>
      <w:tab/>
    </w:r>
    <w:r>
      <w:fldChar w:fldCharType="begin"/>
    </w:r>
    <w:r>
      <w:instrText xml:space="preserve"> PRINTDATE \@ DD.MM.YY </w:instrText>
    </w:r>
    <w:r>
      <w:fldChar w:fldCharType="separate"/>
    </w:r>
    <w:r w:rsidR="00BB1D82">
      <w:rPr>
        <w:noProof/>
      </w:rPr>
      <w:t>05.06.03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F52F2" w14:textId="39685832" w:rsidR="0084065A" w:rsidRPr="0084065A" w:rsidRDefault="0084065A" w:rsidP="0084065A">
    <w:pPr>
      <w:pStyle w:val="Footer"/>
      <w:rPr>
        <w:lang w:val="en-GB"/>
      </w:rPr>
    </w:pPr>
    <w:r>
      <w:fldChar w:fldCharType="begin"/>
    </w:r>
    <w:r>
      <w:rPr>
        <w:lang w:val="en-US"/>
      </w:rPr>
      <w:instrText xml:space="preserve"> FILENAME \p  \* MERGEFORMAT </w:instrText>
    </w:r>
    <w:r>
      <w:fldChar w:fldCharType="separate"/>
    </w:r>
    <w:r w:rsidR="00E35E72">
      <w:rPr>
        <w:lang w:val="en-US"/>
      </w:rPr>
      <w:t>P:\FRA\ITU-R\CONF-R\CMR23\100\148ADD27F.docx</w:t>
    </w:r>
    <w:r>
      <w:fldChar w:fldCharType="end"/>
    </w:r>
    <w:r w:rsidRPr="0084065A">
      <w:rPr>
        <w:lang w:val="en-GB"/>
      </w:rPr>
      <w:t xml:space="preserve"> </w:t>
    </w:r>
    <w:r>
      <w:rPr>
        <w:lang w:val="en-GB"/>
      </w:rPr>
      <w:t>(530415)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2EE21" w14:textId="186987BE" w:rsidR="00936D25" w:rsidRPr="0084065A" w:rsidRDefault="00936D25" w:rsidP="001A11F6">
    <w:pPr>
      <w:pStyle w:val="Footer"/>
      <w:rPr>
        <w:lang w:val="en-GB"/>
      </w:rPr>
    </w:pPr>
    <w:r>
      <w:fldChar w:fldCharType="begin"/>
    </w:r>
    <w:r>
      <w:rPr>
        <w:lang w:val="en-US"/>
      </w:rPr>
      <w:instrText xml:space="preserve"> FILENAME \p  \* MERGEFORMAT </w:instrText>
    </w:r>
    <w:r>
      <w:fldChar w:fldCharType="separate"/>
    </w:r>
    <w:r w:rsidR="00E35E72">
      <w:rPr>
        <w:lang w:val="en-US"/>
      </w:rPr>
      <w:t>P:\FRA\ITU-R\CONF-R\CMR23\100\148ADD27F.docx</w:t>
    </w:r>
    <w:r>
      <w:fldChar w:fldCharType="end"/>
    </w:r>
    <w:r w:rsidR="0084065A" w:rsidRPr="0084065A">
      <w:rPr>
        <w:lang w:val="en-GB"/>
      </w:rPr>
      <w:t xml:space="preserve"> </w:t>
    </w:r>
    <w:r w:rsidR="0084065A">
      <w:rPr>
        <w:lang w:val="en-GB"/>
      </w:rPr>
      <w:t>(530415)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665D7" w14:textId="77777777" w:rsidR="00CB685A" w:rsidRDefault="00CB685A">
      <w:r>
        <w:rPr>
          <w:b/>
        </w:rPr>
        <w:t>_______________</w:t>
      </w:r>
    </w:p>
  </w:footnote>
  <w:footnote w:type="continuationSeparator" w:id="0">
    <w:p w14:paraId="7CC8302C" w14:textId="77777777" w:rsidR="00CB685A" w:rsidRDefault="00CB68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C7801" w14:textId="1D39FBDE" w:rsidR="004F1F8E" w:rsidRDefault="004F1F8E" w:rsidP="004F1F8E">
    <w:pPr>
      <w:pStyle w:val="Header"/>
    </w:pPr>
    <w:r>
      <w:fldChar w:fldCharType="begin"/>
    </w:r>
    <w:r>
      <w:instrText xml:space="preserve"> PAGE </w:instrText>
    </w:r>
    <w:r>
      <w:fldChar w:fldCharType="separate"/>
    </w:r>
    <w:r w:rsidR="0013510D">
      <w:rPr>
        <w:noProof/>
      </w:rPr>
      <w:t>4</w:t>
    </w:r>
    <w:r>
      <w:fldChar w:fldCharType="end"/>
    </w:r>
  </w:p>
  <w:p w14:paraId="45649C79" w14:textId="77777777" w:rsidR="004F1F8E" w:rsidRDefault="00225CF2" w:rsidP="00FD7AA3">
    <w:pPr>
      <w:pStyle w:val="Header"/>
    </w:pPr>
    <w:r>
      <w:t>WRC</w:t>
    </w:r>
    <w:r w:rsidR="00D3426F">
      <w:t>23</w:t>
    </w:r>
    <w:r w:rsidR="004F1F8E">
      <w:t>/</w:t>
    </w:r>
    <w:r w:rsidR="006A4B45">
      <w:t>148(Add.27)-</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1310327607">
    <w:abstractNumId w:val="0"/>
  </w:num>
  <w:num w:numId="2" w16cid:durableId="986906975">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3522F"/>
    <w:rsid w:val="00063A1F"/>
    <w:rsid w:val="00080E2C"/>
    <w:rsid w:val="00081366"/>
    <w:rsid w:val="000863B3"/>
    <w:rsid w:val="000A4755"/>
    <w:rsid w:val="000A55AE"/>
    <w:rsid w:val="000B2E0C"/>
    <w:rsid w:val="000B3D0C"/>
    <w:rsid w:val="000C09FD"/>
    <w:rsid w:val="001167B9"/>
    <w:rsid w:val="001267A0"/>
    <w:rsid w:val="0013510D"/>
    <w:rsid w:val="0015203F"/>
    <w:rsid w:val="00160C64"/>
    <w:rsid w:val="0018169B"/>
    <w:rsid w:val="0019352B"/>
    <w:rsid w:val="001960D0"/>
    <w:rsid w:val="001A11F6"/>
    <w:rsid w:val="001B5549"/>
    <w:rsid w:val="001F17E8"/>
    <w:rsid w:val="00204306"/>
    <w:rsid w:val="00216734"/>
    <w:rsid w:val="00225CF2"/>
    <w:rsid w:val="00232FD2"/>
    <w:rsid w:val="00245074"/>
    <w:rsid w:val="0026554E"/>
    <w:rsid w:val="00294CD5"/>
    <w:rsid w:val="002A4622"/>
    <w:rsid w:val="002A6F8F"/>
    <w:rsid w:val="002B17E5"/>
    <w:rsid w:val="002C0EBF"/>
    <w:rsid w:val="002C28A4"/>
    <w:rsid w:val="002D7B3E"/>
    <w:rsid w:val="002D7E0A"/>
    <w:rsid w:val="002F6AC9"/>
    <w:rsid w:val="00315AFE"/>
    <w:rsid w:val="003411F6"/>
    <w:rsid w:val="003606A6"/>
    <w:rsid w:val="0036650C"/>
    <w:rsid w:val="00393ACD"/>
    <w:rsid w:val="003A583E"/>
    <w:rsid w:val="003E112B"/>
    <w:rsid w:val="003E1D1C"/>
    <w:rsid w:val="003E7B05"/>
    <w:rsid w:val="003F3719"/>
    <w:rsid w:val="003F6F2D"/>
    <w:rsid w:val="0041457A"/>
    <w:rsid w:val="00466211"/>
    <w:rsid w:val="0048177A"/>
    <w:rsid w:val="00483196"/>
    <w:rsid w:val="004834A9"/>
    <w:rsid w:val="004D01FC"/>
    <w:rsid w:val="004E28C3"/>
    <w:rsid w:val="004F1F8E"/>
    <w:rsid w:val="00512A32"/>
    <w:rsid w:val="005343DA"/>
    <w:rsid w:val="00560874"/>
    <w:rsid w:val="00586CF2"/>
    <w:rsid w:val="005A7C75"/>
    <w:rsid w:val="005C3768"/>
    <w:rsid w:val="005C6C3F"/>
    <w:rsid w:val="005D69D6"/>
    <w:rsid w:val="00613635"/>
    <w:rsid w:val="0062093D"/>
    <w:rsid w:val="00637ECF"/>
    <w:rsid w:val="00647B59"/>
    <w:rsid w:val="00690C7B"/>
    <w:rsid w:val="006A4B45"/>
    <w:rsid w:val="006D4724"/>
    <w:rsid w:val="006F5FA2"/>
    <w:rsid w:val="0070076C"/>
    <w:rsid w:val="00701BAE"/>
    <w:rsid w:val="00721F04"/>
    <w:rsid w:val="00730E95"/>
    <w:rsid w:val="007426B9"/>
    <w:rsid w:val="00764342"/>
    <w:rsid w:val="00774362"/>
    <w:rsid w:val="00786598"/>
    <w:rsid w:val="00790C74"/>
    <w:rsid w:val="007950C4"/>
    <w:rsid w:val="007A04E8"/>
    <w:rsid w:val="007B2C34"/>
    <w:rsid w:val="007F282B"/>
    <w:rsid w:val="00830086"/>
    <w:rsid w:val="0084065A"/>
    <w:rsid w:val="0084391D"/>
    <w:rsid w:val="00851625"/>
    <w:rsid w:val="00863C0A"/>
    <w:rsid w:val="008A3120"/>
    <w:rsid w:val="008A4B97"/>
    <w:rsid w:val="008C5B8E"/>
    <w:rsid w:val="008C5DD5"/>
    <w:rsid w:val="008C7123"/>
    <w:rsid w:val="008D41BE"/>
    <w:rsid w:val="008D58D3"/>
    <w:rsid w:val="008E3BC9"/>
    <w:rsid w:val="0090252A"/>
    <w:rsid w:val="00923064"/>
    <w:rsid w:val="00930FFD"/>
    <w:rsid w:val="00931750"/>
    <w:rsid w:val="00936D25"/>
    <w:rsid w:val="00941EA5"/>
    <w:rsid w:val="00964700"/>
    <w:rsid w:val="00966C16"/>
    <w:rsid w:val="0098732F"/>
    <w:rsid w:val="009A045F"/>
    <w:rsid w:val="009A6A2B"/>
    <w:rsid w:val="009C395E"/>
    <w:rsid w:val="009C7E7C"/>
    <w:rsid w:val="00A00473"/>
    <w:rsid w:val="00A03C9B"/>
    <w:rsid w:val="00A37105"/>
    <w:rsid w:val="00A606C3"/>
    <w:rsid w:val="00A83B09"/>
    <w:rsid w:val="00A84541"/>
    <w:rsid w:val="00AB18A7"/>
    <w:rsid w:val="00AE104A"/>
    <w:rsid w:val="00AE36A0"/>
    <w:rsid w:val="00AF0AEB"/>
    <w:rsid w:val="00B00294"/>
    <w:rsid w:val="00B251C2"/>
    <w:rsid w:val="00B3749C"/>
    <w:rsid w:val="00B54877"/>
    <w:rsid w:val="00B64FD0"/>
    <w:rsid w:val="00B83F42"/>
    <w:rsid w:val="00BA5BD0"/>
    <w:rsid w:val="00BB1D82"/>
    <w:rsid w:val="00BC217E"/>
    <w:rsid w:val="00BD51C5"/>
    <w:rsid w:val="00BD5716"/>
    <w:rsid w:val="00BF26E7"/>
    <w:rsid w:val="00C1305F"/>
    <w:rsid w:val="00C53FCA"/>
    <w:rsid w:val="00C71DEB"/>
    <w:rsid w:val="00C76BAF"/>
    <w:rsid w:val="00C814B9"/>
    <w:rsid w:val="00CB685A"/>
    <w:rsid w:val="00CD516F"/>
    <w:rsid w:val="00D119A7"/>
    <w:rsid w:val="00D25FBA"/>
    <w:rsid w:val="00D32B28"/>
    <w:rsid w:val="00D3426F"/>
    <w:rsid w:val="00D42954"/>
    <w:rsid w:val="00D66EAC"/>
    <w:rsid w:val="00D730DF"/>
    <w:rsid w:val="00D772F0"/>
    <w:rsid w:val="00D77BDC"/>
    <w:rsid w:val="00DA2F7D"/>
    <w:rsid w:val="00DC402B"/>
    <w:rsid w:val="00DE0932"/>
    <w:rsid w:val="00DF15E8"/>
    <w:rsid w:val="00E03A27"/>
    <w:rsid w:val="00E049F1"/>
    <w:rsid w:val="00E06F24"/>
    <w:rsid w:val="00E35E72"/>
    <w:rsid w:val="00E3763F"/>
    <w:rsid w:val="00E37A25"/>
    <w:rsid w:val="00E537FF"/>
    <w:rsid w:val="00E60CB2"/>
    <w:rsid w:val="00E6539B"/>
    <w:rsid w:val="00E70A31"/>
    <w:rsid w:val="00E723A7"/>
    <w:rsid w:val="00EA3F38"/>
    <w:rsid w:val="00EA5AB6"/>
    <w:rsid w:val="00EC7615"/>
    <w:rsid w:val="00ED16AA"/>
    <w:rsid w:val="00ED6B8D"/>
    <w:rsid w:val="00EE3D7B"/>
    <w:rsid w:val="00EF662E"/>
    <w:rsid w:val="00F10064"/>
    <w:rsid w:val="00F148F1"/>
    <w:rsid w:val="00F53C94"/>
    <w:rsid w:val="00F711A7"/>
    <w:rsid w:val="00FA3BBF"/>
    <w:rsid w:val="00FC41F8"/>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14ADE585"/>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paragraph" w:customStyle="1" w:styleId="VolumeTitle0">
    <w:name w:val="VolumeTitle"/>
    <w:basedOn w:val="Normal"/>
    <w:next w:val="Normal"/>
    <w:rsid w:val="00F44277"/>
    <w:pPr>
      <w:tabs>
        <w:tab w:val="clear" w:pos="1134"/>
        <w:tab w:val="clear" w:pos="1871"/>
        <w:tab w:val="clear" w:pos="2268"/>
      </w:tabs>
      <w:overflowPunct/>
      <w:autoSpaceDE/>
      <w:autoSpaceDN/>
      <w:adjustRightInd/>
      <w:spacing w:before="240" w:after="240" w:line="276" w:lineRule="auto"/>
      <w:jc w:val="center"/>
      <w:textAlignment w:val="auto"/>
    </w:pPr>
    <w:rPr>
      <w:rFonts w:asciiTheme="minorHAnsi" w:eastAsiaTheme="minorEastAsia" w:hAnsiTheme="minorHAnsi" w:cstheme="minorBidi"/>
      <w:b/>
      <w:bCs/>
      <w:sz w:val="32"/>
      <w:szCs w:val="32"/>
      <w:lang w:val="en-US" w:eastAsia="zh-CN"/>
    </w:rPr>
  </w:style>
  <w:style w:type="character" w:styleId="Hyperlink">
    <w:name w:val="Hyperlink"/>
    <w:aliases w:val="ECC Hyperlink,CEO_Hyperlink,超级链接"/>
    <w:basedOn w:val="DefaultParagraphFont"/>
    <w:uiPriority w:val="99"/>
    <w:unhideWhenUsed/>
    <w:qFormat/>
    <w:rPr>
      <w:color w:val="0000FF" w:themeColor="hyperlink"/>
      <w:u w:val="single"/>
    </w:rPr>
  </w:style>
  <w:style w:type="character" w:customStyle="1" w:styleId="UnresolvedMention1">
    <w:name w:val="Unresolved Mention1"/>
    <w:basedOn w:val="DefaultParagraphFont"/>
    <w:uiPriority w:val="99"/>
    <w:semiHidden/>
    <w:unhideWhenUsed/>
    <w:rsid w:val="0084065A"/>
    <w:rPr>
      <w:color w:val="605E5C"/>
      <w:shd w:val="clear" w:color="auto" w:fill="E1DFDD"/>
    </w:rPr>
  </w:style>
  <w:style w:type="paragraph" w:styleId="Revision">
    <w:name w:val="Revision"/>
    <w:hidden/>
    <w:uiPriority w:val="99"/>
    <w:semiHidden/>
    <w:rsid w:val="001B5549"/>
    <w:rPr>
      <w:rFonts w:ascii="Times New Roman" w:hAnsi="Times New Roman"/>
      <w:sz w:val="24"/>
      <w:lang w:val="fr-FR" w:eastAsia="en-US"/>
    </w:rPr>
  </w:style>
  <w:style w:type="character" w:styleId="FollowedHyperlink">
    <w:name w:val="FollowedHyperlink"/>
    <w:basedOn w:val="DefaultParagraphFont"/>
    <w:semiHidden/>
    <w:unhideWhenUsed/>
    <w:rsid w:val="00AF0AEB"/>
    <w:rPr>
      <w:color w:val="800080" w:themeColor="followedHyperlink"/>
      <w:u w:val="single"/>
    </w:rPr>
  </w:style>
  <w:style w:type="character" w:styleId="CommentReference">
    <w:name w:val="annotation reference"/>
    <w:basedOn w:val="DefaultParagraphFont"/>
    <w:semiHidden/>
    <w:unhideWhenUsed/>
    <w:rsid w:val="00AF0AEB"/>
    <w:rPr>
      <w:sz w:val="16"/>
      <w:szCs w:val="16"/>
    </w:rPr>
  </w:style>
  <w:style w:type="paragraph" w:styleId="CommentText">
    <w:name w:val="annotation text"/>
    <w:basedOn w:val="Normal"/>
    <w:link w:val="CommentTextChar"/>
    <w:semiHidden/>
    <w:unhideWhenUsed/>
    <w:rsid w:val="00AF0AEB"/>
    <w:rPr>
      <w:sz w:val="20"/>
    </w:rPr>
  </w:style>
  <w:style w:type="character" w:customStyle="1" w:styleId="CommentTextChar">
    <w:name w:val="Comment Text Char"/>
    <w:basedOn w:val="DefaultParagraphFont"/>
    <w:link w:val="CommentText"/>
    <w:semiHidden/>
    <w:rsid w:val="00AF0AEB"/>
    <w:rPr>
      <w:rFonts w:ascii="Times New Roman" w:hAnsi="Times New Roman"/>
      <w:lang w:val="fr-FR" w:eastAsia="en-US"/>
    </w:rPr>
  </w:style>
  <w:style w:type="paragraph" w:styleId="CommentSubject">
    <w:name w:val="annotation subject"/>
    <w:basedOn w:val="CommentText"/>
    <w:next w:val="CommentText"/>
    <w:link w:val="CommentSubjectChar"/>
    <w:semiHidden/>
    <w:unhideWhenUsed/>
    <w:rsid w:val="00AF0AEB"/>
    <w:rPr>
      <w:b/>
      <w:bCs/>
    </w:rPr>
  </w:style>
  <w:style w:type="character" w:customStyle="1" w:styleId="CommentSubjectChar">
    <w:name w:val="Comment Subject Char"/>
    <w:basedOn w:val="CommentTextChar"/>
    <w:link w:val="CommentSubject"/>
    <w:semiHidden/>
    <w:rsid w:val="00AF0AEB"/>
    <w:rPr>
      <w:rFonts w:ascii="Times New Roman" w:hAnsi="Times New Roman"/>
      <w:b/>
      <w:bCs/>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itudoc/itu-r/archives/rsg/1998-00/report99/cpmrep-e.html"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afe.menlosecurity.com/https:/www.itu.int/md/R19-CPM23.2-C-0236/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R23-WRC23-C-0148!A27!MSW-F</DPM_x0020_File_x0020_name>
    <DPM_x0020_Author xmlns="32a1a8c5-2265-4ebc-b7a0-2071e2c5c9bb" xsi:nil="false">DPM</DPM_x0020_Author>
    <DPM_x0020_Version xmlns="32a1a8c5-2265-4ebc-b7a0-2071e2c5c9bb" xsi:nil="false">DPM_2022.05.12.01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2.xml><?xml version="1.0" encoding="utf-8"?>
<ds:datastoreItem xmlns:ds="http://schemas.openxmlformats.org/officeDocument/2006/customXml" ds:itemID="{D772914C-B344-45C9-8138-987AE0B093C4}">
  <ds:schemaRefs>
    <ds:schemaRef ds:uri="996b2e75-67fd-4955-a3b0-5ab9934cb50b"/>
    <ds:schemaRef ds:uri="http://purl.org/dc/terms/"/>
    <ds:schemaRef ds:uri="http://schemas.microsoft.com/office/2006/metadata/properties"/>
    <ds:schemaRef ds:uri="32a1a8c5-2265-4ebc-b7a0-2071e2c5c9bb"/>
    <ds:schemaRef ds:uri="http://schemas.microsoft.com/office/2006/documentManagement/types"/>
    <ds:schemaRef ds:uri="http://schemas.microsoft.com/office/infopath/2007/PartnerControls"/>
    <ds:schemaRef ds:uri="http://purl.org/dc/elements/1.1/"/>
    <ds:schemaRef ds:uri="http://purl.org/dc/dcmitype/"/>
    <ds:schemaRef ds:uri="http://www.w3.org/XML/1998/namespace"/>
    <ds:schemaRef ds:uri="http://schemas.openxmlformats.org/package/2006/metadata/core-properties"/>
  </ds:schemaRefs>
</ds:datastoreItem>
</file>

<file path=customXml/itemProps3.xml><?xml version="1.0" encoding="utf-8"?>
<ds:datastoreItem xmlns:ds="http://schemas.openxmlformats.org/officeDocument/2006/customXml" ds:itemID="{948096DE-AF9B-44FE-A4FA-D7ECEB2E7C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E6EC42B-5807-48FC-AA82-A794F80A534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Pages>
  <Words>1225</Words>
  <Characters>6813</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R23-WRC23-C-0148!A27!MSW-F</vt:lpstr>
    </vt:vector>
  </TitlesOfParts>
  <Manager>Secrétariat général - Pool</Manager>
  <Company>Union internationale des télécommunications (UIT)</Company>
  <LinksUpToDate>false</LinksUpToDate>
  <CharactersWithSpaces>8022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R23-WRC23-C-0148!A27!MSW-F</dc:title>
  <dc:subject>Conférence mondiale des radiocommunications - 2019</dc:subject>
  <dc:creator>Documents Proposals Manager (DPM)</dc:creator>
  <cp:keywords>DPM_v2023.11.6.1_prod</cp:keywords>
  <dc:description/>
  <cp:lastModifiedBy>French</cp:lastModifiedBy>
  <cp:revision>8</cp:revision>
  <cp:lastPrinted>2003-06-05T19:34:00Z</cp:lastPrinted>
  <dcterms:created xsi:type="dcterms:W3CDTF">2023-11-14T07:37:00Z</dcterms:created>
  <dcterms:modified xsi:type="dcterms:W3CDTF">2023-11-14T14:05:00Z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