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4E0502" w14:paraId="4FA3AA21" w14:textId="77777777" w:rsidTr="00752552">
        <w:trPr>
          <w:cantSplit/>
          <w:trHeight w:val="20"/>
        </w:trPr>
        <w:tc>
          <w:tcPr>
            <w:tcW w:w="1589" w:type="dxa"/>
            <w:vAlign w:val="center"/>
          </w:tcPr>
          <w:p w14:paraId="5CB877BA" w14:textId="77777777" w:rsidR="00752552" w:rsidRPr="004E0502" w:rsidRDefault="00752552" w:rsidP="00752552">
            <w:pPr>
              <w:spacing w:before="0"/>
              <w:jc w:val="left"/>
              <w:rPr>
                <w:b/>
                <w:bCs/>
                <w:rtl/>
                <w:lang w:bidi="ar-EG"/>
              </w:rPr>
            </w:pPr>
            <w:r w:rsidRPr="004E0502">
              <w:rPr>
                <w:noProof/>
                <w:lang w:val="en-GB" w:bidi="ar-EG"/>
              </w:rPr>
              <w:drawing>
                <wp:inline distT="0" distB="0" distL="0" distR="0" wp14:anchorId="3F8DF950" wp14:editId="44A2468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BD60C3D" w14:textId="77777777" w:rsidR="00752552" w:rsidRPr="004E0502" w:rsidRDefault="00752552" w:rsidP="00752552">
            <w:pPr>
              <w:pStyle w:val="LOGO"/>
              <w:framePr w:hSpace="0" w:wrap="auto" w:xAlign="left" w:yAlign="inline"/>
              <w:rPr>
                <w:rtl/>
              </w:rPr>
            </w:pPr>
            <w:r w:rsidRPr="004E0502">
              <w:rPr>
                <w:rtl/>
              </w:rPr>
              <w:t xml:space="preserve">المؤتمر العالمي للاتصالات الراديوية </w:t>
            </w:r>
            <w:r w:rsidRPr="004E0502">
              <w:t>(WRC-23)</w:t>
            </w:r>
          </w:p>
          <w:p w14:paraId="4DA048B1" w14:textId="77777777" w:rsidR="00752552" w:rsidRPr="004E0502" w:rsidRDefault="00752552" w:rsidP="00752552">
            <w:pPr>
              <w:rPr>
                <w:b/>
                <w:bCs/>
                <w:rtl/>
                <w:lang w:bidi="ar-EG"/>
              </w:rPr>
            </w:pPr>
            <w:r w:rsidRPr="004E0502">
              <w:rPr>
                <w:b/>
                <w:bCs/>
                <w:sz w:val="26"/>
                <w:szCs w:val="26"/>
                <w:rtl/>
              </w:rPr>
              <w:t xml:space="preserve">دبي، </w:t>
            </w:r>
            <w:r w:rsidRPr="004E0502">
              <w:rPr>
                <w:b/>
                <w:bCs/>
                <w:sz w:val="26"/>
                <w:szCs w:val="26"/>
                <w:lang w:bidi="ar-EG"/>
              </w:rPr>
              <w:t>20</w:t>
            </w:r>
            <w:r w:rsidRPr="004E0502">
              <w:rPr>
                <w:b/>
                <w:bCs/>
                <w:sz w:val="26"/>
                <w:szCs w:val="26"/>
                <w:rtl/>
                <w:lang w:bidi="ar-EG"/>
              </w:rPr>
              <w:t xml:space="preserve"> نوفمبر – </w:t>
            </w:r>
            <w:r w:rsidRPr="004E0502">
              <w:rPr>
                <w:b/>
                <w:bCs/>
                <w:sz w:val="26"/>
                <w:szCs w:val="26"/>
                <w:lang w:bidi="ar-EG"/>
              </w:rPr>
              <w:t>15</w:t>
            </w:r>
            <w:r w:rsidRPr="004E0502">
              <w:rPr>
                <w:b/>
                <w:bCs/>
                <w:sz w:val="26"/>
                <w:szCs w:val="26"/>
                <w:rtl/>
                <w:lang w:bidi="ar-EG"/>
              </w:rPr>
              <w:t xml:space="preserve"> ديسمبر </w:t>
            </w:r>
            <w:r w:rsidRPr="004E0502">
              <w:rPr>
                <w:b/>
                <w:bCs/>
                <w:sz w:val="26"/>
                <w:szCs w:val="26"/>
                <w:lang w:bidi="ar-EG"/>
              </w:rPr>
              <w:t>2023</w:t>
            </w:r>
          </w:p>
        </w:tc>
        <w:tc>
          <w:tcPr>
            <w:tcW w:w="1982" w:type="dxa"/>
            <w:vAlign w:val="center"/>
          </w:tcPr>
          <w:p w14:paraId="1911818C" w14:textId="77777777" w:rsidR="00752552" w:rsidRPr="004E0502" w:rsidRDefault="00752552" w:rsidP="00752552">
            <w:pPr>
              <w:jc w:val="right"/>
              <w:rPr>
                <w:rtl/>
                <w:lang w:bidi="ar-EG"/>
              </w:rPr>
            </w:pPr>
            <w:bookmarkStart w:id="0" w:name="ditulogo"/>
            <w:bookmarkEnd w:id="0"/>
            <w:r w:rsidRPr="004E0502">
              <w:rPr>
                <w:noProof/>
              </w:rPr>
              <w:drawing>
                <wp:inline distT="0" distB="0" distL="0" distR="0" wp14:anchorId="2077B7E7" wp14:editId="2BD6E81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4E0502" w14:paraId="54A0E79E" w14:textId="77777777" w:rsidTr="00752552">
        <w:trPr>
          <w:cantSplit/>
          <w:trHeight w:val="20"/>
        </w:trPr>
        <w:tc>
          <w:tcPr>
            <w:tcW w:w="6696" w:type="dxa"/>
            <w:gridSpan w:val="2"/>
            <w:tcBorders>
              <w:bottom w:val="single" w:sz="12" w:space="0" w:color="auto"/>
            </w:tcBorders>
          </w:tcPr>
          <w:p w14:paraId="54C29EC3" w14:textId="77777777" w:rsidR="000D1EE4" w:rsidRPr="004E0502" w:rsidRDefault="000D1EE4" w:rsidP="000D1EE4">
            <w:pPr>
              <w:rPr>
                <w:rtl/>
                <w:lang w:bidi="ar-EG"/>
              </w:rPr>
            </w:pPr>
          </w:p>
        </w:tc>
        <w:tc>
          <w:tcPr>
            <w:tcW w:w="2970" w:type="dxa"/>
            <w:gridSpan w:val="2"/>
            <w:tcBorders>
              <w:bottom w:val="single" w:sz="12" w:space="0" w:color="auto"/>
            </w:tcBorders>
          </w:tcPr>
          <w:p w14:paraId="49517276" w14:textId="77777777" w:rsidR="000D1EE4" w:rsidRPr="004E0502" w:rsidRDefault="000D1EE4" w:rsidP="000D1EE4">
            <w:pPr>
              <w:rPr>
                <w:lang w:val="en-GB" w:bidi="ar-EG"/>
              </w:rPr>
            </w:pPr>
          </w:p>
        </w:tc>
      </w:tr>
      <w:tr w:rsidR="000D1EE4" w:rsidRPr="004E0502" w14:paraId="5A000320" w14:textId="77777777" w:rsidTr="00752552">
        <w:trPr>
          <w:cantSplit/>
          <w:trHeight w:val="20"/>
        </w:trPr>
        <w:tc>
          <w:tcPr>
            <w:tcW w:w="6696" w:type="dxa"/>
            <w:gridSpan w:val="2"/>
            <w:tcBorders>
              <w:top w:val="single" w:sz="12" w:space="0" w:color="auto"/>
            </w:tcBorders>
          </w:tcPr>
          <w:p w14:paraId="3BE26E91" w14:textId="77777777" w:rsidR="000D1EE4" w:rsidRPr="004E0502" w:rsidRDefault="000D1EE4" w:rsidP="000D1EE4">
            <w:pPr>
              <w:rPr>
                <w:b/>
                <w:bCs/>
                <w:rtl/>
                <w:lang w:bidi="ar-EG"/>
              </w:rPr>
            </w:pPr>
          </w:p>
        </w:tc>
        <w:tc>
          <w:tcPr>
            <w:tcW w:w="2970" w:type="dxa"/>
            <w:gridSpan w:val="2"/>
            <w:tcBorders>
              <w:top w:val="single" w:sz="12" w:space="0" w:color="auto"/>
            </w:tcBorders>
          </w:tcPr>
          <w:p w14:paraId="78B8862A" w14:textId="77777777" w:rsidR="000D1EE4" w:rsidRPr="004E0502" w:rsidRDefault="000D1EE4" w:rsidP="000D1EE4">
            <w:pPr>
              <w:rPr>
                <w:b/>
                <w:bCs/>
                <w:lang w:bidi="ar-EG"/>
              </w:rPr>
            </w:pPr>
          </w:p>
        </w:tc>
      </w:tr>
      <w:tr w:rsidR="000D1EE4" w:rsidRPr="004E0502" w14:paraId="60C7B50F" w14:textId="77777777" w:rsidTr="00752552">
        <w:trPr>
          <w:cantSplit/>
        </w:trPr>
        <w:tc>
          <w:tcPr>
            <w:tcW w:w="6696" w:type="dxa"/>
            <w:gridSpan w:val="2"/>
          </w:tcPr>
          <w:p w14:paraId="4D84C4DB" w14:textId="77777777" w:rsidR="000D1EE4" w:rsidRPr="00670655" w:rsidRDefault="00E50850" w:rsidP="004E0502">
            <w:pPr>
              <w:pStyle w:val="Committee"/>
              <w:bidi/>
              <w:rPr>
                <w:rFonts w:hint="cs"/>
                <w:lang w:val="en-US" w:bidi="ar-EG"/>
              </w:rPr>
            </w:pPr>
            <w:r w:rsidRPr="004E0502">
              <w:rPr>
                <w:rtl/>
                <w:lang w:bidi="ar-EG"/>
              </w:rPr>
              <w:t>الجلسة العامة</w:t>
            </w:r>
          </w:p>
        </w:tc>
        <w:tc>
          <w:tcPr>
            <w:tcW w:w="2970" w:type="dxa"/>
            <w:gridSpan w:val="2"/>
          </w:tcPr>
          <w:p w14:paraId="7980E46A" w14:textId="77777777" w:rsidR="000D1EE4" w:rsidRPr="004E0502" w:rsidRDefault="00E50850" w:rsidP="004E0502">
            <w:pPr>
              <w:jc w:val="left"/>
              <w:rPr>
                <w:b/>
                <w:bCs/>
                <w:rtl/>
                <w:lang w:bidi="ar-EG"/>
              </w:rPr>
            </w:pPr>
            <w:r w:rsidRPr="004E0502">
              <w:rPr>
                <w:rFonts w:eastAsia="SimSun"/>
                <w:b/>
                <w:bCs/>
                <w:rtl/>
                <w:lang w:bidi="ar-EG"/>
              </w:rPr>
              <w:t>الإضافة 27</w:t>
            </w:r>
            <w:r w:rsidRPr="004E0502">
              <w:rPr>
                <w:rFonts w:eastAsia="SimSun"/>
                <w:b/>
                <w:bCs/>
                <w:rtl/>
                <w:lang w:bidi="ar-EG"/>
              </w:rPr>
              <w:br/>
              <w:t xml:space="preserve">للوثيقة </w:t>
            </w:r>
            <w:r w:rsidRPr="004E0502">
              <w:rPr>
                <w:rFonts w:eastAsia="SimSun"/>
                <w:b/>
                <w:bCs/>
              </w:rPr>
              <w:t>148-A</w:t>
            </w:r>
          </w:p>
        </w:tc>
      </w:tr>
      <w:tr w:rsidR="000D1EE4" w:rsidRPr="004E0502" w14:paraId="068B8297" w14:textId="77777777" w:rsidTr="00752552">
        <w:trPr>
          <w:cantSplit/>
        </w:trPr>
        <w:tc>
          <w:tcPr>
            <w:tcW w:w="6696" w:type="dxa"/>
            <w:gridSpan w:val="2"/>
          </w:tcPr>
          <w:p w14:paraId="6879F8B5" w14:textId="77777777" w:rsidR="000D1EE4" w:rsidRPr="004E0502" w:rsidRDefault="000D1EE4" w:rsidP="000D1EE4">
            <w:pPr>
              <w:spacing w:before="60" w:after="60" w:line="260" w:lineRule="exact"/>
              <w:rPr>
                <w:b/>
                <w:bCs/>
                <w:rtl/>
                <w:lang w:bidi="ar-EG"/>
              </w:rPr>
            </w:pPr>
          </w:p>
        </w:tc>
        <w:tc>
          <w:tcPr>
            <w:tcW w:w="2970" w:type="dxa"/>
            <w:gridSpan w:val="2"/>
          </w:tcPr>
          <w:p w14:paraId="2A47260D" w14:textId="77777777" w:rsidR="000D1EE4" w:rsidRPr="004E0502" w:rsidRDefault="00E50850" w:rsidP="004E0502">
            <w:pPr>
              <w:jc w:val="left"/>
              <w:rPr>
                <w:b/>
                <w:bCs/>
                <w:rtl/>
                <w:lang w:bidi="ar-EG"/>
              </w:rPr>
            </w:pPr>
            <w:r w:rsidRPr="004E0502">
              <w:rPr>
                <w:rFonts w:eastAsia="SimSun"/>
                <w:b/>
                <w:bCs/>
              </w:rPr>
              <w:t>30</w:t>
            </w:r>
            <w:r w:rsidRPr="004E0502">
              <w:rPr>
                <w:rFonts w:eastAsia="SimSun"/>
                <w:b/>
                <w:bCs/>
                <w:rtl/>
              </w:rPr>
              <w:t xml:space="preserve"> أكتوبر </w:t>
            </w:r>
            <w:r w:rsidRPr="004E0502">
              <w:rPr>
                <w:rFonts w:eastAsia="SimSun"/>
                <w:b/>
                <w:bCs/>
              </w:rPr>
              <w:t>2023</w:t>
            </w:r>
          </w:p>
        </w:tc>
      </w:tr>
      <w:tr w:rsidR="000D1EE4" w:rsidRPr="004E0502" w14:paraId="0CF37F88" w14:textId="77777777" w:rsidTr="00752552">
        <w:trPr>
          <w:cantSplit/>
        </w:trPr>
        <w:tc>
          <w:tcPr>
            <w:tcW w:w="6696" w:type="dxa"/>
            <w:gridSpan w:val="2"/>
          </w:tcPr>
          <w:p w14:paraId="311D815F" w14:textId="77777777" w:rsidR="000D1EE4" w:rsidRPr="004E0502" w:rsidRDefault="000D1EE4" w:rsidP="000D1EE4">
            <w:pPr>
              <w:spacing w:before="60" w:after="60" w:line="260" w:lineRule="exact"/>
              <w:rPr>
                <w:b/>
                <w:bCs/>
                <w:rtl/>
                <w:lang w:bidi="ar-EG"/>
              </w:rPr>
            </w:pPr>
          </w:p>
        </w:tc>
        <w:tc>
          <w:tcPr>
            <w:tcW w:w="2970" w:type="dxa"/>
            <w:gridSpan w:val="2"/>
          </w:tcPr>
          <w:p w14:paraId="53F8DAEC" w14:textId="77777777" w:rsidR="000D1EE4" w:rsidRPr="004E0502" w:rsidRDefault="00E50850" w:rsidP="004E0502">
            <w:pPr>
              <w:jc w:val="left"/>
              <w:rPr>
                <w:b/>
                <w:bCs/>
                <w:lang w:bidi="ar-EG"/>
              </w:rPr>
            </w:pPr>
            <w:r w:rsidRPr="004E0502">
              <w:rPr>
                <w:b/>
                <w:bCs/>
                <w:rtl/>
                <w:lang w:bidi="ar-EG"/>
              </w:rPr>
              <w:t>الأصل: بالإنكليزية</w:t>
            </w:r>
          </w:p>
        </w:tc>
      </w:tr>
      <w:tr w:rsidR="000D1EE4" w:rsidRPr="004E0502" w14:paraId="10282A42" w14:textId="77777777" w:rsidTr="00752552">
        <w:trPr>
          <w:cantSplit/>
        </w:trPr>
        <w:tc>
          <w:tcPr>
            <w:tcW w:w="9666" w:type="dxa"/>
            <w:gridSpan w:val="4"/>
          </w:tcPr>
          <w:p w14:paraId="7470382E" w14:textId="77777777" w:rsidR="000D1EE4" w:rsidRPr="004E0502" w:rsidRDefault="000D1EE4" w:rsidP="000D1EE4">
            <w:pPr>
              <w:rPr>
                <w:b/>
                <w:bCs/>
                <w:lang w:bidi="ar-EG"/>
              </w:rPr>
            </w:pPr>
          </w:p>
        </w:tc>
      </w:tr>
      <w:tr w:rsidR="000D1EE4" w:rsidRPr="004E0502" w14:paraId="7C83E390" w14:textId="77777777" w:rsidTr="00752552">
        <w:trPr>
          <w:cantSplit/>
        </w:trPr>
        <w:tc>
          <w:tcPr>
            <w:tcW w:w="9666" w:type="dxa"/>
            <w:gridSpan w:val="4"/>
          </w:tcPr>
          <w:p w14:paraId="6FE9EF07" w14:textId="77777777" w:rsidR="000D1EE4" w:rsidRPr="004E0502" w:rsidRDefault="000D1EE4" w:rsidP="000D1EE4">
            <w:pPr>
              <w:pStyle w:val="Source"/>
              <w:rPr>
                <w:rtl/>
                <w:lang w:bidi="ar-SA"/>
              </w:rPr>
            </w:pPr>
            <w:r w:rsidRPr="004E0502">
              <w:rPr>
                <w:rtl/>
              </w:rPr>
              <w:t>جمهورية إيران الإسلامية</w:t>
            </w:r>
          </w:p>
        </w:tc>
      </w:tr>
      <w:tr w:rsidR="000D1EE4" w:rsidRPr="004E0502" w14:paraId="181D1515" w14:textId="77777777" w:rsidTr="00752552">
        <w:trPr>
          <w:cantSplit/>
        </w:trPr>
        <w:tc>
          <w:tcPr>
            <w:tcW w:w="9666" w:type="dxa"/>
            <w:gridSpan w:val="4"/>
          </w:tcPr>
          <w:p w14:paraId="6ABE0D9C" w14:textId="6B89ABD1" w:rsidR="000D1EE4" w:rsidRPr="004E0502" w:rsidRDefault="004E0502" w:rsidP="000D1EE4">
            <w:pPr>
              <w:pStyle w:val="Title1"/>
              <w:rPr>
                <w:rtl/>
              </w:rPr>
            </w:pPr>
            <w:r w:rsidRPr="00C95371">
              <w:rPr>
                <w:rtl/>
              </w:rPr>
              <w:t>مقترحات بشأن أعمال المؤتمر</w:t>
            </w:r>
          </w:p>
        </w:tc>
      </w:tr>
      <w:tr w:rsidR="000D1EE4" w:rsidRPr="004E0502" w14:paraId="5D4DC4BF" w14:textId="77777777" w:rsidTr="00752552">
        <w:trPr>
          <w:cantSplit/>
        </w:trPr>
        <w:tc>
          <w:tcPr>
            <w:tcW w:w="9666" w:type="dxa"/>
            <w:gridSpan w:val="4"/>
          </w:tcPr>
          <w:p w14:paraId="2EBE8053" w14:textId="77777777" w:rsidR="000D1EE4" w:rsidRPr="004E0502" w:rsidRDefault="000D1EE4" w:rsidP="000D1EE4">
            <w:pPr>
              <w:pStyle w:val="Title2"/>
              <w:rPr>
                <w:rtl/>
              </w:rPr>
            </w:pPr>
          </w:p>
        </w:tc>
      </w:tr>
      <w:tr w:rsidR="00E50850" w:rsidRPr="004E0502" w14:paraId="0949B6F6" w14:textId="77777777" w:rsidTr="00752552">
        <w:trPr>
          <w:cantSplit/>
        </w:trPr>
        <w:tc>
          <w:tcPr>
            <w:tcW w:w="9666" w:type="dxa"/>
            <w:gridSpan w:val="4"/>
          </w:tcPr>
          <w:p w14:paraId="0B81B000" w14:textId="7FF544F8" w:rsidR="00E50850" w:rsidRPr="004E0502" w:rsidRDefault="00E50850" w:rsidP="00E50850">
            <w:pPr>
              <w:pStyle w:val="Agendaitem"/>
            </w:pPr>
            <w:r w:rsidRPr="004E0502">
              <w:rPr>
                <w:rtl/>
              </w:rPr>
              <w:t>بند جدول الأعمال</w:t>
            </w:r>
            <w:r w:rsidR="004E0502">
              <w:rPr>
                <w:rFonts w:hint="cs"/>
                <w:rtl/>
              </w:rPr>
              <w:t xml:space="preserve"> 10</w:t>
            </w:r>
          </w:p>
        </w:tc>
      </w:tr>
    </w:tbl>
    <w:p w14:paraId="6BFCAF5D" w14:textId="77777777" w:rsidR="00F1256D" w:rsidRPr="004E0502" w:rsidRDefault="00F1256D" w:rsidP="00387E34">
      <w:pPr>
        <w:rPr>
          <w:rtl/>
        </w:rPr>
      </w:pPr>
      <w:r w:rsidRPr="004E0502">
        <w:rPr>
          <w:lang w:bidi="ar-EG"/>
        </w:rPr>
        <w:t>10</w:t>
      </w:r>
      <w:r w:rsidRPr="004E0502">
        <w:rPr>
          <w:rtl/>
        </w:rPr>
        <w:tab/>
        <w:t xml:space="preserve">تقديم توصيات إلى مجلس الاتحاد بالبنود التي يلزم إدراجها في جدول أعمال المؤتمر العالمي التالي للاتصالات الراديوية وببنود جداول الأعمال الأولية للمؤتمرات اللاحقة، وفقاً للمادة </w:t>
      </w:r>
      <w:r w:rsidRPr="004E0502">
        <w:t>7</w:t>
      </w:r>
      <w:r w:rsidRPr="004E0502">
        <w:rPr>
          <w:rtl/>
        </w:rPr>
        <w:t xml:space="preserve"> من اتفاقية الاتحاد والقرار </w:t>
      </w:r>
      <w:r w:rsidRPr="004E0502">
        <w:rPr>
          <w:b/>
          <w:bCs/>
          <w:iCs/>
        </w:rPr>
        <w:t>(Rev.WRC-19)</w:t>
      </w:r>
      <w:r w:rsidRPr="004E0502">
        <w:rPr>
          <w:b/>
          <w:bCs/>
          <w:iCs/>
          <w:rtl/>
        </w:rPr>
        <w:t xml:space="preserve"> </w:t>
      </w:r>
      <w:r w:rsidRPr="004E0502">
        <w:rPr>
          <w:b/>
          <w:bCs/>
          <w:iCs/>
          <w:lang w:val="en-GB"/>
        </w:rPr>
        <w:t>804</w:t>
      </w:r>
      <w:r w:rsidRPr="004E0502">
        <w:rPr>
          <w:rtl/>
        </w:rPr>
        <w:t>،</w:t>
      </w:r>
    </w:p>
    <w:p w14:paraId="57E0853C" w14:textId="71922CDC" w:rsidR="00417E14" w:rsidRPr="004E0502" w:rsidRDefault="004E0502" w:rsidP="004E0502">
      <w:pPr>
        <w:pStyle w:val="Headingb"/>
        <w:rPr>
          <w:rtl/>
        </w:rPr>
      </w:pPr>
      <w:r>
        <w:rPr>
          <w:rFonts w:hint="cs"/>
          <w:rtl/>
        </w:rPr>
        <w:t>مقدمة</w:t>
      </w:r>
    </w:p>
    <w:p w14:paraId="5FC40054" w14:textId="5EBB3D80" w:rsidR="00DA48B7" w:rsidRDefault="00CA1BEA" w:rsidP="00CA1BEA">
      <w:pPr>
        <w:rPr>
          <w:rtl/>
        </w:rPr>
      </w:pPr>
      <w:r>
        <w:rPr>
          <w:rtl/>
        </w:rPr>
        <w:t>تعتزم بعض الإدارات</w:t>
      </w:r>
      <w:r>
        <w:rPr>
          <w:rFonts w:hint="cs"/>
          <w:rtl/>
        </w:rPr>
        <w:t xml:space="preserve">، </w:t>
      </w:r>
      <w:r w:rsidR="00DA48B7">
        <w:rPr>
          <w:rtl/>
        </w:rPr>
        <w:t>استعداد</w:t>
      </w:r>
      <w:r>
        <w:rPr>
          <w:rFonts w:hint="cs"/>
          <w:rtl/>
        </w:rPr>
        <w:t>اً</w:t>
      </w:r>
      <w:r w:rsidR="00DA48B7">
        <w:rPr>
          <w:rtl/>
        </w:rPr>
        <w:t xml:space="preserve"> للمؤتمر </w:t>
      </w:r>
      <w:r>
        <w:rPr>
          <w:rFonts w:hint="cs"/>
          <w:rtl/>
        </w:rPr>
        <w:t>العالمي للاتصالات الراديوية لعام 2023</w:t>
      </w:r>
      <w:r w:rsidR="00DA48B7">
        <w:rPr>
          <w:rtl/>
        </w:rPr>
        <w:t xml:space="preserve">، اقتراح بند </w:t>
      </w:r>
      <w:r>
        <w:rPr>
          <w:rFonts w:hint="cs"/>
          <w:rtl/>
        </w:rPr>
        <w:t>لإدراجه في</w:t>
      </w:r>
      <w:r w:rsidR="00DA48B7">
        <w:rPr>
          <w:rtl/>
        </w:rPr>
        <w:t xml:space="preserve"> جدول أعمال</w:t>
      </w:r>
      <w:r>
        <w:rPr>
          <w:rFonts w:hint="cs"/>
          <w:rtl/>
        </w:rPr>
        <w:t xml:space="preserve"> مؤتمر</w:t>
      </w:r>
      <w:r w:rsidR="00DA48B7">
        <w:rPr>
          <w:rtl/>
        </w:rPr>
        <w:t xml:space="preserve"> </w:t>
      </w:r>
      <w:r>
        <w:rPr>
          <w:rFonts w:hint="cs"/>
          <w:rtl/>
        </w:rPr>
        <w:t xml:space="preserve">مقبل </w:t>
      </w:r>
      <w:r w:rsidR="00DA48B7">
        <w:rPr>
          <w:rtl/>
        </w:rPr>
        <w:t>للاتصالات الراديوية</w:t>
      </w:r>
      <w:r>
        <w:rPr>
          <w:rFonts w:hint="cs"/>
          <w:rtl/>
        </w:rPr>
        <w:t>، لاستعراض</w:t>
      </w:r>
      <w:r w:rsidR="00DA48B7">
        <w:rPr>
          <w:rtl/>
        </w:rPr>
        <w:t xml:space="preserve"> وتحديث الأحكام التنظيمية للتقاسم بين </w:t>
      </w:r>
      <w:r>
        <w:rPr>
          <w:rFonts w:hint="cs"/>
          <w:rtl/>
        </w:rPr>
        <w:t>ال</w:t>
      </w:r>
      <w:r w:rsidR="00DA48B7">
        <w:rPr>
          <w:rtl/>
        </w:rPr>
        <w:t>أنظمة غير المستقر بالنسبة إلى الأرض و</w:t>
      </w:r>
      <w:r>
        <w:rPr>
          <w:rFonts w:hint="cs"/>
          <w:rtl/>
        </w:rPr>
        <w:t>ال</w:t>
      </w:r>
      <w:r w:rsidR="00DA48B7">
        <w:rPr>
          <w:rtl/>
        </w:rPr>
        <w:t>شبكات المستقر</w:t>
      </w:r>
      <w:r>
        <w:rPr>
          <w:rFonts w:hint="cs"/>
          <w:rtl/>
        </w:rPr>
        <w:t>ة</w:t>
      </w:r>
      <w:r w:rsidR="00DA48B7">
        <w:rPr>
          <w:rtl/>
        </w:rPr>
        <w:t xml:space="preserve"> بالنسبة إلى الأرض</w:t>
      </w:r>
      <w:r>
        <w:rPr>
          <w:rFonts w:hint="cs"/>
          <w:rtl/>
        </w:rPr>
        <w:t xml:space="preserve"> </w:t>
      </w:r>
      <w:r w:rsidR="00DA48B7">
        <w:rPr>
          <w:rtl/>
        </w:rPr>
        <w:t xml:space="preserve">في نطاقات التردد </w:t>
      </w:r>
      <w:r>
        <w:rPr>
          <w:rFonts w:hint="cs"/>
          <w:rtl/>
          <w:lang w:bidi="ar-SY"/>
        </w:rPr>
        <w:t>دون</w:t>
      </w:r>
      <w:r w:rsidR="00DA48B7">
        <w:rPr>
          <w:rtl/>
        </w:rPr>
        <w:t xml:space="preserve"> 30 </w:t>
      </w:r>
      <w:r>
        <w:t>GHz</w:t>
      </w:r>
      <w:r w:rsidR="00DA48B7">
        <w:rPr>
          <w:rtl/>
        </w:rPr>
        <w:t xml:space="preserve"> والتي تنطبق عليها حدود كثافة تدفق القدرة (</w:t>
      </w:r>
      <w:proofErr w:type="spellStart"/>
      <w:r w:rsidR="00DA48B7">
        <w:t>epfd</w:t>
      </w:r>
      <w:proofErr w:type="spellEnd"/>
      <w:r w:rsidR="00DA48B7">
        <w:rPr>
          <w:rtl/>
        </w:rPr>
        <w:t xml:space="preserve">) </w:t>
      </w:r>
      <w:r>
        <w:rPr>
          <w:rFonts w:hint="cs"/>
          <w:rtl/>
        </w:rPr>
        <w:t>المنصوص عليها في</w:t>
      </w:r>
      <w:r w:rsidR="00DA48B7">
        <w:rPr>
          <w:rtl/>
        </w:rPr>
        <w:t xml:space="preserve"> المادة </w:t>
      </w:r>
      <w:r w:rsidR="00DA48B7" w:rsidRPr="00CA1BEA">
        <w:rPr>
          <w:b/>
          <w:bCs/>
          <w:rtl/>
        </w:rPr>
        <w:t>22</w:t>
      </w:r>
      <w:r w:rsidR="00DA48B7">
        <w:rPr>
          <w:rtl/>
        </w:rPr>
        <w:t xml:space="preserve"> من لوائح الراديو</w:t>
      </w:r>
      <w:r>
        <w:rPr>
          <w:rFonts w:hint="cs"/>
          <w:rtl/>
        </w:rPr>
        <w:t xml:space="preserve">. </w:t>
      </w:r>
    </w:p>
    <w:p w14:paraId="68C10AB3" w14:textId="39669E6E" w:rsidR="004E0502" w:rsidRDefault="00CA1BEA" w:rsidP="00DA48B7">
      <w:r>
        <w:rPr>
          <w:rFonts w:hint="cs"/>
          <w:rtl/>
        </w:rPr>
        <w:t>و</w:t>
      </w:r>
      <w:r w:rsidR="00DA48B7">
        <w:rPr>
          <w:rtl/>
        </w:rPr>
        <w:t xml:space="preserve">وضع المؤتمر العالمي للاتصالات الراديوية لعام 2000، في إطار البند 13.1 من جدول أعماله، الحدود الإجمالية لكثافة تدفق </w:t>
      </w:r>
      <w:proofErr w:type="spellStart"/>
      <w:r w:rsidR="00DA48B7">
        <w:rPr>
          <w:rtl/>
        </w:rPr>
        <w:t>تدفق</w:t>
      </w:r>
      <w:proofErr w:type="spellEnd"/>
      <w:r w:rsidR="00DA48B7">
        <w:rPr>
          <w:rtl/>
        </w:rPr>
        <w:t xml:space="preserve"> </w:t>
      </w:r>
      <w:r w:rsidR="00025854">
        <w:rPr>
          <w:rFonts w:hint="cs"/>
          <w:rtl/>
        </w:rPr>
        <w:t>القدرة (</w:t>
      </w:r>
      <w:proofErr w:type="spellStart"/>
      <w:r w:rsidR="00025854" w:rsidRPr="00A63FCB">
        <w:t>epfd</w:t>
      </w:r>
      <w:proofErr w:type="spellEnd"/>
      <w:r w:rsidR="00025854">
        <w:rPr>
          <w:rFonts w:hint="cs"/>
          <w:rtl/>
        </w:rPr>
        <w:t>)</w:t>
      </w:r>
      <w:r w:rsidR="00DA48B7">
        <w:rPr>
          <w:rtl/>
        </w:rPr>
        <w:t xml:space="preserve"> الواردة في القرار </w:t>
      </w:r>
      <w:r w:rsidR="00DA48B7" w:rsidRPr="00F0550A">
        <w:rPr>
          <w:b/>
          <w:bCs/>
          <w:rtl/>
        </w:rPr>
        <w:t>(</w:t>
      </w:r>
      <w:r w:rsidR="00DA48B7" w:rsidRPr="00F0550A">
        <w:rPr>
          <w:b/>
          <w:bCs/>
        </w:rPr>
        <w:t>Rev.WRC-15</w:t>
      </w:r>
      <w:r w:rsidR="00DA48B7" w:rsidRPr="00F0550A">
        <w:rPr>
          <w:b/>
          <w:bCs/>
          <w:rtl/>
        </w:rPr>
        <w:t xml:space="preserve">) </w:t>
      </w:r>
      <w:r w:rsidRPr="00F0550A">
        <w:rPr>
          <w:b/>
          <w:bCs/>
          <w:rtl/>
        </w:rPr>
        <w:t>76</w:t>
      </w:r>
      <w:r w:rsidR="00F0550A">
        <w:rPr>
          <w:rFonts w:hint="cs"/>
          <w:rtl/>
        </w:rPr>
        <w:t xml:space="preserve">، </w:t>
      </w:r>
      <w:r w:rsidR="00DA48B7">
        <w:rPr>
          <w:rtl/>
        </w:rPr>
        <w:t xml:space="preserve">وحدود </w:t>
      </w:r>
      <w:r w:rsidR="00F0550A">
        <w:rPr>
          <w:rFonts w:hint="cs"/>
          <w:rtl/>
        </w:rPr>
        <w:t>كثافة تدفق القدرة</w:t>
      </w:r>
      <w:r w:rsidR="00DA48B7">
        <w:rPr>
          <w:rtl/>
        </w:rPr>
        <w:t xml:space="preserve"> </w:t>
      </w:r>
      <w:r w:rsidR="00F0550A">
        <w:rPr>
          <w:rFonts w:hint="cs"/>
          <w:rtl/>
        </w:rPr>
        <w:t>لمصدر وحيد</w:t>
      </w:r>
      <w:r w:rsidR="00DA48B7">
        <w:rPr>
          <w:rtl/>
        </w:rPr>
        <w:t xml:space="preserve"> الواردة في المادة </w:t>
      </w:r>
      <w:r w:rsidR="00DA48B7" w:rsidRPr="00F0550A">
        <w:rPr>
          <w:b/>
          <w:bCs/>
          <w:rtl/>
        </w:rPr>
        <w:t>22</w:t>
      </w:r>
      <w:r w:rsidR="00DA48B7">
        <w:rPr>
          <w:rtl/>
        </w:rPr>
        <w:t xml:space="preserve"> من لوائح الراديو، السارية حالياً كشروط إلزامية للأنظمة غير المستقرة بالنسبة إلى الأرض ذات الصلة. و</w:t>
      </w:r>
      <w:r w:rsidR="00F0550A">
        <w:rPr>
          <w:rFonts w:hint="cs"/>
          <w:rtl/>
        </w:rPr>
        <w:t xml:space="preserve">قد </w:t>
      </w:r>
      <w:r w:rsidR="00DA48B7">
        <w:rPr>
          <w:rtl/>
        </w:rPr>
        <w:t xml:space="preserve">كانت حدود كثافة تدفق القدرة </w:t>
      </w:r>
      <w:r w:rsidR="00025854">
        <w:rPr>
          <w:rFonts w:hint="cs"/>
          <w:rtl/>
        </w:rPr>
        <w:t>(</w:t>
      </w:r>
      <w:proofErr w:type="spellStart"/>
      <w:r w:rsidR="00025854" w:rsidRPr="00A63FCB">
        <w:t>epfd</w:t>
      </w:r>
      <w:proofErr w:type="spellEnd"/>
      <w:r w:rsidR="00025854">
        <w:rPr>
          <w:rFonts w:hint="cs"/>
          <w:rtl/>
        </w:rPr>
        <w:t xml:space="preserve">) </w:t>
      </w:r>
      <w:r w:rsidR="00DA48B7">
        <w:rPr>
          <w:rtl/>
        </w:rPr>
        <w:t xml:space="preserve">هذه ضرورية </w:t>
      </w:r>
      <w:r w:rsidR="00F0550A">
        <w:rPr>
          <w:rFonts w:hint="cs"/>
          <w:rtl/>
        </w:rPr>
        <w:t>لوضع</w:t>
      </w:r>
      <w:r w:rsidR="00DA48B7">
        <w:rPr>
          <w:rtl/>
        </w:rPr>
        <w:t xml:space="preserve"> آلية تنظيمية لضمان حماية </w:t>
      </w:r>
      <w:r w:rsidR="00F0550A">
        <w:rPr>
          <w:rFonts w:hint="cs"/>
          <w:rtl/>
        </w:rPr>
        <w:t>ال</w:t>
      </w:r>
      <w:r w:rsidR="00DA48B7">
        <w:rPr>
          <w:rtl/>
        </w:rPr>
        <w:t xml:space="preserve">شبكات المستقرة بالنسبة إلى الأرض </w:t>
      </w:r>
      <w:r w:rsidR="00F0550A">
        <w:rPr>
          <w:rFonts w:hint="cs"/>
          <w:rtl/>
        </w:rPr>
        <w:t>في ا</w:t>
      </w:r>
      <w:r w:rsidR="00F0550A">
        <w:rPr>
          <w:rtl/>
        </w:rPr>
        <w:t>لخدمة الثابتة الساتلية</w:t>
      </w:r>
      <w:r w:rsidR="00DA48B7">
        <w:rPr>
          <w:rtl/>
        </w:rPr>
        <w:t>/الخدمة الإذاعية الساتلية</w:t>
      </w:r>
      <w:r w:rsidR="00F0550A">
        <w:rPr>
          <w:rFonts w:hint="cs"/>
          <w:rtl/>
        </w:rPr>
        <w:t xml:space="preserve"> </w:t>
      </w:r>
      <w:r w:rsidR="00DA48B7">
        <w:rPr>
          <w:rtl/>
        </w:rPr>
        <w:t xml:space="preserve">من التداخل الكلي الأقصى </w:t>
      </w:r>
      <w:r w:rsidR="00F0550A">
        <w:rPr>
          <w:rFonts w:hint="cs"/>
          <w:rtl/>
        </w:rPr>
        <w:t>الناجم</w:t>
      </w:r>
      <w:r w:rsidR="00DA48B7">
        <w:rPr>
          <w:rtl/>
        </w:rPr>
        <w:t xml:space="preserve"> عن </w:t>
      </w:r>
      <w:r w:rsidR="00F0550A">
        <w:rPr>
          <w:rFonts w:hint="cs"/>
          <w:rtl/>
        </w:rPr>
        <w:t>ال</w:t>
      </w:r>
      <w:r w:rsidR="00DA48B7">
        <w:rPr>
          <w:rtl/>
        </w:rPr>
        <w:t xml:space="preserve">أنظمة المتعددة غير المستقرة بالنسبة إلى الأرض </w:t>
      </w:r>
      <w:r w:rsidR="00F0550A">
        <w:rPr>
          <w:rFonts w:hint="cs"/>
          <w:rtl/>
        </w:rPr>
        <w:t>في ا</w:t>
      </w:r>
      <w:r w:rsidR="00F0550A">
        <w:rPr>
          <w:rtl/>
        </w:rPr>
        <w:t>لخدمة الثابتة الساتلية</w:t>
      </w:r>
      <w:r w:rsidR="00F0550A">
        <w:rPr>
          <w:rFonts w:hint="cs"/>
          <w:rtl/>
        </w:rPr>
        <w:t xml:space="preserve"> </w:t>
      </w:r>
      <w:r w:rsidR="00DA48B7">
        <w:rPr>
          <w:rtl/>
        </w:rPr>
        <w:t xml:space="preserve">في نطاقات التردد </w:t>
      </w:r>
      <w:r w:rsidR="00F0550A">
        <w:rPr>
          <w:rFonts w:hint="cs"/>
          <w:rtl/>
        </w:rPr>
        <w:t>التي اعتمدت فيها</w:t>
      </w:r>
      <w:r w:rsidR="00DA48B7">
        <w:rPr>
          <w:rtl/>
        </w:rPr>
        <w:t xml:space="preserve"> حدود كثافة تدفق القدرة</w:t>
      </w:r>
      <w:r w:rsidR="00025854">
        <w:rPr>
          <w:rFonts w:hint="cs"/>
          <w:rtl/>
        </w:rPr>
        <w:t xml:space="preserve"> (</w:t>
      </w:r>
      <w:proofErr w:type="spellStart"/>
      <w:r w:rsidR="00025854" w:rsidRPr="00A63FCB">
        <w:t>epfd</w:t>
      </w:r>
      <w:proofErr w:type="spellEnd"/>
      <w:r w:rsidR="00025854">
        <w:rPr>
          <w:rFonts w:hint="cs"/>
          <w:rtl/>
        </w:rPr>
        <w:t>)</w:t>
      </w:r>
      <w:r w:rsidR="00DA48B7">
        <w:rPr>
          <w:rtl/>
        </w:rPr>
        <w:t xml:space="preserve">. </w:t>
      </w:r>
      <w:r w:rsidR="00F0550A">
        <w:rPr>
          <w:rFonts w:hint="cs"/>
          <w:rtl/>
        </w:rPr>
        <w:t>ونظراً</w:t>
      </w:r>
      <w:r w:rsidR="00DA48B7">
        <w:rPr>
          <w:rtl/>
        </w:rPr>
        <w:t xml:space="preserve"> </w:t>
      </w:r>
      <w:r w:rsidR="00F0550A">
        <w:rPr>
          <w:rFonts w:hint="cs"/>
          <w:rtl/>
        </w:rPr>
        <w:t>ل</w:t>
      </w:r>
      <w:r w:rsidR="00DA48B7">
        <w:rPr>
          <w:rtl/>
        </w:rPr>
        <w:t xml:space="preserve">لإجراءات التفصيلية لتحديد تلك الحدود (انظر القسم 2.1.3 من تقرير الاجتماع التحضيري للمؤتمر </w:t>
      </w:r>
      <w:r w:rsidR="00F0550A">
        <w:t>WRC-2000</w:t>
      </w:r>
      <w:r w:rsidR="00F0550A">
        <w:rPr>
          <w:rFonts w:hint="cs"/>
          <w:rtl/>
          <w:lang w:bidi="ar-SY"/>
        </w:rPr>
        <w:t>)</w:t>
      </w:r>
      <w:r w:rsidR="00DA48B7">
        <w:rPr>
          <w:rtl/>
        </w:rPr>
        <w:t xml:space="preserve"> </w:t>
      </w:r>
      <w:r w:rsidR="00DA48B7">
        <w:t>(</w:t>
      </w:r>
      <w:hyperlink r:id="rId15" w:history="1">
        <w:r w:rsidR="00DA48B7" w:rsidRPr="00F0550A">
          <w:rPr>
            <w:rStyle w:val="Hyperlink"/>
            <w:rFonts w:ascii="Dubai" w:hAnsi="Dubai" w:cs="Dubai"/>
          </w:rPr>
          <w:t>https://www.itu.int/itudoc/itu-r/archives/rsg/1998-00/report99 /cpmrep-e.html</w:t>
        </w:r>
      </w:hyperlink>
      <w:r w:rsidR="00DA48B7">
        <w:t>)</w:t>
      </w:r>
      <w:r w:rsidR="00DA48B7">
        <w:rPr>
          <w:rtl/>
        </w:rPr>
        <w:t>))، ليس من المناسب مجرد مقارنة أقنعة حدود</w:t>
      </w:r>
      <w:r w:rsidR="00F0550A">
        <w:rPr>
          <w:rFonts w:hint="cs"/>
          <w:rtl/>
        </w:rPr>
        <w:t xml:space="preserve"> </w:t>
      </w:r>
      <w:proofErr w:type="spellStart"/>
      <w:r w:rsidR="00F0550A">
        <w:rPr>
          <w:rFonts w:hint="cs"/>
          <w:rtl/>
        </w:rPr>
        <w:t>كثاقة</w:t>
      </w:r>
      <w:proofErr w:type="spellEnd"/>
      <w:r w:rsidR="00F0550A">
        <w:rPr>
          <w:rFonts w:hint="cs"/>
          <w:rtl/>
        </w:rPr>
        <w:t xml:space="preserve"> تدفق القدرة</w:t>
      </w:r>
      <w:r w:rsidR="00DA48B7">
        <w:rPr>
          <w:rtl/>
        </w:rPr>
        <w:t xml:space="preserve"> </w:t>
      </w:r>
      <w:proofErr w:type="spellStart"/>
      <w:r w:rsidR="00DA48B7">
        <w:t>epfd</w:t>
      </w:r>
      <w:proofErr w:type="spellEnd"/>
      <w:r w:rsidR="00DA48B7">
        <w:rPr>
          <w:rFonts w:ascii="Arial" w:hAnsi="Arial" w:cs="Arial" w:hint="cs"/>
          <w:rtl/>
        </w:rPr>
        <w:t>↓</w:t>
      </w:r>
      <w:r w:rsidR="00DA48B7">
        <w:rPr>
          <w:rtl/>
        </w:rPr>
        <w:t xml:space="preserve"> </w:t>
      </w:r>
      <w:r w:rsidR="00F0550A">
        <w:rPr>
          <w:rFonts w:hint="cs"/>
          <w:rtl/>
        </w:rPr>
        <w:t>لمصدر وحيد</w:t>
      </w:r>
      <w:r w:rsidR="00DA48B7">
        <w:rPr>
          <w:rtl/>
        </w:rPr>
        <w:t xml:space="preserve"> </w:t>
      </w:r>
      <w:r w:rsidR="00DA48B7">
        <w:rPr>
          <w:rFonts w:hint="cs"/>
          <w:rtl/>
        </w:rPr>
        <w:t>مع</w:t>
      </w:r>
      <w:r w:rsidR="00DA48B7">
        <w:rPr>
          <w:rtl/>
        </w:rPr>
        <w:t xml:space="preserve"> </w:t>
      </w:r>
      <w:r w:rsidR="00DA48B7">
        <w:rPr>
          <w:rFonts w:hint="cs"/>
          <w:rtl/>
        </w:rPr>
        <w:t>بعض</w:t>
      </w:r>
      <w:r w:rsidR="00DA48B7">
        <w:rPr>
          <w:rtl/>
        </w:rPr>
        <w:t xml:space="preserve"> </w:t>
      </w:r>
      <w:r w:rsidR="00DA48B7">
        <w:rPr>
          <w:rFonts w:hint="cs"/>
          <w:rtl/>
        </w:rPr>
        <w:t>معايير</w:t>
      </w:r>
      <w:r w:rsidR="00DA48B7">
        <w:rPr>
          <w:rtl/>
        </w:rPr>
        <w:t xml:space="preserve"> </w:t>
      </w:r>
      <w:r w:rsidR="00DA48B7">
        <w:rPr>
          <w:rFonts w:hint="cs"/>
          <w:rtl/>
        </w:rPr>
        <w:t>الحماية</w:t>
      </w:r>
      <w:r w:rsidR="00DA48B7">
        <w:rPr>
          <w:rtl/>
        </w:rPr>
        <w:t xml:space="preserve"> </w:t>
      </w:r>
      <w:r w:rsidR="00DA48B7">
        <w:rPr>
          <w:rFonts w:hint="cs"/>
          <w:rtl/>
        </w:rPr>
        <w:t>شائعة</w:t>
      </w:r>
      <w:r w:rsidR="00DA48B7">
        <w:rPr>
          <w:rtl/>
        </w:rPr>
        <w:t xml:space="preserve"> </w:t>
      </w:r>
      <w:r w:rsidR="00DA48B7">
        <w:rPr>
          <w:rFonts w:hint="cs"/>
          <w:rtl/>
        </w:rPr>
        <w:t>الاستخدام</w:t>
      </w:r>
      <w:r w:rsidR="00DA48B7">
        <w:rPr>
          <w:rtl/>
        </w:rPr>
        <w:t xml:space="preserve"> </w:t>
      </w:r>
      <w:r w:rsidR="00DA48B7">
        <w:rPr>
          <w:rFonts w:hint="cs"/>
          <w:rtl/>
        </w:rPr>
        <w:t>لشبكات</w:t>
      </w:r>
      <w:r w:rsidR="00DA48B7">
        <w:rPr>
          <w:rtl/>
        </w:rPr>
        <w:t xml:space="preserve"> </w:t>
      </w:r>
      <w:r w:rsidR="00F0550A">
        <w:rPr>
          <w:rFonts w:hint="cs"/>
          <w:rtl/>
        </w:rPr>
        <w:t>ال</w:t>
      </w:r>
      <w:r w:rsidR="00F0550A">
        <w:rPr>
          <w:rtl/>
        </w:rPr>
        <w:t xml:space="preserve">شبكات المستقرة بالنسبة إلى الأرض </w:t>
      </w:r>
      <w:r w:rsidR="00F0550A">
        <w:rPr>
          <w:rFonts w:hint="cs"/>
          <w:rtl/>
        </w:rPr>
        <w:t>في ا</w:t>
      </w:r>
      <w:r w:rsidR="00F0550A">
        <w:rPr>
          <w:rtl/>
        </w:rPr>
        <w:t>لخدمة الثابتة الساتلية/الخدمة الإذاعية الساتلية</w:t>
      </w:r>
      <w:r w:rsidR="00DA48B7">
        <w:rPr>
          <w:rtl/>
        </w:rPr>
        <w:t xml:space="preserve">، مثل التوصية </w:t>
      </w:r>
      <w:r w:rsidR="00DA48B7">
        <w:t>ITU-R S.1432</w:t>
      </w:r>
      <w:r w:rsidR="00F0550A">
        <w:rPr>
          <w:rFonts w:hint="cs"/>
          <w:rtl/>
        </w:rPr>
        <w:t xml:space="preserve">، </w:t>
      </w:r>
      <w:r w:rsidR="00DA48B7">
        <w:rPr>
          <w:rtl/>
        </w:rPr>
        <w:t>وما إلى ذلك.</w:t>
      </w:r>
      <w:r w:rsidR="004E0502" w:rsidRPr="004E0502">
        <w:rPr>
          <w:rtl/>
        </w:rPr>
        <w:t xml:space="preserve"> </w:t>
      </w:r>
      <w:r w:rsidR="004E0502" w:rsidRPr="00B267C9">
        <w:rPr>
          <w:rtl/>
        </w:rPr>
        <w:t>وفي هذا الصدد، فإن الحدود الحالية لكثافة تدفق القدرة المكافئة</w:t>
      </w:r>
      <w:r w:rsidR="00025854">
        <w:rPr>
          <w:rFonts w:hint="cs"/>
          <w:rtl/>
        </w:rPr>
        <w:t xml:space="preserve"> (</w:t>
      </w:r>
      <w:proofErr w:type="spellStart"/>
      <w:r w:rsidR="00025854" w:rsidRPr="00A63FCB">
        <w:t>epfd</w:t>
      </w:r>
      <w:proofErr w:type="spellEnd"/>
      <w:r w:rsidR="00025854">
        <w:rPr>
          <w:rFonts w:hint="cs"/>
          <w:rtl/>
        </w:rPr>
        <w:t xml:space="preserve">) </w:t>
      </w:r>
      <w:r w:rsidR="004E0502" w:rsidRPr="00B267C9">
        <w:rPr>
          <w:rtl/>
        </w:rPr>
        <w:t xml:space="preserve">الواردة في القرار 76 (Rev.WRC-15) والمادة </w:t>
      </w:r>
      <w:r w:rsidR="004E0502" w:rsidRPr="00F0550A">
        <w:rPr>
          <w:b/>
          <w:bCs/>
          <w:rtl/>
        </w:rPr>
        <w:t>22</w:t>
      </w:r>
      <w:r w:rsidR="004E0502" w:rsidRPr="00B267C9">
        <w:rPr>
          <w:rtl/>
        </w:rPr>
        <w:t xml:space="preserve"> من لوائح الراديو كافية دون شك لتوفير الحماية الكافية لشبكات الخدمة الثابتة الساتلية/الخدمة الإذاعية الساتلية المستقرة بالنسبة إلى الأرض من جميع أنظمة الخدمة الثابتة الساتلية غير المستقرة بالنسبة إلى الأرض، التي تحتاج كل</w:t>
      </w:r>
      <w:r w:rsidR="004E0502" w:rsidRPr="00B267C9">
        <w:rPr>
          <w:rFonts w:hint="cs"/>
          <w:rtl/>
        </w:rPr>
        <w:t xml:space="preserve"> منها</w:t>
      </w:r>
      <w:r w:rsidR="004E0502" w:rsidRPr="00B267C9">
        <w:rPr>
          <w:rtl/>
        </w:rPr>
        <w:t xml:space="preserve"> على حدة إلى الوفاء بالحدود المنصوص عليها في </w:t>
      </w:r>
      <w:r w:rsidR="004E0502" w:rsidRPr="00B267C9">
        <w:rPr>
          <w:rtl/>
        </w:rPr>
        <w:lastRenderedPageBreak/>
        <w:t xml:space="preserve">المادة </w:t>
      </w:r>
      <w:r w:rsidR="004E0502" w:rsidRPr="00F0550A">
        <w:rPr>
          <w:b/>
          <w:bCs/>
          <w:rtl/>
        </w:rPr>
        <w:t>22</w:t>
      </w:r>
      <w:r w:rsidR="004E0502" w:rsidRPr="00B267C9">
        <w:rPr>
          <w:rtl/>
        </w:rPr>
        <w:t xml:space="preserve"> من لوائح الراديو، وخاصة الرقم </w:t>
      </w:r>
      <w:r w:rsidR="004E0502" w:rsidRPr="00983D74">
        <w:rPr>
          <w:b/>
          <w:bCs/>
          <w:rtl/>
        </w:rPr>
        <w:t>2.22</w:t>
      </w:r>
      <w:r w:rsidR="004E0502" w:rsidRPr="00B267C9">
        <w:rPr>
          <w:rtl/>
        </w:rPr>
        <w:t xml:space="preserve"> من لوائح الراديو من حيث المبدأ، مع السماح بالمرونة المعقولة للأنظمة غير المستقرة بالنسبة إلى الأرض في الخدمة الثابتة الساتلية.</w:t>
      </w:r>
    </w:p>
    <w:p w14:paraId="2DD6771C" w14:textId="5020AE54" w:rsidR="00C45930" w:rsidRDefault="00983D74" w:rsidP="00E56BD6">
      <w:r>
        <w:rPr>
          <w:rFonts w:hint="cs"/>
          <w:rtl/>
        </w:rPr>
        <w:t xml:space="preserve">ووضع </w:t>
      </w:r>
      <w:r w:rsidR="00816072" w:rsidRPr="00816072">
        <w:rPr>
          <w:rtl/>
        </w:rPr>
        <w:t xml:space="preserve">المؤتمر </w:t>
      </w:r>
      <w:r>
        <w:t>WRC-19</w:t>
      </w:r>
      <w:r>
        <w:rPr>
          <w:rFonts w:hint="cs"/>
          <w:rtl/>
          <w:lang w:val="fr-CH" w:bidi="ar-SY"/>
        </w:rPr>
        <w:t xml:space="preserve"> </w:t>
      </w:r>
      <w:r w:rsidR="00816072" w:rsidRPr="00816072">
        <w:rPr>
          <w:rtl/>
        </w:rPr>
        <w:t xml:space="preserve">إطار تشارك مختلف قليلاً لنطاقي </w:t>
      </w:r>
      <w:r w:rsidR="00816072" w:rsidRPr="00816072">
        <w:t>Q/V</w:t>
      </w:r>
      <w:r w:rsidR="00816072" w:rsidRPr="00816072">
        <w:rPr>
          <w:rtl/>
        </w:rPr>
        <w:t xml:space="preserve">، مثل الرقمين </w:t>
      </w:r>
      <w:r w:rsidRPr="00983D74">
        <w:rPr>
          <w:b/>
          <w:bCs/>
        </w:rPr>
        <w:t>5L.22</w:t>
      </w:r>
      <w:r w:rsidRPr="00983D74">
        <w:rPr>
          <w:rFonts w:hint="cs"/>
          <w:b/>
          <w:bCs/>
          <w:rtl/>
          <w:lang w:bidi="ar-SY"/>
        </w:rPr>
        <w:t xml:space="preserve"> </w:t>
      </w:r>
      <w:r>
        <w:rPr>
          <w:rFonts w:hint="cs"/>
          <w:rtl/>
          <w:lang w:bidi="ar-SY"/>
        </w:rPr>
        <w:t>و</w:t>
      </w:r>
      <w:r w:rsidRPr="00983D74">
        <w:rPr>
          <w:b/>
          <w:bCs/>
          <w:lang w:val="fr-CH" w:bidi="ar-SY"/>
        </w:rPr>
        <w:t>5M.22</w:t>
      </w:r>
      <w:r w:rsidR="00816072" w:rsidRPr="00983D74">
        <w:rPr>
          <w:b/>
          <w:bCs/>
          <w:rtl/>
        </w:rPr>
        <w:t xml:space="preserve"> </w:t>
      </w:r>
      <w:r w:rsidR="00816072" w:rsidRPr="00816072">
        <w:rPr>
          <w:rtl/>
        </w:rPr>
        <w:t xml:space="preserve">من لوائح الراديو </w:t>
      </w:r>
      <w:proofErr w:type="gramStart"/>
      <w:r w:rsidR="00816072" w:rsidRPr="00816072">
        <w:rPr>
          <w:rtl/>
        </w:rPr>
        <w:t>والقرارين</w:t>
      </w:r>
      <w:r>
        <w:t xml:space="preserve"> </w:t>
      </w:r>
      <w:r>
        <w:rPr>
          <w:rFonts w:hint="cs"/>
          <w:rtl/>
          <w:lang w:val="fr-CH" w:bidi="ar-SY"/>
        </w:rPr>
        <w:t xml:space="preserve"> المرتبطين</w:t>
      </w:r>
      <w:proofErr w:type="gramEnd"/>
      <w:r>
        <w:rPr>
          <w:rFonts w:hint="cs"/>
          <w:rtl/>
          <w:lang w:val="fr-CH" w:bidi="ar-SY"/>
        </w:rPr>
        <w:t xml:space="preserve"> بهما</w:t>
      </w:r>
      <w:r w:rsidR="00816072" w:rsidRPr="00816072">
        <w:rPr>
          <w:rtl/>
        </w:rPr>
        <w:t xml:space="preserve"> </w:t>
      </w:r>
      <w:r w:rsidR="00816072" w:rsidRPr="00983D74">
        <w:rPr>
          <w:b/>
          <w:bCs/>
          <w:rtl/>
        </w:rPr>
        <w:t>(</w:t>
      </w:r>
      <w:r w:rsidR="00816072" w:rsidRPr="00983D74">
        <w:rPr>
          <w:b/>
          <w:bCs/>
        </w:rPr>
        <w:t>WRC-19</w:t>
      </w:r>
      <w:r w:rsidR="00816072" w:rsidRPr="00983D74">
        <w:rPr>
          <w:b/>
          <w:bCs/>
          <w:rtl/>
        </w:rPr>
        <w:t xml:space="preserve">) </w:t>
      </w:r>
      <w:r w:rsidRPr="00983D74">
        <w:rPr>
          <w:b/>
          <w:bCs/>
          <w:rtl/>
        </w:rPr>
        <w:t>770</w:t>
      </w:r>
      <w:r w:rsidRPr="00816072">
        <w:rPr>
          <w:rtl/>
        </w:rPr>
        <w:t xml:space="preserve"> </w:t>
      </w:r>
      <w:r w:rsidR="00816072" w:rsidRPr="00816072">
        <w:rPr>
          <w:rtl/>
        </w:rPr>
        <w:t>و</w:t>
      </w:r>
      <w:r w:rsidR="00816072" w:rsidRPr="00983D74">
        <w:rPr>
          <w:b/>
          <w:bCs/>
          <w:rtl/>
        </w:rPr>
        <w:t>(</w:t>
      </w:r>
      <w:r w:rsidR="00816072" w:rsidRPr="00983D74">
        <w:rPr>
          <w:b/>
          <w:bCs/>
        </w:rPr>
        <w:t>WRC-19</w:t>
      </w:r>
      <w:r w:rsidR="00816072" w:rsidRPr="00983D74">
        <w:rPr>
          <w:b/>
          <w:bCs/>
          <w:rtl/>
        </w:rPr>
        <w:t>)</w:t>
      </w:r>
      <w:r w:rsidRPr="00983D74">
        <w:rPr>
          <w:b/>
          <w:bCs/>
          <w:rtl/>
        </w:rPr>
        <w:t xml:space="preserve"> 769</w:t>
      </w:r>
      <w:r>
        <w:rPr>
          <w:rFonts w:hint="cs"/>
          <w:rtl/>
        </w:rPr>
        <w:t xml:space="preserve">. ومع ذلك، فإن </w:t>
      </w:r>
      <w:r w:rsidR="00816072" w:rsidRPr="00816072">
        <w:rPr>
          <w:rtl/>
        </w:rPr>
        <w:t xml:space="preserve">القسم 4.2.3 ("بشأن التردد خارج المدى </w:t>
      </w:r>
      <w:r w:rsidR="00816072" w:rsidRPr="00816072">
        <w:t>GHz 30-10</w:t>
      </w:r>
      <w:r w:rsidR="00816072" w:rsidRPr="00816072">
        <w:rPr>
          <w:rtl/>
        </w:rPr>
        <w:t xml:space="preserve">") من التقرير النهائي للاجتماع التحضيري للمؤتمر </w:t>
      </w:r>
      <w:r>
        <w:t>WRC-2000</w:t>
      </w:r>
      <w:r>
        <w:rPr>
          <w:rFonts w:hint="cs"/>
          <w:rtl/>
          <w:lang w:bidi="ar-SY"/>
        </w:rPr>
        <w:t>، أشار إلى</w:t>
      </w:r>
      <w:r w:rsidR="00816072" w:rsidRPr="00816072">
        <w:rPr>
          <w:rtl/>
        </w:rPr>
        <w:t xml:space="preserve"> ما يلي</w:t>
      </w:r>
      <w:r>
        <w:rPr>
          <w:rFonts w:hint="cs"/>
          <w:rtl/>
        </w:rPr>
        <w:t>:</w:t>
      </w:r>
    </w:p>
    <w:p w14:paraId="56FBC641" w14:textId="434E0FD2" w:rsidR="004E0502" w:rsidRPr="006334DB" w:rsidRDefault="00C9761E" w:rsidP="00C9761E">
      <w:pPr>
        <w:rPr>
          <w:b/>
          <w:bCs/>
          <w:i/>
          <w:iCs/>
          <w:u w:val="single"/>
        </w:rPr>
      </w:pPr>
      <w:r w:rsidRPr="006334DB">
        <w:rPr>
          <w:b/>
          <w:bCs/>
          <w:i/>
          <w:iCs/>
          <w:u w:val="single"/>
          <w:rtl/>
        </w:rPr>
        <w:t>اقتباس</w:t>
      </w:r>
    </w:p>
    <w:p w14:paraId="76FB9281" w14:textId="78D5D807" w:rsidR="00C9761E" w:rsidRPr="006334DB" w:rsidRDefault="00C9761E" w:rsidP="00C9761E">
      <w:pPr>
        <w:rPr>
          <w:rtl/>
        </w:rPr>
      </w:pPr>
      <w:r w:rsidRPr="006334DB">
        <w:rPr>
          <w:rtl/>
        </w:rPr>
        <w:t>هناك اختلافات أساسية بين الوضع في نطاقات الخدمة الثابتة الساتلية</w:t>
      </w:r>
      <w:r w:rsidRPr="006334DB">
        <w:rPr>
          <w:rFonts w:hint="cs"/>
          <w:rtl/>
        </w:rPr>
        <w:t xml:space="preserve"> 10-30</w:t>
      </w:r>
      <w:r w:rsidRPr="006334DB">
        <w:rPr>
          <w:rtl/>
        </w:rPr>
        <w:t xml:space="preserve"> </w:t>
      </w:r>
      <w:proofErr w:type="gramStart"/>
      <w:r w:rsidRPr="006334DB">
        <w:t xml:space="preserve">GHz </w:t>
      </w:r>
      <w:r w:rsidRPr="006334DB">
        <w:rPr>
          <w:rFonts w:hint="cs"/>
          <w:rtl/>
        </w:rPr>
        <w:t xml:space="preserve"> </w:t>
      </w:r>
      <w:r w:rsidRPr="006334DB">
        <w:rPr>
          <w:rtl/>
        </w:rPr>
        <w:t>المحددة</w:t>
      </w:r>
      <w:proofErr w:type="gramEnd"/>
      <w:r w:rsidRPr="006334DB">
        <w:rPr>
          <w:rtl/>
        </w:rPr>
        <w:t xml:space="preserve"> في القرار 130 (</w:t>
      </w:r>
      <w:r w:rsidRPr="006334DB">
        <w:t>WRC97</w:t>
      </w:r>
      <w:r w:rsidRPr="006334DB">
        <w:rPr>
          <w:rtl/>
        </w:rPr>
        <w:t xml:space="preserve">) حيث </w:t>
      </w:r>
      <w:r w:rsidRPr="006334DB">
        <w:rPr>
          <w:rFonts w:hint="cs"/>
          <w:rtl/>
        </w:rPr>
        <w:t>تجري</w:t>
      </w:r>
      <w:r w:rsidRPr="006334DB">
        <w:rPr>
          <w:rtl/>
        </w:rPr>
        <w:t xml:space="preserve"> إضافة مفهوم خدمة الخدمة الثابتة الساتلية غير المستقرة بالنسبة إلى الأرض إلى الخدمة الثابتة الساتلية القائمة و/أو الوشيكة و</w:t>
      </w:r>
      <w:r w:rsidRPr="006334DB">
        <w:rPr>
          <w:rFonts w:hint="cs"/>
          <w:rtl/>
        </w:rPr>
        <w:t xml:space="preserve">إلى </w:t>
      </w:r>
      <w:r w:rsidRPr="006334DB">
        <w:rPr>
          <w:rtl/>
        </w:rPr>
        <w:t>النطاقات الأخرى التي بدأت تظهر فيها الآن أنظمة الخدمة الثابتة الساتلية المستقرة وغير المستقرة بالنسبة إلى الأرض. وفي نطاقات</w:t>
      </w:r>
      <w:r w:rsidRPr="006334DB">
        <w:rPr>
          <w:rFonts w:hint="cs"/>
          <w:rtl/>
        </w:rPr>
        <w:t xml:space="preserve"> 10-30</w:t>
      </w:r>
      <w:r w:rsidRPr="006334DB">
        <w:rPr>
          <w:rtl/>
        </w:rPr>
        <w:t xml:space="preserve"> </w:t>
      </w:r>
      <w:proofErr w:type="gramStart"/>
      <w:r w:rsidRPr="006334DB">
        <w:t xml:space="preserve">GHz </w:t>
      </w:r>
      <w:r w:rsidRPr="006334DB">
        <w:rPr>
          <w:rtl/>
        </w:rPr>
        <w:t xml:space="preserve"> هذه</w:t>
      </w:r>
      <w:proofErr w:type="gramEnd"/>
      <w:r w:rsidRPr="006334DB">
        <w:rPr>
          <w:rtl/>
        </w:rPr>
        <w:t xml:space="preserve">، هناك نشر واسع النطاق أو تطوير </w:t>
      </w:r>
      <w:r w:rsidRPr="006334DB">
        <w:rPr>
          <w:rFonts w:hint="cs"/>
          <w:rtl/>
        </w:rPr>
        <w:t>قديم العهد</w:t>
      </w:r>
      <w:r w:rsidRPr="006334DB">
        <w:rPr>
          <w:rtl/>
        </w:rPr>
        <w:t xml:space="preserve"> للأنظمة المستقرة بالنسبة إلى الأرض</w:t>
      </w:r>
      <w:r w:rsidRPr="006334DB">
        <w:rPr>
          <w:rFonts w:hint="cs"/>
          <w:rtl/>
        </w:rPr>
        <w:t>؛</w:t>
      </w:r>
      <w:r w:rsidRPr="006334DB">
        <w:rPr>
          <w:rtl/>
        </w:rPr>
        <w:t xml:space="preserve"> ولمشغلي الأنظمة المستقرة بالنسبة إلى الأرض مرونة محدودة أو معدومة للتكيف مع إدخال الأنظمة غير المستقرة بالنسبة إلى الأرض. وفي هذه النطاقات، يجب أن تتحمل الأنظمة غير المستقرة بالنسبة إلى الأرض معظم أو </w:t>
      </w:r>
      <w:r w:rsidRPr="006334DB">
        <w:rPr>
          <w:rFonts w:hint="cs"/>
          <w:rtl/>
        </w:rPr>
        <w:t>مجمل</w:t>
      </w:r>
      <w:r w:rsidRPr="006334DB">
        <w:rPr>
          <w:rtl/>
        </w:rPr>
        <w:t xml:space="preserve"> عبء تنفيذ المعايير التقنية لحماية القوس المستقر بالنسبة إلى الأرض.</w:t>
      </w:r>
      <w:r w:rsidRPr="006334DB">
        <w:rPr>
          <w:rFonts w:hint="cs"/>
          <w:rtl/>
        </w:rPr>
        <w:t xml:space="preserve"> </w:t>
      </w:r>
      <w:r w:rsidRPr="006334DB">
        <w:rPr>
          <w:rtl/>
        </w:rPr>
        <w:t xml:space="preserve">وفي النطاقات التي </w:t>
      </w:r>
      <w:r w:rsidRPr="006334DB">
        <w:rPr>
          <w:rFonts w:hint="cs"/>
          <w:rtl/>
        </w:rPr>
        <w:t>كان</w:t>
      </w:r>
      <w:r w:rsidRPr="006334DB">
        <w:rPr>
          <w:rtl/>
        </w:rPr>
        <w:t xml:space="preserve"> فيها نشر الأنظمة الساتلية </w:t>
      </w:r>
      <w:r w:rsidRPr="006334DB">
        <w:rPr>
          <w:rFonts w:hint="cs"/>
          <w:rtl/>
        </w:rPr>
        <w:t xml:space="preserve">معدوماً أو قليلاً </w:t>
      </w:r>
      <w:r w:rsidRPr="006334DB">
        <w:rPr>
          <w:rtl/>
        </w:rPr>
        <w:t xml:space="preserve">حتى الآن أو التي لم يبدأ فيها نشر الشبكات الساتلية (المستقرة وغير المستقرة بالنسبة إلى الأرض على السواء) إلا مؤخرا، فإن </w:t>
      </w:r>
      <w:r w:rsidRPr="006334DB">
        <w:rPr>
          <w:rFonts w:hint="cs"/>
          <w:rtl/>
        </w:rPr>
        <w:t>غياب</w:t>
      </w:r>
      <w:r w:rsidRPr="006334DB">
        <w:rPr>
          <w:rtl/>
        </w:rPr>
        <w:t xml:space="preserve"> استعمال حالي ووشيك لأنظمة الخدمة الثابتة الساتلية المستقرة وغير المستقرة بالنسبة إلى الأرض يعني أن كلا النمطين من المشغلين ينبغي أن يتوقع </w:t>
      </w:r>
      <w:r w:rsidRPr="006334DB">
        <w:rPr>
          <w:rFonts w:hint="cs"/>
          <w:rtl/>
        </w:rPr>
        <w:t xml:space="preserve">إبداء </w:t>
      </w:r>
      <w:r w:rsidRPr="006334DB">
        <w:rPr>
          <w:rtl/>
        </w:rPr>
        <w:t xml:space="preserve">مرونة أكبر في تحقيق التوازن المناسب بين الاعتبارات التقنية </w:t>
      </w:r>
      <w:r w:rsidRPr="006334DB">
        <w:rPr>
          <w:rFonts w:hint="cs"/>
          <w:rtl/>
        </w:rPr>
        <w:t>و</w:t>
      </w:r>
      <w:r w:rsidRPr="006334DB">
        <w:rPr>
          <w:rtl/>
        </w:rPr>
        <w:t xml:space="preserve">التنظيمية </w:t>
      </w:r>
      <w:proofErr w:type="spellStart"/>
      <w:r w:rsidRPr="006334DB">
        <w:rPr>
          <w:rtl/>
        </w:rPr>
        <w:t>والسياساتية</w:t>
      </w:r>
      <w:proofErr w:type="spellEnd"/>
      <w:r w:rsidRPr="006334DB">
        <w:rPr>
          <w:rtl/>
        </w:rPr>
        <w:t xml:space="preserve"> المتنافسة التي ستؤثر على بيئة </w:t>
      </w:r>
      <w:r w:rsidRPr="006334DB">
        <w:rPr>
          <w:rFonts w:hint="cs"/>
          <w:rtl/>
        </w:rPr>
        <w:t>التشارك</w:t>
      </w:r>
      <w:r w:rsidRPr="006334DB">
        <w:rPr>
          <w:rtl/>
        </w:rPr>
        <w:t xml:space="preserve"> الخاصة بها.</w:t>
      </w:r>
    </w:p>
    <w:p w14:paraId="50191C8B" w14:textId="4EE9DEF1" w:rsidR="004E0502" w:rsidRPr="006334DB" w:rsidRDefault="00C9761E" w:rsidP="00C9761E">
      <w:pPr>
        <w:rPr>
          <w:b/>
          <w:bCs/>
          <w:i/>
          <w:iCs/>
          <w:u w:val="single"/>
        </w:rPr>
      </w:pPr>
      <w:r w:rsidRPr="006334DB">
        <w:rPr>
          <w:rFonts w:hint="cs"/>
          <w:b/>
          <w:bCs/>
          <w:i/>
          <w:iCs/>
          <w:u w:val="single"/>
          <w:rtl/>
        </w:rPr>
        <w:t>نهاية</w:t>
      </w:r>
      <w:r w:rsidRPr="006334DB">
        <w:rPr>
          <w:b/>
          <w:bCs/>
          <w:i/>
          <w:iCs/>
          <w:u w:val="single"/>
          <w:rtl/>
        </w:rPr>
        <w:t xml:space="preserve"> الاقتباس</w:t>
      </w:r>
    </w:p>
    <w:p w14:paraId="4BFC8AEF" w14:textId="5EF1CC0A" w:rsidR="00C9761E" w:rsidRDefault="00CE35D5" w:rsidP="00C9761E">
      <w:pPr>
        <w:rPr>
          <w:rtl/>
        </w:rPr>
      </w:pPr>
      <w:r>
        <w:rPr>
          <w:rFonts w:hint="cs"/>
          <w:rtl/>
        </w:rPr>
        <w:t xml:space="preserve">وإن </w:t>
      </w:r>
      <w:r w:rsidR="00C9761E" w:rsidRPr="008B6035">
        <w:rPr>
          <w:rtl/>
        </w:rPr>
        <w:t>هذا الوضع لا يزال قائما</w:t>
      </w:r>
      <w:r>
        <w:rPr>
          <w:rFonts w:hint="cs"/>
          <w:rtl/>
        </w:rPr>
        <w:t>ً</w:t>
      </w:r>
      <w:r w:rsidR="00C9761E" w:rsidRPr="008B6035">
        <w:rPr>
          <w:rtl/>
        </w:rPr>
        <w:t>.</w:t>
      </w:r>
    </w:p>
    <w:p w14:paraId="456F73D3" w14:textId="77777777" w:rsidR="00C9761E" w:rsidRDefault="00C9761E" w:rsidP="00C9761E">
      <w:pPr>
        <w:rPr>
          <w:rtl/>
        </w:rPr>
      </w:pPr>
      <w:r w:rsidRPr="008B6035">
        <w:rPr>
          <w:rtl/>
        </w:rPr>
        <w:t>وبالإضافة إلى النقاط المثارة أعلاه، اعترف قطاع الاتصالات الراديوية ببعض المشاكل الأساسية المتعلقة بالتطبيق السليم لحدود كثافة تدفق القدرة المكافئة الإجمالية الواردة في القرار 76 (</w:t>
      </w:r>
      <w:r w:rsidRPr="008B6035">
        <w:t>Rev.WRC-15</w:t>
      </w:r>
      <w:r w:rsidRPr="008B6035">
        <w:rPr>
          <w:rtl/>
        </w:rPr>
        <w:t xml:space="preserve">) وحدود كثافة تدفق القدرة المكافئة من مصدر </w:t>
      </w:r>
      <w:r>
        <w:rPr>
          <w:rFonts w:hint="cs"/>
          <w:rtl/>
        </w:rPr>
        <w:t xml:space="preserve">تداخل </w:t>
      </w:r>
      <w:r w:rsidRPr="008B6035">
        <w:rPr>
          <w:rtl/>
        </w:rPr>
        <w:t>وحيد الواردة في المادة 22 من لوائح الراديو على النحو التالي:</w:t>
      </w:r>
    </w:p>
    <w:p w14:paraId="5FBB391F" w14:textId="77777777" w:rsidR="00C9761E" w:rsidRDefault="00C9761E" w:rsidP="00C9761E">
      <w:pPr>
        <w:pStyle w:val="enumlev1"/>
        <w:rPr>
          <w:rtl/>
        </w:rPr>
      </w:pPr>
      <w:r>
        <w:rPr>
          <w:rtl/>
        </w:rPr>
        <w:t>–</w:t>
      </w:r>
      <w:r>
        <w:rPr>
          <w:rtl/>
        </w:rPr>
        <w:tab/>
      </w:r>
      <w:r w:rsidRPr="00A63FCB">
        <w:rPr>
          <w:rFonts w:hint="cs"/>
          <w:rtl/>
        </w:rPr>
        <w:t>على الرغم من أن حدود</w:t>
      </w:r>
      <w:r w:rsidRPr="00F333BE">
        <w:rPr>
          <w:rtl/>
        </w:rPr>
        <w:t xml:space="preserve"> كثافة تدفق القدرة المكافئة</w:t>
      </w:r>
      <w:r w:rsidRPr="00A63FCB">
        <w:rPr>
          <w:rFonts w:hint="cs"/>
          <w:rtl/>
        </w:rPr>
        <w:t xml:space="preserve"> </w:t>
      </w:r>
      <w:r>
        <w:rPr>
          <w:rFonts w:hint="cs"/>
          <w:rtl/>
        </w:rPr>
        <w:t>(</w:t>
      </w:r>
      <w:proofErr w:type="spellStart"/>
      <w:r w:rsidRPr="00A63FCB">
        <w:t>epfd</w:t>
      </w:r>
      <w:proofErr w:type="spellEnd"/>
      <w:r>
        <w:rPr>
          <w:rFonts w:hint="cs"/>
          <w:rtl/>
        </w:rPr>
        <w:t>)</w:t>
      </w:r>
      <w:r w:rsidRPr="00A63FCB">
        <w:rPr>
          <w:rFonts w:hint="cs"/>
          <w:rtl/>
        </w:rPr>
        <w:t xml:space="preserve"> </w:t>
      </w:r>
      <w:bookmarkStart w:id="1" w:name="_Hlk150150285"/>
      <w:r w:rsidRPr="00F333BE">
        <w:rPr>
          <w:rtl/>
        </w:rPr>
        <w:t xml:space="preserve">الإجمالية </w:t>
      </w:r>
      <w:bookmarkEnd w:id="1"/>
      <w:r w:rsidRPr="00A63FCB">
        <w:rPr>
          <w:rFonts w:hint="cs"/>
          <w:rtl/>
        </w:rPr>
        <w:t xml:space="preserve">محددة في القرار </w:t>
      </w:r>
      <w:r w:rsidRPr="00A63FCB">
        <w:rPr>
          <w:b/>
          <w:bCs/>
        </w:rPr>
        <w:t>76 (Rev.WRC-15)</w:t>
      </w:r>
      <w:r>
        <w:rPr>
          <w:rFonts w:hint="cs"/>
          <w:b/>
          <w:bCs/>
          <w:rtl/>
        </w:rPr>
        <w:t>،</w:t>
      </w:r>
      <w:r w:rsidRPr="00A63FCB">
        <w:rPr>
          <w:rFonts w:hint="cs"/>
          <w:rtl/>
        </w:rPr>
        <w:t xml:space="preserve"> </w:t>
      </w:r>
      <w:r>
        <w:rPr>
          <w:rFonts w:hint="cs"/>
          <w:rtl/>
        </w:rPr>
        <w:t xml:space="preserve">فهو </w:t>
      </w:r>
      <w:r w:rsidRPr="00A63FCB">
        <w:rPr>
          <w:rFonts w:hint="cs"/>
          <w:rtl/>
        </w:rPr>
        <w:t>لا</w:t>
      </w:r>
      <w:r w:rsidRPr="00A63FCB">
        <w:rPr>
          <w:rFonts w:hint="eastAsia"/>
          <w:rtl/>
        </w:rPr>
        <w:t> </w:t>
      </w:r>
      <w:r w:rsidRPr="00A63FCB">
        <w:rPr>
          <w:rFonts w:hint="cs"/>
          <w:rtl/>
        </w:rPr>
        <w:t xml:space="preserve">ينص على أي منهجية أو إجراءات واضحة </w:t>
      </w:r>
      <w:r w:rsidRPr="00F333BE">
        <w:rPr>
          <w:rtl/>
        </w:rPr>
        <w:t xml:space="preserve">لكي تحدد </w:t>
      </w:r>
      <w:r w:rsidRPr="00A63FCB">
        <w:rPr>
          <w:rFonts w:hint="cs"/>
          <w:rtl/>
        </w:rPr>
        <w:t>الإدارات المعنية بشكل جماعي ما إذا تم تجاوز هذه ال</w:t>
      </w:r>
      <w:r>
        <w:rPr>
          <w:rFonts w:hint="cs"/>
          <w:rtl/>
        </w:rPr>
        <w:t>م</w:t>
      </w:r>
      <w:r w:rsidRPr="00A63FCB">
        <w:rPr>
          <w:rFonts w:hint="cs"/>
          <w:rtl/>
        </w:rPr>
        <w:t>س</w:t>
      </w:r>
      <w:r>
        <w:rPr>
          <w:rFonts w:hint="cs"/>
          <w:rtl/>
        </w:rPr>
        <w:t>ت</w:t>
      </w:r>
      <w:r w:rsidRPr="00A63FCB">
        <w:rPr>
          <w:rFonts w:hint="cs"/>
          <w:rtl/>
        </w:rPr>
        <w:t xml:space="preserve">ويات </w:t>
      </w:r>
      <w:r w:rsidRPr="00F333BE">
        <w:rPr>
          <w:rtl/>
        </w:rPr>
        <w:t>الإجمالية</w:t>
      </w:r>
      <w:r w:rsidRPr="00A63FCB">
        <w:rPr>
          <w:rFonts w:hint="cs"/>
          <w:rtl/>
        </w:rPr>
        <w:t>.</w:t>
      </w:r>
      <w:r>
        <w:rPr>
          <w:rFonts w:hint="cs"/>
          <w:rtl/>
        </w:rPr>
        <w:t xml:space="preserve"> </w:t>
      </w:r>
      <w:r w:rsidRPr="00F51DB0">
        <w:rPr>
          <w:rtl/>
        </w:rPr>
        <w:t xml:space="preserve">ويعني ذلك، </w:t>
      </w:r>
      <w:r w:rsidRPr="00F51DB0">
        <w:rPr>
          <w:rFonts w:hint="cs"/>
          <w:rtl/>
        </w:rPr>
        <w:t>حالياً</w:t>
      </w:r>
      <w:r w:rsidRPr="00F51DB0">
        <w:rPr>
          <w:rtl/>
        </w:rPr>
        <w:t xml:space="preserve">، </w:t>
      </w:r>
      <w:r w:rsidRPr="00F51DB0">
        <w:rPr>
          <w:rFonts w:hint="cs"/>
          <w:rtl/>
        </w:rPr>
        <w:t>تعذر</w:t>
      </w:r>
      <w:r w:rsidRPr="00F51DB0">
        <w:rPr>
          <w:rtl/>
        </w:rPr>
        <w:t xml:space="preserve"> التحقق رسميا من الالتزام </w:t>
      </w:r>
      <w:r w:rsidRPr="00F51DB0">
        <w:rPr>
          <w:rFonts w:hint="cs"/>
          <w:rtl/>
        </w:rPr>
        <w:t>با</w:t>
      </w:r>
      <w:r w:rsidRPr="00F51DB0">
        <w:rPr>
          <w:rtl/>
        </w:rPr>
        <w:t xml:space="preserve">لقرار </w:t>
      </w:r>
      <w:r w:rsidRPr="00F51DB0">
        <w:rPr>
          <w:b/>
          <w:bCs/>
        </w:rPr>
        <w:t>76 (Rev.WRC-15)</w:t>
      </w:r>
      <w:r w:rsidRPr="00F51DB0">
        <w:rPr>
          <w:rtl/>
        </w:rPr>
        <w:t xml:space="preserve">، في حين أن </w:t>
      </w:r>
      <w:r w:rsidRPr="00F51DB0">
        <w:rPr>
          <w:rFonts w:hint="cs"/>
          <w:rtl/>
        </w:rPr>
        <w:t>عدة</w:t>
      </w:r>
      <w:r w:rsidRPr="00F51DB0">
        <w:rPr>
          <w:rtl/>
        </w:rPr>
        <w:t xml:space="preserve"> أنظمة غير مستقرة بالنسبة إلى الأرض في الخدمة الثابتة الساتلية </w:t>
      </w:r>
      <w:r w:rsidRPr="00F51DB0">
        <w:rPr>
          <w:rFonts w:hint="cs"/>
          <w:rtl/>
        </w:rPr>
        <w:t xml:space="preserve">هي </w:t>
      </w:r>
      <w:r w:rsidRPr="00F51DB0">
        <w:rPr>
          <w:rtl/>
        </w:rPr>
        <w:t>قيد الاستعمال بالفعل. وستناق</w:t>
      </w:r>
      <w:r w:rsidRPr="00F51DB0">
        <w:rPr>
          <w:rFonts w:hint="cs"/>
          <w:rtl/>
        </w:rPr>
        <w:t>َ</w:t>
      </w:r>
      <w:r w:rsidRPr="00F51DB0">
        <w:rPr>
          <w:rtl/>
        </w:rPr>
        <w:t xml:space="preserve">ش هذه المسألة في إطار الموضوع </w:t>
      </w:r>
      <w:r w:rsidRPr="00F51DB0">
        <w:t>J</w:t>
      </w:r>
      <w:r w:rsidRPr="00F51DB0">
        <w:rPr>
          <w:rtl/>
        </w:rPr>
        <w:t xml:space="preserve"> للبند 7 من</w:t>
      </w:r>
      <w:r w:rsidRPr="00F51DB0">
        <w:rPr>
          <w:rFonts w:hint="cs"/>
          <w:rtl/>
        </w:rPr>
        <w:t xml:space="preserve"> جدول أعمال</w:t>
      </w:r>
      <w:r w:rsidRPr="00F51DB0">
        <w:rPr>
          <w:rtl/>
        </w:rPr>
        <w:t xml:space="preserve"> المؤتمر </w:t>
      </w:r>
      <w:r w:rsidRPr="00F51DB0">
        <w:t>WRC-23</w:t>
      </w:r>
      <w:r w:rsidRPr="00F51DB0">
        <w:rPr>
          <w:rtl/>
        </w:rPr>
        <w:t>.</w:t>
      </w:r>
    </w:p>
    <w:p w14:paraId="2C8B4171" w14:textId="0DB486B6" w:rsidR="00C9761E" w:rsidRPr="00B0372F" w:rsidRDefault="00C9761E" w:rsidP="00C9761E">
      <w:pPr>
        <w:pStyle w:val="enumlev1"/>
      </w:pPr>
      <w:r w:rsidRPr="00B0372F">
        <w:rPr>
          <w:rtl/>
        </w:rPr>
        <w:t>–</w:t>
      </w:r>
      <w:r w:rsidRPr="00B0372F">
        <w:rPr>
          <w:rtl/>
        </w:rPr>
        <w:tab/>
      </w:r>
      <w:r w:rsidRPr="002D56A7">
        <w:rPr>
          <w:rFonts w:hint="cs"/>
          <w:rtl/>
        </w:rPr>
        <w:t>تحوم الشكوك حول</w:t>
      </w:r>
      <w:r w:rsidRPr="002D56A7">
        <w:rPr>
          <w:rtl/>
        </w:rPr>
        <w:t xml:space="preserve"> ممارسة تقسيم نظام </w:t>
      </w:r>
      <w:proofErr w:type="spellStart"/>
      <w:r w:rsidRPr="002D56A7">
        <w:rPr>
          <w:rtl/>
        </w:rPr>
        <w:t>ساتلي</w:t>
      </w:r>
      <w:proofErr w:type="spellEnd"/>
      <w:r w:rsidRPr="002D56A7">
        <w:rPr>
          <w:rtl/>
        </w:rPr>
        <w:t xml:space="preserve"> غير مستقر بالنسبة إلى الأرض إلى عدة أنظمة مبل</w:t>
      </w:r>
      <w:r w:rsidRPr="002D56A7">
        <w:rPr>
          <w:rFonts w:hint="cs"/>
          <w:rtl/>
        </w:rPr>
        <w:t>َّ</w:t>
      </w:r>
      <w:r w:rsidRPr="002D56A7">
        <w:rPr>
          <w:rtl/>
        </w:rPr>
        <w:t xml:space="preserve">غ عنها، </w:t>
      </w:r>
      <w:r w:rsidRPr="002D56A7">
        <w:rPr>
          <w:rFonts w:hint="cs"/>
          <w:rtl/>
        </w:rPr>
        <w:t>ب</w:t>
      </w:r>
      <w:r w:rsidRPr="002D56A7">
        <w:rPr>
          <w:rtl/>
        </w:rPr>
        <w:t>ما قد يؤثر على فعالية حدود كثافة تدفق القدرة المكافئة</w:t>
      </w:r>
      <w:r w:rsidR="00025854">
        <w:rPr>
          <w:rFonts w:hint="cs"/>
          <w:rtl/>
        </w:rPr>
        <w:t xml:space="preserve"> (</w:t>
      </w:r>
      <w:proofErr w:type="spellStart"/>
      <w:r w:rsidR="00025854" w:rsidRPr="00A63FCB">
        <w:t>epfd</w:t>
      </w:r>
      <w:proofErr w:type="spellEnd"/>
      <w:r w:rsidR="00025854">
        <w:rPr>
          <w:rFonts w:hint="cs"/>
          <w:rtl/>
        </w:rPr>
        <w:t>)</w:t>
      </w:r>
      <w:r w:rsidRPr="002D56A7">
        <w:rPr>
          <w:rtl/>
        </w:rPr>
        <w:t xml:space="preserve"> من مصدر </w:t>
      </w:r>
      <w:r w:rsidRPr="002D56A7">
        <w:rPr>
          <w:rFonts w:hint="cs"/>
          <w:rtl/>
        </w:rPr>
        <w:t xml:space="preserve">تداخل </w:t>
      </w:r>
      <w:r w:rsidRPr="002D56A7">
        <w:rPr>
          <w:rtl/>
        </w:rPr>
        <w:t xml:space="preserve">وحيد الواردة في المادة </w:t>
      </w:r>
      <w:r w:rsidRPr="00025854">
        <w:rPr>
          <w:b/>
          <w:bCs/>
          <w:rtl/>
        </w:rPr>
        <w:t>22</w:t>
      </w:r>
      <w:r w:rsidRPr="002D56A7">
        <w:rPr>
          <w:rtl/>
        </w:rPr>
        <w:t xml:space="preserve"> من لوائح الراديو لحماية الأنظمة المستقرة بالنسبة إلى الأرض أو يؤثر على تنفيذ القرار </w:t>
      </w:r>
      <w:r w:rsidRPr="002D56A7">
        <w:rPr>
          <w:b/>
          <w:bCs/>
        </w:rPr>
        <w:t>76 (Rev.WRC-15)</w:t>
      </w:r>
      <w:r w:rsidRPr="002D56A7">
        <w:rPr>
          <w:rFonts w:hint="cs"/>
          <w:b/>
          <w:bCs/>
          <w:rtl/>
        </w:rPr>
        <w:t>.</w:t>
      </w:r>
      <w:r>
        <w:rPr>
          <w:rFonts w:hint="cs"/>
          <w:b/>
          <w:bCs/>
          <w:rtl/>
        </w:rPr>
        <w:t xml:space="preserve"> </w:t>
      </w:r>
      <w:r>
        <w:rPr>
          <w:rFonts w:hint="cs"/>
          <w:rtl/>
          <w:lang w:bidi="ar-EG"/>
        </w:rPr>
        <w:t xml:space="preserve">إن </w:t>
      </w:r>
      <w:r>
        <w:rPr>
          <w:rtl/>
          <w:lang w:bidi="ar-EG"/>
        </w:rPr>
        <w:t xml:space="preserve">السبب الوحيد لإساءة تطبيق </w:t>
      </w:r>
      <w:r w:rsidRPr="002D56A7">
        <w:rPr>
          <w:rtl/>
        </w:rPr>
        <w:t xml:space="preserve">حدود </w:t>
      </w:r>
      <w:bookmarkStart w:id="2" w:name="_Hlk150151436"/>
      <w:r w:rsidRPr="002D56A7">
        <w:rPr>
          <w:rtl/>
        </w:rPr>
        <w:t>كثافة تدفق القدرة المكافئة</w:t>
      </w:r>
      <w:r w:rsidR="00025854">
        <w:rPr>
          <w:rFonts w:hint="cs"/>
          <w:rtl/>
        </w:rPr>
        <w:t xml:space="preserve"> (</w:t>
      </w:r>
      <w:proofErr w:type="spellStart"/>
      <w:r w:rsidR="00025854" w:rsidRPr="00A63FCB">
        <w:t>epfd</w:t>
      </w:r>
      <w:proofErr w:type="spellEnd"/>
      <w:r w:rsidR="00025854">
        <w:rPr>
          <w:rFonts w:hint="cs"/>
          <w:rtl/>
        </w:rPr>
        <w:t>)</w:t>
      </w:r>
      <w:bookmarkEnd w:id="2"/>
      <w:r w:rsidR="00025854">
        <w:rPr>
          <w:rFonts w:hint="cs"/>
          <w:rtl/>
        </w:rPr>
        <w:t xml:space="preserve"> </w:t>
      </w:r>
      <w:r w:rsidRPr="002D56A7">
        <w:rPr>
          <w:rtl/>
        </w:rPr>
        <w:t xml:space="preserve">من مصدر </w:t>
      </w:r>
      <w:r w:rsidRPr="002D56A7">
        <w:rPr>
          <w:rFonts w:hint="cs"/>
          <w:rtl/>
        </w:rPr>
        <w:t xml:space="preserve">تداخل </w:t>
      </w:r>
      <w:r w:rsidRPr="002D56A7">
        <w:rPr>
          <w:rtl/>
        </w:rPr>
        <w:t xml:space="preserve">وحيد </w:t>
      </w:r>
      <w:r>
        <w:rPr>
          <w:rtl/>
          <w:lang w:bidi="ar-EG"/>
        </w:rPr>
        <w:t xml:space="preserve">بتقسيم الأنظمة غير المستقرة بالنسبة </w:t>
      </w:r>
      <w:r>
        <w:rPr>
          <w:rFonts w:hint="cs"/>
          <w:rtl/>
          <w:lang w:bidi="ar-EG"/>
        </w:rPr>
        <w:t>إ</w:t>
      </w:r>
      <w:r>
        <w:rPr>
          <w:rtl/>
          <w:lang w:bidi="ar-EG"/>
        </w:rPr>
        <w:t xml:space="preserve">لى الأرض أو تجميعها اصطناعياً يتمثل في خفض حدود </w:t>
      </w:r>
      <w:r w:rsidRPr="002D56A7">
        <w:rPr>
          <w:rtl/>
          <w:lang w:bidi="ar-EG"/>
        </w:rPr>
        <w:t>كثافة تدفق القدرة المكافئة</w:t>
      </w:r>
      <w:r w:rsidR="00025854">
        <w:rPr>
          <w:rFonts w:hint="cs"/>
          <w:rtl/>
          <w:lang w:bidi="ar-EG"/>
        </w:rPr>
        <w:t xml:space="preserve"> </w:t>
      </w:r>
      <w:r w:rsidR="00025854">
        <w:rPr>
          <w:rFonts w:hint="cs"/>
          <w:rtl/>
        </w:rPr>
        <w:t>(</w:t>
      </w:r>
      <w:proofErr w:type="spellStart"/>
      <w:r w:rsidR="00025854" w:rsidRPr="00A63FCB">
        <w:t>epfd</w:t>
      </w:r>
      <w:proofErr w:type="spellEnd"/>
      <w:r w:rsidR="00025854">
        <w:rPr>
          <w:rFonts w:hint="cs"/>
          <w:rtl/>
        </w:rPr>
        <w:t>)</w:t>
      </w:r>
      <w:r w:rsidRPr="002D56A7">
        <w:rPr>
          <w:rtl/>
          <w:lang w:bidi="ar-EG"/>
        </w:rPr>
        <w:t xml:space="preserve"> </w:t>
      </w:r>
      <w:r>
        <w:rPr>
          <w:rtl/>
          <w:lang w:bidi="ar-EG"/>
        </w:rPr>
        <w:t>وبالتالي الحصول على</w:t>
      </w:r>
      <w:r w:rsidRPr="002D56A7">
        <w:rPr>
          <w:rtl/>
        </w:rPr>
        <w:t xml:space="preserve"> </w:t>
      </w:r>
      <w:r w:rsidRPr="002D56A7">
        <w:rPr>
          <w:rtl/>
          <w:lang w:bidi="ar-EG"/>
        </w:rPr>
        <w:t>حالة</w:t>
      </w:r>
      <w:r>
        <w:rPr>
          <w:rtl/>
          <w:lang w:bidi="ar-EG"/>
        </w:rPr>
        <w:t xml:space="preserve"> نتيجة </w:t>
      </w:r>
      <w:proofErr w:type="spellStart"/>
      <w:r>
        <w:rPr>
          <w:rtl/>
          <w:lang w:bidi="ar-EG"/>
        </w:rPr>
        <w:t>مؤاتية</w:t>
      </w:r>
      <w:proofErr w:type="spellEnd"/>
      <w:r>
        <w:rPr>
          <w:rtl/>
          <w:lang w:bidi="ar-EG"/>
        </w:rPr>
        <w:t xml:space="preserve"> لهذا الفحص </w:t>
      </w:r>
      <w:r w:rsidRPr="007F30F5">
        <w:rPr>
          <w:rtl/>
          <w:lang w:bidi="ar-EG"/>
        </w:rPr>
        <w:t xml:space="preserve">التنظيمي الذي يجريه مكتب الاتصالات الراديوية بموجب الرقم </w:t>
      </w:r>
      <w:r w:rsidRPr="00025854">
        <w:rPr>
          <w:b/>
          <w:bCs/>
          <w:rtl/>
          <w:lang w:bidi="ar-EG"/>
        </w:rPr>
        <w:t>31.11</w:t>
      </w:r>
      <w:r w:rsidRPr="007F30F5">
        <w:rPr>
          <w:rtl/>
          <w:lang w:bidi="ar-EG"/>
        </w:rPr>
        <w:t xml:space="preserve"> من لوائح الراديو. وقد أبرز مدير مكتب الاتصالات الراديوية هذه المشكلة في تقريره إلى المؤتمر </w:t>
      </w:r>
      <w:r w:rsidRPr="007F30F5">
        <w:rPr>
          <w:lang w:bidi="ar-EG"/>
        </w:rPr>
        <w:t>WRC-23</w:t>
      </w:r>
      <w:r w:rsidRPr="007F30F5">
        <w:rPr>
          <w:rtl/>
          <w:lang w:bidi="ar-EG"/>
        </w:rPr>
        <w:t xml:space="preserve"> </w:t>
      </w:r>
      <w:r w:rsidR="00CE35D5">
        <w:rPr>
          <w:rFonts w:hint="cs"/>
          <w:rtl/>
          <w:lang w:bidi="ar-EG"/>
        </w:rPr>
        <w:t xml:space="preserve">على النحو المقدم إلى الدورة الثانية للاجتماع التحضيري للمؤتمر </w:t>
      </w:r>
      <w:r>
        <w:rPr>
          <w:rFonts w:hint="cs"/>
          <w:rtl/>
          <w:lang w:eastAsia="ja-JP"/>
        </w:rPr>
        <w:t>(القسم 4.1.3 من</w:t>
      </w:r>
      <w:r w:rsidR="00CE35D5">
        <w:rPr>
          <w:rFonts w:hint="cs"/>
          <w:rtl/>
          <w:lang w:eastAsia="ja-JP"/>
        </w:rPr>
        <w:t xml:space="preserve"> الجزء 1 من</w:t>
      </w:r>
      <w:r>
        <w:rPr>
          <w:rFonts w:hint="cs"/>
          <w:rtl/>
          <w:lang w:eastAsia="ja-JP"/>
        </w:rPr>
        <w:t xml:space="preserve"> </w:t>
      </w:r>
      <w:r w:rsidR="00CE35D5" w:rsidRPr="00CE35D5">
        <w:rPr>
          <w:rFonts w:hint="cs"/>
          <w:rtl/>
          <w:lang w:eastAsia="ja-JP"/>
        </w:rPr>
        <w:t xml:space="preserve">الوثيقة </w:t>
      </w:r>
      <w:hyperlink r:id="rId16" w:history="1">
        <w:r w:rsidR="00CE35D5" w:rsidRPr="00CE35D5">
          <w:rPr>
            <w:rStyle w:val="Hyperlink"/>
            <w:rFonts w:ascii="Dubai" w:hAnsi="Dubai" w:cs="Dubai"/>
            <w:lang w:eastAsia="ja-JP"/>
          </w:rPr>
          <w:t>CPM23-2/236</w:t>
        </w:r>
      </w:hyperlink>
      <w:r w:rsidRPr="00CE35D5">
        <w:rPr>
          <w:rFonts w:hint="cs"/>
          <w:rtl/>
          <w:lang w:eastAsia="ja-JP"/>
        </w:rPr>
        <w:t>).</w:t>
      </w:r>
    </w:p>
    <w:p w14:paraId="69A971FB" w14:textId="055BDCA4" w:rsidR="00C9761E" w:rsidRDefault="00C9761E" w:rsidP="00C9761E">
      <w:r w:rsidRPr="007F30F5">
        <w:rPr>
          <w:rtl/>
        </w:rPr>
        <w:t xml:space="preserve">ولذلك، </w:t>
      </w:r>
      <w:r w:rsidRPr="007F30F5">
        <w:rPr>
          <w:rFonts w:hint="cs"/>
          <w:rtl/>
        </w:rPr>
        <w:t>تعتقد</w:t>
      </w:r>
      <w:r w:rsidRPr="007F30F5">
        <w:rPr>
          <w:rtl/>
        </w:rPr>
        <w:t xml:space="preserve"> اليابان أيضا</w:t>
      </w:r>
      <w:r w:rsidRPr="007F30F5">
        <w:rPr>
          <w:rFonts w:hint="cs"/>
          <w:rtl/>
        </w:rPr>
        <w:t>،</w:t>
      </w:r>
      <w:r w:rsidRPr="007F30F5">
        <w:rPr>
          <w:rtl/>
        </w:rPr>
        <w:t xml:space="preserve"> في ظل هذه الظروف، أن من غير المعقول </w:t>
      </w:r>
      <w:r w:rsidRPr="007F30F5">
        <w:rPr>
          <w:rFonts w:hint="cs"/>
          <w:rtl/>
        </w:rPr>
        <w:t>البتة</w:t>
      </w:r>
      <w:r w:rsidRPr="007F30F5">
        <w:rPr>
          <w:rtl/>
        </w:rPr>
        <w:t xml:space="preserve"> تغيير حد كثافة تدفق القدرة المكافئة </w:t>
      </w:r>
      <w:r w:rsidR="00025854">
        <w:rPr>
          <w:rFonts w:hint="cs"/>
          <w:rtl/>
        </w:rPr>
        <w:t>(</w:t>
      </w:r>
      <w:proofErr w:type="spellStart"/>
      <w:r w:rsidR="00025854" w:rsidRPr="00A63FCB">
        <w:t>epfd</w:t>
      </w:r>
      <w:proofErr w:type="spellEnd"/>
      <w:r w:rsidR="00025854">
        <w:rPr>
          <w:rFonts w:hint="cs"/>
          <w:rtl/>
        </w:rPr>
        <w:t xml:space="preserve">) </w:t>
      </w:r>
      <w:r w:rsidRPr="007F30F5">
        <w:rPr>
          <w:rFonts w:hint="cs"/>
          <w:rtl/>
        </w:rPr>
        <w:t>نفسه</w:t>
      </w:r>
      <w:r w:rsidRPr="007F30F5">
        <w:rPr>
          <w:rtl/>
        </w:rPr>
        <w:t xml:space="preserve"> دون حل </w:t>
      </w:r>
      <w:r>
        <w:rPr>
          <w:rFonts w:hint="cs"/>
          <w:rtl/>
        </w:rPr>
        <w:t>ل</w:t>
      </w:r>
      <w:r w:rsidRPr="007F30F5">
        <w:rPr>
          <w:rFonts w:hint="cs"/>
          <w:rtl/>
        </w:rPr>
        <w:t>إساءة</w:t>
      </w:r>
      <w:r w:rsidRPr="007F30F5">
        <w:rPr>
          <w:rtl/>
        </w:rPr>
        <w:t xml:space="preserve"> التطبيق المحتمل</w:t>
      </w:r>
      <w:r w:rsidRPr="007F30F5">
        <w:rPr>
          <w:rFonts w:hint="cs"/>
          <w:rtl/>
        </w:rPr>
        <w:t>ة</w:t>
      </w:r>
      <w:r w:rsidRPr="007F30F5">
        <w:rPr>
          <w:rtl/>
        </w:rPr>
        <w:t xml:space="preserve"> هذه للقرار </w:t>
      </w:r>
      <w:r w:rsidRPr="007F30F5">
        <w:rPr>
          <w:b/>
          <w:bCs/>
        </w:rPr>
        <w:t>76 (Rev.WRC-15)</w:t>
      </w:r>
      <w:r w:rsidRPr="007F30F5">
        <w:rPr>
          <w:rFonts w:hint="cs"/>
          <w:b/>
          <w:bCs/>
          <w:rtl/>
        </w:rPr>
        <w:t xml:space="preserve"> </w:t>
      </w:r>
      <w:r w:rsidRPr="007F30F5">
        <w:rPr>
          <w:rtl/>
        </w:rPr>
        <w:t xml:space="preserve">والمادة </w:t>
      </w:r>
      <w:r w:rsidRPr="00025854">
        <w:rPr>
          <w:b/>
          <w:bCs/>
          <w:rtl/>
        </w:rPr>
        <w:t>22</w:t>
      </w:r>
      <w:r w:rsidRPr="007F30F5">
        <w:rPr>
          <w:rtl/>
        </w:rPr>
        <w:t xml:space="preserve"> من لوائح الراديو من جانب بعض الإدارات المبل</w:t>
      </w:r>
      <w:r w:rsidRPr="007F30F5">
        <w:rPr>
          <w:rFonts w:hint="cs"/>
          <w:rtl/>
        </w:rPr>
        <w:t>ِّ</w:t>
      </w:r>
      <w:r w:rsidRPr="007F30F5">
        <w:rPr>
          <w:rtl/>
        </w:rPr>
        <w:t>غة عن أنظمة الخدمة الثابتة الساتلية غير المستقرة بالنسبة إلى الأرض.</w:t>
      </w:r>
    </w:p>
    <w:p w14:paraId="241C32AC" w14:textId="332E6248" w:rsidR="00C9761E" w:rsidRDefault="00C9761E" w:rsidP="00C9761E">
      <w:pPr>
        <w:pStyle w:val="Headingb"/>
      </w:pPr>
      <w:r>
        <w:rPr>
          <w:rFonts w:hint="cs"/>
          <w:rtl/>
        </w:rPr>
        <w:lastRenderedPageBreak/>
        <w:t>المقترح</w:t>
      </w:r>
    </w:p>
    <w:p w14:paraId="73AA3865" w14:textId="77777777" w:rsidR="006E0454" w:rsidRPr="004E0502" w:rsidRDefault="00F1256D">
      <w:pPr>
        <w:pStyle w:val="Proposal"/>
      </w:pPr>
      <w:r w:rsidRPr="004E0502">
        <w:tab/>
        <w:t>IRN/148A27/1</w:t>
      </w:r>
    </w:p>
    <w:p w14:paraId="2C6C426F" w14:textId="4F794F51" w:rsidR="00C9761E" w:rsidRDefault="00C9761E" w:rsidP="00C9761E">
      <w:r w:rsidRPr="00ED17DD">
        <w:rPr>
          <w:rtl/>
        </w:rPr>
        <w:t xml:space="preserve">نظرا للخلفية المذكورة أعلاه وكذلك أهمية الإبقاء على </w:t>
      </w:r>
      <w:r w:rsidRPr="00ED17DD">
        <w:rPr>
          <w:rFonts w:hint="cs"/>
          <w:rtl/>
        </w:rPr>
        <w:t>ال</w:t>
      </w:r>
      <w:r w:rsidRPr="00ED17DD">
        <w:rPr>
          <w:rtl/>
        </w:rPr>
        <w:t xml:space="preserve">حدود الحالية </w:t>
      </w:r>
      <w:r w:rsidRPr="00ED17DD">
        <w:rPr>
          <w:rFonts w:hint="cs"/>
          <w:rtl/>
        </w:rPr>
        <w:t>ل</w:t>
      </w:r>
      <w:r w:rsidRPr="00ED17DD">
        <w:rPr>
          <w:rtl/>
        </w:rPr>
        <w:t xml:space="preserve">كثافة تدفق القدرة المكافئة الإجمالية </w:t>
      </w:r>
      <w:r w:rsidRPr="00ED17DD">
        <w:rPr>
          <w:rFonts w:hint="cs"/>
          <w:rtl/>
        </w:rPr>
        <w:t>و</w:t>
      </w:r>
      <w:r w:rsidRPr="00ED17DD">
        <w:rPr>
          <w:rtl/>
        </w:rPr>
        <w:t>من مصدر</w:t>
      </w:r>
      <w:r w:rsidRPr="00ED17DD">
        <w:rPr>
          <w:rFonts w:hint="cs"/>
          <w:rtl/>
        </w:rPr>
        <w:t xml:space="preserve"> تداخل</w:t>
      </w:r>
      <w:r w:rsidRPr="00ED17DD">
        <w:rPr>
          <w:rtl/>
        </w:rPr>
        <w:t xml:space="preserve"> وحيد التي تؤخذ في الاعتبار على نطاق واسع كأهداف تصميم لكم ضخم من الشبكات الساتلية العاملة في الخدمة الثابتة الساتلية/الخدمة الإذاعية الساتلية المستقرة بالنسبة إلى الأرض،</w:t>
      </w:r>
      <w:r w:rsidR="007D023F">
        <w:rPr>
          <w:rFonts w:hint="cs"/>
          <w:rtl/>
        </w:rPr>
        <w:t xml:space="preserve"> فإنه </w:t>
      </w:r>
      <w:r w:rsidRPr="00ED17DD">
        <w:rPr>
          <w:rtl/>
        </w:rPr>
        <w:t>من</w:t>
      </w:r>
      <w:r w:rsidRPr="00ED17DD">
        <w:rPr>
          <w:rFonts w:hint="cs"/>
          <w:rtl/>
        </w:rPr>
        <w:t xml:space="preserve"> غير</w:t>
      </w:r>
      <w:r w:rsidRPr="00ED17DD">
        <w:rPr>
          <w:rtl/>
        </w:rPr>
        <w:t xml:space="preserve"> المناسب استعراض وتحديث الأحكام التنظيمية ذات الصلة بحدود كثافة تدفق القدرة المكافئة </w:t>
      </w:r>
      <w:r w:rsidR="00025854">
        <w:rPr>
          <w:rFonts w:hint="cs"/>
          <w:rtl/>
        </w:rPr>
        <w:t>(</w:t>
      </w:r>
      <w:proofErr w:type="spellStart"/>
      <w:r w:rsidR="00025854" w:rsidRPr="00A63FCB">
        <w:t>epfd</w:t>
      </w:r>
      <w:proofErr w:type="spellEnd"/>
      <w:r w:rsidR="00025854">
        <w:rPr>
          <w:rFonts w:hint="cs"/>
          <w:rtl/>
        </w:rPr>
        <w:t xml:space="preserve">) </w:t>
      </w:r>
      <w:r w:rsidRPr="00ED17DD">
        <w:rPr>
          <w:rtl/>
        </w:rPr>
        <w:t xml:space="preserve">هذه في أجزاء </w:t>
      </w:r>
      <w:r w:rsidRPr="00ED17DD">
        <w:rPr>
          <w:rFonts w:hint="cs"/>
          <w:rtl/>
        </w:rPr>
        <w:t xml:space="preserve">من </w:t>
      </w:r>
      <w:r w:rsidRPr="00ED17DD">
        <w:rPr>
          <w:rtl/>
        </w:rPr>
        <w:t>نطاقي التردد</w:t>
      </w:r>
      <w:r w:rsidRPr="00ED17DD">
        <w:rPr>
          <w:rFonts w:hint="cs"/>
          <w:rtl/>
        </w:rPr>
        <w:t>ات</w:t>
      </w:r>
      <w:r w:rsidRPr="00ED17DD">
        <w:rPr>
          <w:rtl/>
        </w:rPr>
        <w:t xml:space="preserve"> </w:t>
      </w:r>
      <w:r w:rsidRPr="00ED17DD">
        <w:t>GHz 11/14</w:t>
      </w:r>
      <w:r w:rsidRPr="00ED17DD">
        <w:rPr>
          <w:rtl/>
        </w:rPr>
        <w:t xml:space="preserve"> و</w:t>
      </w:r>
      <w:r w:rsidRPr="00ED17DD">
        <w:t>GHz 20/30</w:t>
      </w:r>
      <w:r w:rsidRPr="00ED17DD">
        <w:rPr>
          <w:rtl/>
        </w:rPr>
        <w:t>،</w:t>
      </w:r>
      <w:r w:rsidR="007D023F">
        <w:rPr>
          <w:rFonts w:hint="cs"/>
          <w:rtl/>
        </w:rPr>
        <w:t xml:space="preserve"> بما في ذلك </w:t>
      </w:r>
      <w:proofErr w:type="spellStart"/>
      <w:r w:rsidR="007D023F">
        <w:rPr>
          <w:rFonts w:hint="cs"/>
          <w:rtl/>
        </w:rPr>
        <w:t>التذييلات</w:t>
      </w:r>
      <w:proofErr w:type="spellEnd"/>
      <w:r w:rsidR="007D023F">
        <w:rPr>
          <w:rFonts w:hint="cs"/>
          <w:rtl/>
        </w:rPr>
        <w:t xml:space="preserve"> </w:t>
      </w:r>
      <w:r w:rsidR="007D023F" w:rsidRPr="007D023F">
        <w:rPr>
          <w:rFonts w:hint="cs"/>
          <w:b/>
          <w:bCs/>
          <w:rtl/>
          <w:lang w:val="fr-CH" w:bidi="ar-SY"/>
        </w:rPr>
        <w:t>30</w:t>
      </w:r>
      <w:r w:rsidR="007D023F">
        <w:rPr>
          <w:lang w:val="fr-CH" w:bidi="ar-SY"/>
        </w:rPr>
        <w:t xml:space="preserve"> </w:t>
      </w:r>
      <w:r w:rsidR="007D023F">
        <w:rPr>
          <w:rFonts w:hint="cs"/>
          <w:rtl/>
          <w:lang w:val="fr-CH" w:bidi="ar-SY"/>
        </w:rPr>
        <w:t>و</w:t>
      </w:r>
      <w:r w:rsidR="007D023F" w:rsidRPr="007D023F">
        <w:rPr>
          <w:b/>
          <w:bCs/>
          <w:lang w:val="fr-CH" w:bidi="ar-SY"/>
        </w:rPr>
        <w:t>30A</w:t>
      </w:r>
      <w:r w:rsidR="007D023F">
        <w:rPr>
          <w:rFonts w:hint="cs"/>
          <w:rtl/>
          <w:lang w:val="fr-CH" w:bidi="ar-SY"/>
        </w:rPr>
        <w:t xml:space="preserve"> و</w:t>
      </w:r>
      <w:r w:rsidR="007D023F" w:rsidRPr="007D023F">
        <w:rPr>
          <w:b/>
          <w:bCs/>
          <w:lang w:val="fr-CH" w:bidi="ar-SY"/>
        </w:rPr>
        <w:t>30B</w:t>
      </w:r>
      <w:r w:rsidR="007D023F" w:rsidRPr="007D023F">
        <w:rPr>
          <w:rFonts w:hint="cs"/>
          <w:rtl/>
          <w:lang w:val="fr-CH" w:bidi="ar-SY"/>
        </w:rPr>
        <w:t>،</w:t>
      </w:r>
      <w:r w:rsidR="007D023F">
        <w:rPr>
          <w:rFonts w:hint="cs"/>
          <w:rtl/>
          <w:lang w:val="fr-CH" w:bidi="ar-SY"/>
        </w:rPr>
        <w:t xml:space="preserve"> </w:t>
      </w:r>
      <w:r w:rsidRPr="00ED17DD">
        <w:rPr>
          <w:rtl/>
        </w:rPr>
        <w:t xml:space="preserve">ولذلك </w:t>
      </w:r>
      <w:r w:rsidR="007D023F">
        <w:rPr>
          <w:rFonts w:hint="cs"/>
          <w:rtl/>
        </w:rPr>
        <w:t>فإن هذه الإدارة</w:t>
      </w:r>
      <w:r w:rsidRPr="00ED17DD">
        <w:rPr>
          <w:rtl/>
        </w:rPr>
        <w:t xml:space="preserve"> </w:t>
      </w:r>
      <w:r w:rsidRPr="00ED17DD">
        <w:rPr>
          <w:rFonts w:hint="cs"/>
          <w:rtl/>
        </w:rPr>
        <w:t>ت</w:t>
      </w:r>
      <w:r w:rsidRPr="00ED17DD">
        <w:rPr>
          <w:rtl/>
        </w:rPr>
        <w:t>عارض</w:t>
      </w:r>
      <w:r>
        <w:rPr>
          <w:rFonts w:hint="cs"/>
          <w:rtl/>
        </w:rPr>
        <w:t xml:space="preserve"> إدراج</w:t>
      </w:r>
      <w:r w:rsidRPr="00ED17DD">
        <w:rPr>
          <w:rtl/>
        </w:rPr>
        <w:t xml:space="preserve"> أي بن</w:t>
      </w:r>
      <w:r w:rsidR="007D023F">
        <w:rPr>
          <w:rFonts w:hint="cs"/>
          <w:rtl/>
        </w:rPr>
        <w:t>د</w:t>
      </w:r>
      <w:r w:rsidRPr="00ED17DD">
        <w:rPr>
          <w:rtl/>
        </w:rPr>
        <w:t xml:space="preserve"> جديد في جدول أعمال مؤتمر عالمي مقبل للاتصالات الراديوية بشأن هذا الموضوع.</w:t>
      </w:r>
    </w:p>
    <w:p w14:paraId="37334B71" w14:textId="787BC007" w:rsidR="00C9761E" w:rsidRPr="00ED17DD" w:rsidRDefault="007D023F" w:rsidP="00C9761E">
      <w:pPr>
        <w:rPr>
          <w:rtl/>
        </w:rPr>
      </w:pPr>
      <w:r>
        <w:rPr>
          <w:rFonts w:hint="cs"/>
          <w:rtl/>
        </w:rPr>
        <w:t>وبالإضافة</w:t>
      </w:r>
      <w:r w:rsidR="00816072" w:rsidRPr="00816072">
        <w:rPr>
          <w:rtl/>
        </w:rPr>
        <w:t xml:space="preserve"> ذلك، تقترح هذه الإدارة إدراج بند في جدول أعمال المؤتمر </w:t>
      </w:r>
      <w:r w:rsidR="00816072" w:rsidRPr="00816072">
        <w:t>WRC-27</w:t>
      </w:r>
      <w:r w:rsidR="00816072" w:rsidRPr="00816072">
        <w:rPr>
          <w:rtl/>
        </w:rPr>
        <w:t xml:space="preserve"> بشأن وضع أحكام تنظيمية وتقنية </w:t>
      </w:r>
      <w:r>
        <w:rPr>
          <w:rFonts w:hint="cs"/>
          <w:rtl/>
          <w:lang w:bidi="ar-SY"/>
        </w:rPr>
        <w:t>تهدف إلى ا</w:t>
      </w:r>
      <w:r w:rsidR="00816072" w:rsidRPr="00816072">
        <w:rPr>
          <w:rtl/>
        </w:rPr>
        <w:t xml:space="preserve">لحصول على موافقة صريحة من الإدارة التي سيتم إدراج أراضيها الوطنية في منطقة الخدمة لأي نظام </w:t>
      </w:r>
      <w:proofErr w:type="spellStart"/>
      <w:r w:rsidR="00816072" w:rsidRPr="00816072">
        <w:rPr>
          <w:rtl/>
        </w:rPr>
        <w:t>ساتلي</w:t>
      </w:r>
      <w:proofErr w:type="spellEnd"/>
      <w:r w:rsidR="00816072" w:rsidRPr="00816072">
        <w:rPr>
          <w:rtl/>
        </w:rPr>
        <w:t xml:space="preserve"> غير مستقر بالنسبة إلى الأرض </w:t>
      </w:r>
      <w:r>
        <w:rPr>
          <w:rFonts w:hint="cs"/>
          <w:rtl/>
        </w:rPr>
        <w:t>في ا</w:t>
      </w:r>
      <w:r w:rsidR="00816072" w:rsidRPr="00816072">
        <w:rPr>
          <w:rtl/>
        </w:rPr>
        <w:t>لخدمة الثابتة الساتلية في المستقبل</w:t>
      </w:r>
      <w:r>
        <w:rPr>
          <w:rFonts w:hint="cs"/>
          <w:rtl/>
        </w:rPr>
        <w:t xml:space="preserve">، </w:t>
      </w:r>
      <w:r w:rsidR="00816072" w:rsidRPr="00816072">
        <w:rPr>
          <w:rtl/>
        </w:rPr>
        <w:t>ومستوى إشعاع المحطة الفضائية غير المستقرة بالنسبة إلى الأرض في الخدمة الثابتة الساتلية في اتجاه أراضيها الوطنية.</w:t>
      </w:r>
    </w:p>
    <w:p w14:paraId="532912C1" w14:textId="58490FFB" w:rsidR="00C9761E" w:rsidRPr="00C9761E" w:rsidRDefault="00C9761E" w:rsidP="00C9761E">
      <w:pPr>
        <w:spacing w:before="600" w:line="240" w:lineRule="auto"/>
        <w:jc w:val="center"/>
      </w:pPr>
      <w:r w:rsidRPr="00FE0082">
        <w:rPr>
          <w:rtl/>
          <w:lang w:bidi="ar-EG"/>
        </w:rPr>
        <w:t>ــــــــــــــــــــــــــــــــــــــــــــــــــــــــــــــــــــــــــــــــــــــــــــــــ</w:t>
      </w:r>
    </w:p>
    <w:sectPr w:rsidR="00C9761E" w:rsidRPr="00C9761E" w:rsidSect="004C67F1">
      <w:headerReference w:type="even" r:id="rId17"/>
      <w:headerReference w:type="default" r:id="rId18"/>
      <w:footerReference w:type="even" r:id="rId19"/>
      <w:footerReference w:type="default" r:id="rId20"/>
      <w:headerReference w:type="first" r:id="rId21"/>
      <w:footerReference w:type="first" r:id="rId22"/>
      <w:type w:val="oddPage"/>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DC86" w14:textId="77777777" w:rsidR="000D0106" w:rsidRDefault="000D0106" w:rsidP="002919E1">
      <w:r>
        <w:separator/>
      </w:r>
    </w:p>
    <w:p w14:paraId="60DAD1D3" w14:textId="77777777" w:rsidR="000D0106" w:rsidRDefault="000D0106" w:rsidP="002919E1"/>
    <w:p w14:paraId="45B080FD" w14:textId="77777777" w:rsidR="000D0106" w:rsidRDefault="000D0106" w:rsidP="002919E1"/>
    <w:p w14:paraId="1F5154FC" w14:textId="77777777" w:rsidR="000D0106" w:rsidRDefault="000D0106"/>
    <w:p w14:paraId="0E3610AE" w14:textId="77777777" w:rsidR="000D0106" w:rsidRDefault="000D0106"/>
  </w:endnote>
  <w:endnote w:type="continuationSeparator" w:id="0">
    <w:p w14:paraId="3D819CFD" w14:textId="77777777" w:rsidR="000D0106" w:rsidRDefault="000D0106" w:rsidP="002919E1">
      <w:r>
        <w:continuationSeparator/>
      </w:r>
    </w:p>
    <w:p w14:paraId="30705D51" w14:textId="77777777" w:rsidR="000D0106" w:rsidRDefault="000D0106" w:rsidP="002919E1"/>
    <w:p w14:paraId="61B8CA3C" w14:textId="77777777" w:rsidR="000D0106" w:rsidRDefault="000D0106" w:rsidP="002919E1"/>
    <w:p w14:paraId="09334986" w14:textId="77777777" w:rsidR="000D0106" w:rsidRDefault="000D0106"/>
    <w:p w14:paraId="0F985879" w14:textId="77777777" w:rsidR="000D0106" w:rsidRDefault="000D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sig w:usb0="00000003" w:usb1="00000000" w:usb2="00000000" w:usb3="00000000" w:csb0="00000001" w:csb1="00000000"/>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panose1 w:val="00000000000000000000"/>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564E" w14:textId="57F2523D" w:rsidR="00D63A6F" w:rsidRPr="00DA48B7" w:rsidRDefault="00D63A6F" w:rsidP="00D63A6F">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DA48B7">
      <w:rPr>
        <w:sz w:val="16"/>
        <w:szCs w:val="16"/>
        <w:lang w:val="pt-PT"/>
      </w:rPr>
      <w:instrText xml:space="preserve"> FILENAME \p \* MERGEFORMAT </w:instrText>
    </w:r>
    <w:r w:rsidRPr="0026373E">
      <w:rPr>
        <w:sz w:val="16"/>
        <w:szCs w:val="16"/>
        <w:lang w:val="fr-FR"/>
      </w:rPr>
      <w:fldChar w:fldCharType="separate"/>
    </w:r>
    <w:r w:rsidR="00670655">
      <w:rPr>
        <w:noProof/>
        <w:sz w:val="16"/>
        <w:szCs w:val="16"/>
        <w:lang w:val="pt-PT"/>
      </w:rPr>
      <w:t>P:\ARA\ITU-R\CONF-R\CMR23\100\148ADD27A.docx</w:t>
    </w:r>
    <w:r w:rsidRPr="0026373E">
      <w:rPr>
        <w:sz w:val="16"/>
        <w:szCs w:val="16"/>
      </w:rPr>
      <w:fldChar w:fldCharType="end"/>
    </w:r>
    <w:r w:rsidRPr="00DA48B7">
      <w:rPr>
        <w:sz w:val="16"/>
        <w:szCs w:val="16"/>
        <w:lang w:val="pt-PT"/>
      </w:rPr>
      <w:t xml:space="preserve">   </w:t>
    </w:r>
    <w:r w:rsidRPr="00DA48B7">
      <w:rPr>
        <w:sz w:val="16"/>
        <w:szCs w:val="16"/>
        <w:lang w:val="pt-PT"/>
      </w:rPr>
      <w:t>(</w:t>
    </w:r>
    <w:r w:rsidR="006334DB" w:rsidRPr="00DA48B7">
      <w:rPr>
        <w:sz w:val="16"/>
        <w:szCs w:val="16"/>
        <w:lang w:val="pt-PT"/>
      </w:rPr>
      <w:t>530415</w:t>
    </w:r>
    <w:r w:rsidRPr="00DA48B7">
      <w:rPr>
        <w:sz w:val="16"/>
        <w:szCs w:val="16"/>
        <w:lang w:val="pt-P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56EC" w14:textId="25C0194C" w:rsidR="006334DB" w:rsidRPr="00DA48B7" w:rsidRDefault="006334DB" w:rsidP="006334DB">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DA48B7">
      <w:rPr>
        <w:sz w:val="16"/>
        <w:szCs w:val="16"/>
        <w:lang w:val="pt-PT"/>
      </w:rPr>
      <w:instrText xml:space="preserve"> FILENAME \p \* MERGEFORMAT </w:instrText>
    </w:r>
    <w:r w:rsidRPr="0026373E">
      <w:rPr>
        <w:sz w:val="16"/>
        <w:szCs w:val="16"/>
        <w:lang w:val="fr-FR"/>
      </w:rPr>
      <w:fldChar w:fldCharType="separate"/>
    </w:r>
    <w:r w:rsidRPr="00DA48B7">
      <w:rPr>
        <w:noProof/>
        <w:sz w:val="16"/>
        <w:szCs w:val="16"/>
        <w:lang w:val="pt-PT"/>
      </w:rPr>
      <w:t>P:\TRAD\A\ITU-R\CONF-R\CMR23\000\148ADD27A (Montage).docx</w:t>
    </w:r>
    <w:r w:rsidRPr="0026373E">
      <w:rPr>
        <w:sz w:val="16"/>
        <w:szCs w:val="16"/>
      </w:rPr>
      <w:fldChar w:fldCharType="end"/>
    </w:r>
    <w:r w:rsidRPr="00DA48B7">
      <w:rPr>
        <w:sz w:val="16"/>
        <w:szCs w:val="16"/>
        <w:lang w:val="pt-PT"/>
      </w:rPr>
      <w:t xml:space="preserve">   </w:t>
    </w:r>
    <w:r w:rsidRPr="00DA48B7">
      <w:rPr>
        <w:sz w:val="16"/>
        <w:szCs w:val="16"/>
        <w:lang w:val="pt-PT"/>
      </w:rPr>
      <w:t>(530415)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C8E0" w14:textId="63945F64" w:rsidR="006334DB" w:rsidRPr="00DA48B7" w:rsidRDefault="006334DB" w:rsidP="006334DB">
    <w:pPr>
      <w:pStyle w:val="Footer"/>
      <w:tabs>
        <w:tab w:val="center" w:pos="5103"/>
        <w:tab w:val="right" w:pos="9639"/>
      </w:tabs>
      <w:bidi w:val="0"/>
      <w:spacing w:before="120"/>
      <w:rPr>
        <w:sz w:val="16"/>
        <w:szCs w:val="16"/>
        <w:lang w:val="pt-PT"/>
      </w:rPr>
    </w:pPr>
    <w:r w:rsidRPr="0026373E">
      <w:rPr>
        <w:sz w:val="16"/>
        <w:szCs w:val="16"/>
        <w:lang w:val="fr-FR"/>
      </w:rPr>
      <w:fldChar w:fldCharType="begin"/>
    </w:r>
    <w:r w:rsidRPr="00DA48B7">
      <w:rPr>
        <w:sz w:val="16"/>
        <w:szCs w:val="16"/>
        <w:lang w:val="pt-PT"/>
      </w:rPr>
      <w:instrText xml:space="preserve"> FILENAME \p \* MERGEFORMAT </w:instrText>
    </w:r>
    <w:r w:rsidRPr="0026373E">
      <w:rPr>
        <w:sz w:val="16"/>
        <w:szCs w:val="16"/>
        <w:lang w:val="fr-FR"/>
      </w:rPr>
      <w:fldChar w:fldCharType="separate"/>
    </w:r>
    <w:r w:rsidR="00670655">
      <w:rPr>
        <w:noProof/>
        <w:sz w:val="16"/>
        <w:szCs w:val="16"/>
        <w:lang w:val="pt-PT"/>
      </w:rPr>
      <w:t>P:\ARA\ITU-R\CONF-R\CMR23\100\148ADD27A.docx</w:t>
    </w:r>
    <w:r w:rsidRPr="0026373E">
      <w:rPr>
        <w:sz w:val="16"/>
        <w:szCs w:val="16"/>
      </w:rPr>
      <w:fldChar w:fldCharType="end"/>
    </w:r>
    <w:r w:rsidRPr="00DA48B7">
      <w:rPr>
        <w:sz w:val="16"/>
        <w:szCs w:val="16"/>
        <w:lang w:val="pt-PT"/>
      </w:rPr>
      <w:t xml:space="preserve">   (530415)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36EA" w14:textId="77777777" w:rsidR="000D0106" w:rsidRDefault="000D0106" w:rsidP="00C45930">
      <w:r>
        <w:separator/>
      </w:r>
    </w:p>
  </w:footnote>
  <w:footnote w:type="continuationSeparator" w:id="0">
    <w:p w14:paraId="62DDEF96" w14:textId="77777777" w:rsidR="000D0106" w:rsidRDefault="000D0106" w:rsidP="002919E1">
      <w:r>
        <w:continuationSeparator/>
      </w:r>
    </w:p>
    <w:p w14:paraId="773D4BAB" w14:textId="77777777" w:rsidR="000D0106" w:rsidRDefault="000D0106" w:rsidP="002919E1"/>
    <w:p w14:paraId="058CDAD5" w14:textId="77777777" w:rsidR="000D0106" w:rsidRDefault="000D0106" w:rsidP="002919E1"/>
    <w:p w14:paraId="07B3CCAA" w14:textId="77777777" w:rsidR="000D0106" w:rsidRDefault="000D0106"/>
    <w:p w14:paraId="17BF3A7A" w14:textId="77777777" w:rsidR="000D0106" w:rsidRDefault="000D01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C781" w14:textId="1EB66C84" w:rsidR="00D63A6F" w:rsidRPr="00F1256D" w:rsidRDefault="005E5F16" w:rsidP="00F1256D">
    <w:pPr>
      <w:bidi w:val="0"/>
      <w:spacing w:after="360" w:line="240" w:lineRule="auto"/>
      <w:jc w:val="center"/>
      <w:rPr>
        <w:sz w:val="20"/>
        <w:szCs w:val="20"/>
      </w:rPr>
    </w:pPr>
    <w:r w:rsidRPr="00C9761E">
      <w:rPr>
        <w:rStyle w:val="PageNumber"/>
        <w:rFonts w:ascii="Dubai" w:hAnsi="Dubai" w:cs="Dubai"/>
      </w:rPr>
      <w:fldChar w:fldCharType="begin"/>
    </w:r>
    <w:r w:rsidRPr="00C9761E">
      <w:rPr>
        <w:rStyle w:val="PageNumber"/>
        <w:rFonts w:ascii="Dubai" w:hAnsi="Dubai" w:cs="Dubai"/>
      </w:rPr>
      <w:instrText xml:space="preserve"> PAGE </w:instrText>
    </w:r>
    <w:r w:rsidRPr="00C9761E">
      <w:rPr>
        <w:rStyle w:val="PageNumber"/>
        <w:rFonts w:ascii="Dubai" w:hAnsi="Dubai" w:cs="Dubai"/>
      </w:rPr>
      <w:fldChar w:fldCharType="separate"/>
    </w:r>
    <w:r w:rsidRPr="00C9761E">
      <w:rPr>
        <w:rStyle w:val="PageNumber"/>
        <w:rFonts w:ascii="Dubai" w:hAnsi="Dubai" w:cs="Dubai"/>
      </w:rPr>
      <w:t>2</w:t>
    </w:r>
    <w:r w:rsidRPr="00C9761E">
      <w:rPr>
        <w:rStyle w:val="PageNumber"/>
        <w:rFonts w:ascii="Dubai" w:hAnsi="Dubai" w:cs="Dubai"/>
      </w:rPr>
      <w:fldChar w:fldCharType="end"/>
    </w:r>
    <w:r w:rsidRPr="00C9761E">
      <w:rPr>
        <w:rStyle w:val="PageNumber"/>
        <w:rFonts w:ascii="Dubai" w:hAnsi="Dubai" w:cs="Dubai"/>
        <w:rtl/>
      </w:rPr>
      <w:br/>
    </w:r>
    <w:r w:rsidR="004F5F29" w:rsidRPr="00C9761E">
      <w:rPr>
        <w:rStyle w:val="PageNumber"/>
        <w:rFonts w:ascii="Dubai" w:hAnsi="Dubai" w:cs="Dubai"/>
      </w:rPr>
      <w:t>WRC</w:t>
    </w:r>
    <w:r w:rsidRPr="00C9761E">
      <w:rPr>
        <w:rStyle w:val="PageNumber"/>
        <w:rFonts w:ascii="Dubai" w:hAnsi="Dubai" w:cs="Dubai"/>
      </w:rPr>
      <w:t>23/148(Add.27)-A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BA9C" w14:textId="77777777" w:rsidR="00C9761E" w:rsidRPr="00C9761E" w:rsidRDefault="00C9761E" w:rsidP="00C9761E">
    <w:pPr>
      <w:bidi w:val="0"/>
      <w:spacing w:after="360" w:line="240" w:lineRule="auto"/>
      <w:jc w:val="center"/>
      <w:rPr>
        <w:sz w:val="20"/>
        <w:szCs w:val="20"/>
      </w:rPr>
    </w:pPr>
    <w:r w:rsidRPr="00C9761E">
      <w:rPr>
        <w:rStyle w:val="PageNumber"/>
        <w:rFonts w:ascii="Dubai" w:hAnsi="Dubai" w:cs="Dubai"/>
      </w:rPr>
      <w:fldChar w:fldCharType="begin"/>
    </w:r>
    <w:r w:rsidRPr="00C9761E">
      <w:rPr>
        <w:rStyle w:val="PageNumber"/>
        <w:rFonts w:ascii="Dubai" w:hAnsi="Dubai" w:cs="Dubai"/>
      </w:rPr>
      <w:instrText xml:space="preserve"> PAGE </w:instrText>
    </w:r>
    <w:r w:rsidRPr="00C9761E">
      <w:rPr>
        <w:rStyle w:val="PageNumber"/>
        <w:rFonts w:ascii="Dubai" w:hAnsi="Dubai" w:cs="Dubai"/>
      </w:rPr>
      <w:fldChar w:fldCharType="separate"/>
    </w:r>
    <w:r>
      <w:rPr>
        <w:rStyle w:val="PageNumber"/>
        <w:rFonts w:ascii="Dubai" w:hAnsi="Dubai" w:cs="Dubai"/>
      </w:rPr>
      <w:t>2</w:t>
    </w:r>
    <w:r w:rsidRPr="00C9761E">
      <w:rPr>
        <w:rStyle w:val="PageNumber"/>
        <w:rFonts w:ascii="Dubai" w:hAnsi="Dubai" w:cs="Dubai"/>
      </w:rPr>
      <w:fldChar w:fldCharType="end"/>
    </w:r>
    <w:r w:rsidRPr="00C9761E">
      <w:rPr>
        <w:rStyle w:val="PageNumber"/>
        <w:rFonts w:ascii="Dubai" w:hAnsi="Dubai" w:cs="Dubai"/>
        <w:rtl/>
      </w:rPr>
      <w:br/>
    </w:r>
    <w:r w:rsidRPr="00C9761E">
      <w:rPr>
        <w:rStyle w:val="PageNumber"/>
        <w:rFonts w:ascii="Dubai" w:hAnsi="Dubai" w:cs="Dubai"/>
      </w:rPr>
      <w:t>WRC23/148(Add.27)-A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6C66" w14:textId="77777777" w:rsidR="00670655" w:rsidRDefault="00670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65599144">
    <w:abstractNumId w:val="9"/>
  </w:num>
  <w:num w:numId="2" w16cid:durableId="1566722891">
    <w:abstractNumId w:val="13"/>
  </w:num>
  <w:num w:numId="3" w16cid:durableId="194270832">
    <w:abstractNumId w:val="11"/>
  </w:num>
  <w:num w:numId="4" w16cid:durableId="1298728197">
    <w:abstractNumId w:val="14"/>
  </w:num>
  <w:num w:numId="5" w16cid:durableId="1673142418">
    <w:abstractNumId w:val="7"/>
  </w:num>
  <w:num w:numId="6" w16cid:durableId="809640127">
    <w:abstractNumId w:val="6"/>
  </w:num>
  <w:num w:numId="7" w16cid:durableId="1536772621">
    <w:abstractNumId w:val="5"/>
  </w:num>
  <w:num w:numId="8" w16cid:durableId="313799744">
    <w:abstractNumId w:val="4"/>
  </w:num>
  <w:num w:numId="9" w16cid:durableId="1387804168">
    <w:abstractNumId w:val="8"/>
  </w:num>
  <w:num w:numId="10" w16cid:durableId="962150733">
    <w:abstractNumId w:val="3"/>
  </w:num>
  <w:num w:numId="11" w16cid:durableId="1013267575">
    <w:abstractNumId w:val="2"/>
  </w:num>
  <w:num w:numId="12" w16cid:durableId="1636333342">
    <w:abstractNumId w:val="1"/>
  </w:num>
  <w:num w:numId="13" w16cid:durableId="1334146873">
    <w:abstractNumId w:val="0"/>
  </w:num>
  <w:num w:numId="14" w16cid:durableId="594441237">
    <w:abstractNumId w:val="10"/>
  </w:num>
  <w:num w:numId="15" w16cid:durableId="1421871714">
    <w:abstractNumId w:val="15"/>
  </w:num>
  <w:num w:numId="16" w16cid:durableId="1884903404">
    <w:abstractNumId w:val="12"/>
  </w:num>
  <w:num w:numId="17" w16cid:durableId="21781725">
    <w:abstractNumId w:val="6"/>
  </w:num>
  <w:num w:numId="18" w16cid:durableId="885797410">
    <w:abstractNumId w:val="5"/>
  </w:num>
  <w:num w:numId="19" w16cid:durableId="1506817843">
    <w:abstractNumId w:val="3"/>
  </w:num>
  <w:num w:numId="20" w16cid:durableId="132212530">
    <w:abstractNumId w:val="2"/>
  </w:num>
  <w:num w:numId="21" w16cid:durableId="565605069">
    <w:abstractNumId w:val="6"/>
  </w:num>
  <w:num w:numId="22" w16cid:durableId="2099986693">
    <w:abstractNumId w:val="5"/>
  </w:num>
  <w:num w:numId="23" w16cid:durableId="486215362">
    <w:abstractNumId w:val="3"/>
  </w:num>
  <w:num w:numId="24" w16cid:durableId="1743983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25854"/>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10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45F9"/>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66CAF"/>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E0502"/>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34DB"/>
    <w:rsid w:val="00634507"/>
    <w:rsid w:val="0063573F"/>
    <w:rsid w:val="00642743"/>
    <w:rsid w:val="006437CF"/>
    <w:rsid w:val="00651F17"/>
    <w:rsid w:val="00654D43"/>
    <w:rsid w:val="0065562F"/>
    <w:rsid w:val="006569F9"/>
    <w:rsid w:val="00660B83"/>
    <w:rsid w:val="00666697"/>
    <w:rsid w:val="00670655"/>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0454"/>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023F"/>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072"/>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3D74"/>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768B6"/>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9761E"/>
    <w:rsid w:val="00CA1971"/>
    <w:rsid w:val="00CA1BEA"/>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35D5"/>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48B7"/>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0A"/>
    <w:rsid w:val="00F055F8"/>
    <w:rsid w:val="00F10CB4"/>
    <w:rsid w:val="00F11B3D"/>
    <w:rsid w:val="00F1256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97D26"/>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styleId="UnresolvedMention">
    <w:name w:val="Unresolved Mention"/>
    <w:basedOn w:val="DefaultParagraphFont"/>
    <w:uiPriority w:val="99"/>
    <w:semiHidden/>
    <w:unhideWhenUsed/>
    <w:rsid w:val="00F05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afe.menlosecurity.com/https:/www.itu.int/md/R19-CPM23.2-C-0236/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itudoc/itu-r/archives/rsg/1998-00/report99%20/cpmrep-e.html"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5af7747-711e-45f8-ae4b-ea1a154b7255">DPM</DPM_x0020_Author>
    <DPM_x0020_File_x0020_name xmlns="25af7747-711e-45f8-ae4b-ea1a154b7255">R23-WRC23-C-0148!A27!MSW-A</DPM_x0020_File_x0020_name>
    <DPM_x0020_Version xmlns="25af7747-711e-45f8-ae4b-ea1a154b7255">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af7747-711e-45f8-ae4b-ea1a154b7255" targetNamespace="http://schemas.microsoft.com/office/2006/metadata/properties" ma:root="true" ma:fieldsID="d41af5c836d734370eb92e7ee5f83852" ns2:_="" ns3:_="">
    <xsd:import namespace="996b2e75-67fd-4955-a3b0-5ab9934cb50b"/>
    <xsd:import namespace="25af7747-711e-45f8-ae4b-ea1a154b72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af7747-711e-45f8-ae4b-ea1a154b72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5af7747-711e-45f8-ae4b-ea1a154b7255"/>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af7747-711e-45f8-ae4b-ea1a154b7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4.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1095</Words>
  <Characters>6142</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R23-WRC23-C-0148!A27!MSW-A</vt:lpstr>
      <vt:lpstr>R23-WRC23-C-0148!A27!MSW-A</vt:lpstr>
    </vt:vector>
  </TitlesOfParts>
  <Manager>General Secretariat - Pool</Manager>
  <Company>International Telecommunication Union (ITU)</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R23-WRC23-C-0148!A27!MSW-A</dc:title>
  <dc:creator>Documents Proposals Manager (DPM)</dc:creator>
  <cp:keywords>DPM_v2023.11.6.1_prod</cp:keywords>
  <cp:lastModifiedBy>Arabic-IR</cp:lastModifiedBy>
  <cp:revision>3</cp:revision>
  <cp:lastPrinted>2020-08-11T14:28:00Z</cp:lastPrinted>
  <dcterms:created xsi:type="dcterms:W3CDTF">2023-11-18T15:12:00Z</dcterms:created>
  <dcterms:modified xsi:type="dcterms:W3CDTF">2023-11-18T15:13:00Z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