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06F9F" w14:paraId="7AF44F81" w14:textId="77777777" w:rsidTr="00F320AA">
        <w:trPr>
          <w:cantSplit/>
        </w:trPr>
        <w:tc>
          <w:tcPr>
            <w:tcW w:w="1418" w:type="dxa"/>
            <w:vAlign w:val="center"/>
          </w:tcPr>
          <w:p w14:paraId="5BCF6508" w14:textId="77777777" w:rsidR="00F320AA" w:rsidRPr="00306F9F" w:rsidRDefault="00F320AA" w:rsidP="00F320AA">
            <w:pPr>
              <w:spacing w:before="0"/>
              <w:rPr>
                <w:rFonts w:ascii="Verdana" w:hAnsi="Verdana"/>
                <w:position w:val="6"/>
              </w:rPr>
            </w:pPr>
            <w:r w:rsidRPr="00306F9F">
              <w:drawing>
                <wp:inline distT="0" distB="0" distL="0" distR="0" wp14:anchorId="0E9A7F68" wp14:editId="5816838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E63B92D" w14:textId="77777777" w:rsidR="00F320AA" w:rsidRPr="00306F9F" w:rsidRDefault="00F320AA" w:rsidP="00F320AA">
            <w:pPr>
              <w:spacing w:before="400" w:after="48" w:line="240" w:lineRule="atLeast"/>
              <w:rPr>
                <w:rFonts w:ascii="Verdana" w:hAnsi="Verdana"/>
                <w:position w:val="6"/>
              </w:rPr>
            </w:pPr>
            <w:r w:rsidRPr="00306F9F">
              <w:rPr>
                <w:rFonts w:ascii="Verdana" w:hAnsi="Verdana" w:cs="Times"/>
                <w:b/>
                <w:position w:val="6"/>
                <w:sz w:val="22"/>
                <w:szCs w:val="22"/>
              </w:rPr>
              <w:t>World Radiocommunication Conference (WRC-23)</w:t>
            </w:r>
            <w:r w:rsidRPr="00306F9F">
              <w:rPr>
                <w:rFonts w:ascii="Verdana" w:hAnsi="Verdana" w:cs="Times"/>
                <w:b/>
                <w:position w:val="6"/>
                <w:sz w:val="26"/>
                <w:szCs w:val="26"/>
              </w:rPr>
              <w:br/>
            </w:r>
            <w:r w:rsidRPr="00306F9F">
              <w:rPr>
                <w:rFonts w:ascii="Verdana" w:hAnsi="Verdana"/>
                <w:b/>
                <w:bCs/>
                <w:position w:val="6"/>
                <w:sz w:val="18"/>
                <w:szCs w:val="18"/>
              </w:rPr>
              <w:t>Dubai, 20 November - 15 December 2023</w:t>
            </w:r>
          </w:p>
        </w:tc>
        <w:tc>
          <w:tcPr>
            <w:tcW w:w="1951" w:type="dxa"/>
            <w:vAlign w:val="center"/>
          </w:tcPr>
          <w:p w14:paraId="12C3C1F3" w14:textId="77777777" w:rsidR="00F320AA" w:rsidRPr="00306F9F" w:rsidRDefault="00EB0812" w:rsidP="00F320AA">
            <w:pPr>
              <w:spacing w:before="0" w:line="240" w:lineRule="atLeast"/>
            </w:pPr>
            <w:r w:rsidRPr="00306F9F">
              <w:drawing>
                <wp:inline distT="0" distB="0" distL="0" distR="0" wp14:anchorId="72C1E96D" wp14:editId="1424EAB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06F9F" w14:paraId="1581D169" w14:textId="77777777">
        <w:trPr>
          <w:cantSplit/>
        </w:trPr>
        <w:tc>
          <w:tcPr>
            <w:tcW w:w="6911" w:type="dxa"/>
            <w:gridSpan w:val="2"/>
            <w:tcBorders>
              <w:bottom w:val="single" w:sz="12" w:space="0" w:color="auto"/>
            </w:tcBorders>
          </w:tcPr>
          <w:p w14:paraId="099B0BF7" w14:textId="77777777" w:rsidR="00A066F1" w:rsidRPr="00306F9F"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C26BF33" w14:textId="77777777" w:rsidR="00A066F1" w:rsidRPr="00306F9F" w:rsidRDefault="00A066F1" w:rsidP="00A066F1">
            <w:pPr>
              <w:spacing w:before="0" w:line="240" w:lineRule="atLeast"/>
              <w:rPr>
                <w:rFonts w:ascii="Verdana" w:hAnsi="Verdana"/>
                <w:szCs w:val="24"/>
              </w:rPr>
            </w:pPr>
          </w:p>
        </w:tc>
      </w:tr>
      <w:tr w:rsidR="00A066F1" w:rsidRPr="00306F9F" w14:paraId="23C35740" w14:textId="77777777">
        <w:trPr>
          <w:cantSplit/>
        </w:trPr>
        <w:tc>
          <w:tcPr>
            <w:tcW w:w="6911" w:type="dxa"/>
            <w:gridSpan w:val="2"/>
            <w:tcBorders>
              <w:top w:val="single" w:sz="12" w:space="0" w:color="auto"/>
            </w:tcBorders>
          </w:tcPr>
          <w:p w14:paraId="304B605E" w14:textId="77777777" w:rsidR="00A066F1" w:rsidRPr="00306F9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6BCCAF7" w14:textId="77777777" w:rsidR="00A066F1" w:rsidRPr="00306F9F" w:rsidRDefault="00A066F1" w:rsidP="00A066F1">
            <w:pPr>
              <w:spacing w:before="0" w:line="240" w:lineRule="atLeast"/>
              <w:rPr>
                <w:rFonts w:ascii="Verdana" w:hAnsi="Verdana"/>
                <w:sz w:val="20"/>
              </w:rPr>
            </w:pPr>
          </w:p>
        </w:tc>
      </w:tr>
      <w:tr w:rsidR="00A066F1" w:rsidRPr="00306F9F" w14:paraId="62308986" w14:textId="77777777">
        <w:trPr>
          <w:cantSplit/>
          <w:trHeight w:val="23"/>
        </w:trPr>
        <w:tc>
          <w:tcPr>
            <w:tcW w:w="6911" w:type="dxa"/>
            <w:gridSpan w:val="2"/>
            <w:shd w:val="clear" w:color="auto" w:fill="auto"/>
          </w:tcPr>
          <w:p w14:paraId="17F6ECD9" w14:textId="77777777" w:rsidR="00A066F1" w:rsidRPr="00306F9F"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06F9F">
              <w:rPr>
                <w:rFonts w:ascii="Verdana" w:hAnsi="Verdana"/>
                <w:sz w:val="20"/>
                <w:szCs w:val="20"/>
              </w:rPr>
              <w:t>PLENARY MEETING</w:t>
            </w:r>
          </w:p>
        </w:tc>
        <w:tc>
          <w:tcPr>
            <w:tcW w:w="3120" w:type="dxa"/>
            <w:gridSpan w:val="2"/>
          </w:tcPr>
          <w:p w14:paraId="76E8F5F4" w14:textId="77777777" w:rsidR="00A066F1" w:rsidRPr="00306F9F" w:rsidRDefault="00E55816" w:rsidP="00AA666F">
            <w:pPr>
              <w:tabs>
                <w:tab w:val="left" w:pos="851"/>
              </w:tabs>
              <w:spacing w:before="0" w:line="240" w:lineRule="atLeast"/>
              <w:rPr>
                <w:rFonts w:ascii="Verdana" w:hAnsi="Verdana"/>
                <w:sz w:val="20"/>
              </w:rPr>
            </w:pPr>
            <w:r w:rsidRPr="00306F9F">
              <w:rPr>
                <w:rFonts w:ascii="Verdana" w:hAnsi="Verdana"/>
                <w:b/>
                <w:sz w:val="20"/>
              </w:rPr>
              <w:t>Addendum 7 to</w:t>
            </w:r>
            <w:r w:rsidRPr="00306F9F">
              <w:rPr>
                <w:rFonts w:ascii="Verdana" w:hAnsi="Verdana"/>
                <w:b/>
                <w:sz w:val="20"/>
              </w:rPr>
              <w:br/>
              <w:t>Document 142(Add.27)</w:t>
            </w:r>
            <w:r w:rsidR="00A066F1" w:rsidRPr="00306F9F">
              <w:rPr>
                <w:rFonts w:ascii="Verdana" w:hAnsi="Verdana"/>
                <w:b/>
                <w:sz w:val="20"/>
              </w:rPr>
              <w:t>-</w:t>
            </w:r>
            <w:r w:rsidR="005E10C9" w:rsidRPr="00306F9F">
              <w:rPr>
                <w:rFonts w:ascii="Verdana" w:hAnsi="Verdana"/>
                <w:b/>
                <w:sz w:val="20"/>
              </w:rPr>
              <w:t>E</w:t>
            </w:r>
          </w:p>
        </w:tc>
      </w:tr>
      <w:tr w:rsidR="00A066F1" w:rsidRPr="00306F9F" w14:paraId="1A020E77" w14:textId="77777777">
        <w:trPr>
          <w:cantSplit/>
          <w:trHeight w:val="23"/>
        </w:trPr>
        <w:tc>
          <w:tcPr>
            <w:tcW w:w="6911" w:type="dxa"/>
            <w:gridSpan w:val="2"/>
            <w:shd w:val="clear" w:color="auto" w:fill="auto"/>
          </w:tcPr>
          <w:p w14:paraId="7B18CB7E" w14:textId="77777777" w:rsidR="00A066F1" w:rsidRPr="00306F9F"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1439D9C" w14:textId="77777777" w:rsidR="00A066F1" w:rsidRPr="00306F9F" w:rsidRDefault="00420873" w:rsidP="00A066F1">
            <w:pPr>
              <w:tabs>
                <w:tab w:val="left" w:pos="993"/>
              </w:tabs>
              <w:spacing w:before="0"/>
              <w:rPr>
                <w:rFonts w:ascii="Verdana" w:hAnsi="Verdana"/>
                <w:sz w:val="20"/>
              </w:rPr>
            </w:pPr>
            <w:r w:rsidRPr="00306F9F">
              <w:rPr>
                <w:rFonts w:ascii="Verdana" w:hAnsi="Verdana"/>
                <w:b/>
                <w:sz w:val="20"/>
              </w:rPr>
              <w:t>29 October 2023</w:t>
            </w:r>
          </w:p>
        </w:tc>
      </w:tr>
      <w:tr w:rsidR="00A066F1" w:rsidRPr="00306F9F" w14:paraId="489B51C9" w14:textId="77777777">
        <w:trPr>
          <w:cantSplit/>
          <w:trHeight w:val="23"/>
        </w:trPr>
        <w:tc>
          <w:tcPr>
            <w:tcW w:w="6911" w:type="dxa"/>
            <w:gridSpan w:val="2"/>
            <w:shd w:val="clear" w:color="auto" w:fill="auto"/>
          </w:tcPr>
          <w:p w14:paraId="5BF1A5D3" w14:textId="77777777" w:rsidR="00A066F1" w:rsidRPr="00306F9F"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07376A4" w14:textId="77777777" w:rsidR="00A066F1" w:rsidRPr="00306F9F" w:rsidRDefault="00E55816" w:rsidP="00A066F1">
            <w:pPr>
              <w:tabs>
                <w:tab w:val="left" w:pos="993"/>
              </w:tabs>
              <w:spacing w:before="0"/>
              <w:rPr>
                <w:rFonts w:ascii="Verdana" w:hAnsi="Verdana"/>
                <w:b/>
                <w:sz w:val="20"/>
              </w:rPr>
            </w:pPr>
            <w:r w:rsidRPr="00306F9F">
              <w:rPr>
                <w:rFonts w:ascii="Verdana" w:hAnsi="Verdana"/>
                <w:b/>
                <w:sz w:val="20"/>
              </w:rPr>
              <w:t>Original: English</w:t>
            </w:r>
          </w:p>
        </w:tc>
      </w:tr>
      <w:tr w:rsidR="00A066F1" w:rsidRPr="00306F9F" w14:paraId="77A6EB97" w14:textId="77777777" w:rsidTr="00025864">
        <w:trPr>
          <w:cantSplit/>
          <w:trHeight w:val="23"/>
        </w:trPr>
        <w:tc>
          <w:tcPr>
            <w:tcW w:w="10031" w:type="dxa"/>
            <w:gridSpan w:val="4"/>
            <w:shd w:val="clear" w:color="auto" w:fill="auto"/>
          </w:tcPr>
          <w:p w14:paraId="099D6E8E" w14:textId="77777777" w:rsidR="00A066F1" w:rsidRPr="00306F9F" w:rsidRDefault="00A066F1" w:rsidP="00A066F1">
            <w:pPr>
              <w:tabs>
                <w:tab w:val="left" w:pos="993"/>
              </w:tabs>
              <w:spacing w:before="0"/>
              <w:rPr>
                <w:rFonts w:ascii="Verdana" w:hAnsi="Verdana"/>
                <w:b/>
                <w:sz w:val="20"/>
              </w:rPr>
            </w:pPr>
          </w:p>
        </w:tc>
      </w:tr>
      <w:tr w:rsidR="00E55816" w:rsidRPr="00306F9F" w14:paraId="40BC707E" w14:textId="77777777" w:rsidTr="00025864">
        <w:trPr>
          <w:cantSplit/>
          <w:trHeight w:val="23"/>
        </w:trPr>
        <w:tc>
          <w:tcPr>
            <w:tcW w:w="10031" w:type="dxa"/>
            <w:gridSpan w:val="4"/>
            <w:shd w:val="clear" w:color="auto" w:fill="auto"/>
          </w:tcPr>
          <w:p w14:paraId="59A8EDED" w14:textId="77777777" w:rsidR="00E55816" w:rsidRPr="00306F9F" w:rsidRDefault="00884D60" w:rsidP="00E55816">
            <w:pPr>
              <w:pStyle w:val="Source"/>
            </w:pPr>
            <w:r w:rsidRPr="00306F9F">
              <w:t>United States of America</w:t>
            </w:r>
          </w:p>
        </w:tc>
      </w:tr>
      <w:tr w:rsidR="00E55816" w:rsidRPr="00306F9F" w14:paraId="2F058CB7" w14:textId="77777777" w:rsidTr="00025864">
        <w:trPr>
          <w:cantSplit/>
          <w:trHeight w:val="23"/>
        </w:trPr>
        <w:tc>
          <w:tcPr>
            <w:tcW w:w="10031" w:type="dxa"/>
            <w:gridSpan w:val="4"/>
            <w:shd w:val="clear" w:color="auto" w:fill="auto"/>
          </w:tcPr>
          <w:p w14:paraId="183471FC" w14:textId="3D20E619" w:rsidR="00E55816" w:rsidRPr="00306F9F" w:rsidRDefault="007D5320" w:rsidP="00E55816">
            <w:pPr>
              <w:pStyle w:val="Title1"/>
            </w:pPr>
            <w:r w:rsidRPr="00306F9F">
              <w:t>PROPOSAL</w:t>
            </w:r>
            <w:r w:rsidR="00BC0DEC" w:rsidRPr="00306F9F">
              <w:t>s</w:t>
            </w:r>
            <w:r w:rsidRPr="00306F9F">
              <w:t xml:space="preserve"> FOR THE WORK OF THE CONFERENCE</w:t>
            </w:r>
          </w:p>
        </w:tc>
      </w:tr>
      <w:tr w:rsidR="00E55816" w:rsidRPr="00306F9F" w14:paraId="6A039EE6" w14:textId="77777777" w:rsidTr="00025864">
        <w:trPr>
          <w:cantSplit/>
          <w:trHeight w:val="23"/>
        </w:trPr>
        <w:tc>
          <w:tcPr>
            <w:tcW w:w="10031" w:type="dxa"/>
            <w:gridSpan w:val="4"/>
            <w:shd w:val="clear" w:color="auto" w:fill="auto"/>
          </w:tcPr>
          <w:p w14:paraId="02F41CDB" w14:textId="77777777" w:rsidR="00E55816" w:rsidRPr="00306F9F" w:rsidRDefault="00E55816" w:rsidP="00E55816">
            <w:pPr>
              <w:pStyle w:val="Title2"/>
            </w:pPr>
          </w:p>
        </w:tc>
      </w:tr>
      <w:tr w:rsidR="00A538A6" w:rsidRPr="00306F9F" w14:paraId="50952F67" w14:textId="77777777" w:rsidTr="00025864">
        <w:trPr>
          <w:cantSplit/>
          <w:trHeight w:val="23"/>
        </w:trPr>
        <w:tc>
          <w:tcPr>
            <w:tcW w:w="10031" w:type="dxa"/>
            <w:gridSpan w:val="4"/>
            <w:shd w:val="clear" w:color="auto" w:fill="auto"/>
          </w:tcPr>
          <w:p w14:paraId="27F3D73E" w14:textId="77777777" w:rsidR="00A538A6" w:rsidRPr="00306F9F" w:rsidRDefault="004B13CB" w:rsidP="004B13CB">
            <w:pPr>
              <w:pStyle w:val="Agendaitem"/>
              <w:rPr>
                <w:lang w:val="en-GB"/>
              </w:rPr>
            </w:pPr>
            <w:r w:rsidRPr="00306F9F">
              <w:rPr>
                <w:lang w:val="en-GB"/>
              </w:rPr>
              <w:t>Agenda item 10</w:t>
            </w:r>
          </w:p>
        </w:tc>
      </w:tr>
    </w:tbl>
    <w:bookmarkEnd w:id="5"/>
    <w:bookmarkEnd w:id="6"/>
    <w:p w14:paraId="06486002" w14:textId="77777777" w:rsidR="00187BD9" w:rsidRPr="00306F9F" w:rsidRDefault="007D53D6" w:rsidP="00E27A0B">
      <w:pPr>
        <w:pStyle w:val="Normalaftertitle"/>
      </w:pPr>
      <w:r w:rsidRPr="00306F9F">
        <w:t>10</w:t>
      </w:r>
      <w:r w:rsidRPr="00306F9F">
        <w:rPr>
          <w:b/>
          <w:bCs/>
        </w:rPr>
        <w:tab/>
      </w:r>
      <w:r w:rsidRPr="00306F9F">
        <w:t xml:space="preserve">to recommend to the ITU Council items for inclusion in the agenda for the next world radiocommunication conference, </w:t>
      </w:r>
      <w:r w:rsidRPr="00306F9F">
        <w:rPr>
          <w:iCs/>
        </w:rPr>
        <w:t xml:space="preserve">and items for the preliminary agenda of future conferences, </w:t>
      </w:r>
      <w:r w:rsidRPr="00306F9F">
        <w:t xml:space="preserve">in accordance with Article 7 of the ITU Convention </w:t>
      </w:r>
      <w:r w:rsidRPr="00306F9F">
        <w:rPr>
          <w:iCs/>
        </w:rPr>
        <w:t xml:space="preserve">and Resolution </w:t>
      </w:r>
      <w:r w:rsidRPr="00306F9F">
        <w:rPr>
          <w:b/>
          <w:bCs/>
          <w:iCs/>
        </w:rPr>
        <w:t>804 (Rev.WRC</w:t>
      </w:r>
      <w:r w:rsidRPr="00306F9F">
        <w:rPr>
          <w:b/>
          <w:bCs/>
          <w:iCs/>
        </w:rPr>
        <w:noBreakHyphen/>
        <w:t>19)</w:t>
      </w:r>
      <w:r w:rsidRPr="00306F9F">
        <w:rPr>
          <w:iCs/>
        </w:rPr>
        <w:t>,</w:t>
      </w:r>
    </w:p>
    <w:p w14:paraId="0FA174EA" w14:textId="4DBCC766" w:rsidR="00755FAE" w:rsidRPr="00306F9F" w:rsidRDefault="00E27A0B" w:rsidP="00755FAE">
      <w:pPr>
        <w:pStyle w:val="Headingb"/>
        <w:rPr>
          <w:lang w:val="en-GB"/>
        </w:rPr>
      </w:pPr>
      <w:r w:rsidRPr="00306F9F">
        <w:rPr>
          <w:lang w:val="en-GB"/>
        </w:rPr>
        <w:t>Background</w:t>
      </w:r>
    </w:p>
    <w:p w14:paraId="400EF8BE" w14:textId="77777777" w:rsidR="00755FAE" w:rsidRPr="00306F9F" w:rsidRDefault="00755FAE" w:rsidP="00755FAE">
      <w:pPr>
        <w:rPr>
          <w:bCs/>
          <w:szCs w:val="24"/>
        </w:rPr>
      </w:pPr>
      <w:r w:rsidRPr="00306F9F">
        <w:rPr>
          <w:bCs/>
          <w:szCs w:val="24"/>
        </w:rPr>
        <w:t>Today, the early vision for 6G, also known as IMT-2030, is starting to emerge as the mobile and broader vertical ecosystems embark on foundational technology research preparing for the next decade of innovations. While we are still years away from commercial launches of the 6G platform, we know that 6G will bring technology leaps, new experiences, and use cases that we can barely imagine today.</w:t>
      </w:r>
    </w:p>
    <w:p w14:paraId="196972A8" w14:textId="02FF3348" w:rsidR="00755FAE" w:rsidRPr="00306F9F" w:rsidRDefault="00755FAE" w:rsidP="00755FAE">
      <w:pPr>
        <w:rPr>
          <w:bCs/>
          <w:szCs w:val="24"/>
        </w:rPr>
      </w:pPr>
      <w:r w:rsidRPr="00306F9F">
        <w:rPr>
          <w:bCs/>
          <w:szCs w:val="24"/>
        </w:rPr>
        <w:t xml:space="preserve">At a high level, three main driving forces </w:t>
      </w:r>
      <w:r w:rsidRPr="00306F9F">
        <w:rPr>
          <w:szCs w:val="24"/>
        </w:rPr>
        <w:t xml:space="preserve">are </w:t>
      </w:r>
      <w:r w:rsidRPr="00306F9F">
        <w:rPr>
          <w:bCs/>
          <w:szCs w:val="24"/>
        </w:rPr>
        <w:t>behind the need for 6G:</w:t>
      </w:r>
    </w:p>
    <w:p w14:paraId="7D606481" w14:textId="7D84EAA9" w:rsidR="00755FAE" w:rsidRPr="00306F9F" w:rsidRDefault="008636C5" w:rsidP="003A039F">
      <w:pPr>
        <w:pStyle w:val="enumlev1"/>
      </w:pPr>
      <w:r w:rsidRPr="00306F9F">
        <w:t>1</w:t>
      </w:r>
      <w:r w:rsidRPr="00306F9F">
        <w:tab/>
      </w:r>
      <w:r w:rsidR="00755FAE" w:rsidRPr="00306F9F">
        <w:t>harnessing core technology advancements (in wireless and adjacent areas like semiconductors and materials science);</w:t>
      </w:r>
    </w:p>
    <w:p w14:paraId="75FCA205" w14:textId="5608E36C" w:rsidR="00755FAE" w:rsidRPr="00306F9F" w:rsidRDefault="008636C5" w:rsidP="003A039F">
      <w:pPr>
        <w:pStyle w:val="enumlev1"/>
      </w:pPr>
      <w:r w:rsidRPr="00306F9F">
        <w:t>2</w:t>
      </w:r>
      <w:r w:rsidRPr="00306F9F">
        <w:tab/>
      </w:r>
      <w:r w:rsidR="00755FAE" w:rsidRPr="00306F9F">
        <w:t xml:space="preserve">meeting societal sustainability needs (e.g., economic growth, digital access, and green initiatives); and </w:t>
      </w:r>
    </w:p>
    <w:p w14:paraId="77E08F13" w14:textId="72499005" w:rsidR="00755FAE" w:rsidRPr="00306F9F" w:rsidRDefault="008636C5" w:rsidP="003A039F">
      <w:pPr>
        <w:pStyle w:val="enumlev1"/>
      </w:pPr>
      <w:r w:rsidRPr="00306F9F">
        <w:t>3</w:t>
      </w:r>
      <w:r w:rsidRPr="00306F9F">
        <w:tab/>
      </w:r>
      <w:r w:rsidR="00755FAE" w:rsidRPr="00306F9F">
        <w:t>addressing new requirements for next-level experiences that cannot be met with 5G.</w:t>
      </w:r>
    </w:p>
    <w:p w14:paraId="7CDDD671" w14:textId="38D41055" w:rsidR="00755FAE" w:rsidRPr="00306F9F" w:rsidRDefault="00755FAE" w:rsidP="00755FAE">
      <w:pPr>
        <w:rPr>
          <w:bCs/>
          <w:szCs w:val="24"/>
        </w:rPr>
      </w:pPr>
      <w:r w:rsidRPr="00306F9F">
        <w:rPr>
          <w:bCs/>
          <w:szCs w:val="24"/>
        </w:rPr>
        <w:t>To efficiently meet these objectives, 6G will be a smarter platform that brings more than just a new radio design. It is envisioned to encompass a broader range of technologies to further drive the expansion of the connected intelligent edge at scale. 6G should fully unleash the combined potential of communications, artificial intelligence (AI), integrated sensing, system resiliency, and greener networks.</w:t>
      </w:r>
    </w:p>
    <w:p w14:paraId="6578A7B5" w14:textId="114991D3" w:rsidR="00755FAE" w:rsidRPr="00306F9F" w:rsidRDefault="00755FAE" w:rsidP="00755FAE">
      <w:pPr>
        <w:rPr>
          <w:bCs/>
          <w:szCs w:val="24"/>
        </w:rPr>
      </w:pPr>
      <w:r w:rsidRPr="00306F9F">
        <w:rPr>
          <w:bCs/>
          <w:szCs w:val="24"/>
        </w:rPr>
        <w:t>With that, a new spectrum paradigm can bring new frequency bands and enable novel sharing techniques that better utilize existing spectrum. Furthermore, opening new spectrum for mobile connectivity, in conju</w:t>
      </w:r>
      <w:r w:rsidR="00C80BCB" w:rsidRPr="00306F9F">
        <w:rPr>
          <w:bCs/>
          <w:szCs w:val="24"/>
        </w:rPr>
        <w:t>n</w:t>
      </w:r>
      <w:r w:rsidRPr="00306F9F">
        <w:rPr>
          <w:bCs/>
          <w:szCs w:val="24"/>
        </w:rPr>
        <w:t>ction with the spectrum already identified in lower and higher bands, would enable new use cases and deployments that require both coverage and capacity.</w:t>
      </w:r>
    </w:p>
    <w:p w14:paraId="60C6B1EE" w14:textId="5ACE858E" w:rsidR="00755FAE" w:rsidRPr="00306F9F" w:rsidRDefault="00755FAE" w:rsidP="00755FAE">
      <w:pPr>
        <w:rPr>
          <w:bCs/>
          <w:szCs w:val="24"/>
        </w:rPr>
      </w:pPr>
      <w:r w:rsidRPr="00306F9F">
        <w:rPr>
          <w:szCs w:val="24"/>
        </w:rPr>
        <w:lastRenderedPageBreak/>
        <w:t>There is growing momentum around 6G development and policy planning at the international, regional, and national levels. ITU-R Working Party 5D recently completed the framework</w:t>
      </w:r>
      <w:r w:rsidRPr="00306F9F">
        <w:rPr>
          <w:rStyle w:val="FootnoteReference"/>
        </w:rPr>
        <w:footnoteReference w:id="1"/>
      </w:r>
      <w:r w:rsidRPr="00306F9F">
        <w:rPr>
          <w:szCs w:val="24"/>
        </w:rPr>
        <w:t xml:space="preserve"> to define IMT towards 2030. The new ITU-R Recommendation containing detailed standards is expected to be completed in 2030. Regulators in the region have also opened regulatory proceedings to address the need to have necessary regulations in place for the next generation of wireless technology. Further, initiatives like the Next G Alliance, which is comprised of industry, academia, and government, are diligently working on the development of the next generation of wireless technology seeking to advance leadership and competitiveness in this space.</w:t>
      </w:r>
    </w:p>
    <w:p w14:paraId="41A4D5DF" w14:textId="77777777" w:rsidR="00755FAE" w:rsidRPr="00306F9F" w:rsidRDefault="00755FAE" w:rsidP="00755FAE">
      <w:pPr>
        <w:rPr>
          <w:bCs/>
          <w:szCs w:val="24"/>
        </w:rPr>
      </w:pPr>
      <w:r w:rsidRPr="00306F9F">
        <w:rPr>
          <w:szCs w:val="24"/>
        </w:rPr>
        <w:t>Contiguous spectrum bandwidths other than those currently available are necessary to address traffic growth in mobile networks. As such, discussions have already started to identify the most suitable frequency bands to address the needs of expanded coverage and high capacity for 5G and 6G networks. While no single frequency range satisfies all the criteria required for the complete realization of 6G networks and their applications, as well as the additional development of 5G networks, spectrum in the upper mid-band range could complement the current offer of spectrum identified for IMT to facilitate next generations, including the IMT-2030 capacity-demanding use cases for both wider coverage and higher capacity.</w:t>
      </w:r>
      <w:r w:rsidRPr="00306F9F">
        <w:rPr>
          <w:bCs/>
          <w:szCs w:val="24"/>
        </w:rPr>
        <w:t xml:space="preserve"> </w:t>
      </w:r>
    </w:p>
    <w:p w14:paraId="6BADA0C1" w14:textId="3FE6889B" w:rsidR="00755FAE" w:rsidRPr="00306F9F" w:rsidRDefault="00755FAE" w:rsidP="00755FAE">
      <w:pPr>
        <w:rPr>
          <w:szCs w:val="24"/>
        </w:rPr>
      </w:pPr>
      <w:r w:rsidRPr="00306F9F">
        <w:rPr>
          <w:szCs w:val="24"/>
        </w:rPr>
        <w:t>It is important to recognize that the incumbent services in the candidate bands provide important systems for public safety, aviation and other uses operating under the existing primary allocations, and such operations must be protected. Sharing and compatibility studies are required to examine the feasibility of introducing IMT into these bands while ensuring the protection of those services to which the frequency band is allocated on a primary basis without imposing additional regulatory or technical constraints on those services, in the same band or adjacent, as appropriate.</w:t>
      </w:r>
    </w:p>
    <w:p w14:paraId="498F969F" w14:textId="2B7447D9" w:rsidR="00755FAE" w:rsidRPr="00306F9F" w:rsidRDefault="003E3151" w:rsidP="00755FAE">
      <w:pPr>
        <w:pStyle w:val="Headingb"/>
        <w:rPr>
          <w:lang w:val="en-GB"/>
        </w:rPr>
      </w:pPr>
      <w:r w:rsidRPr="00306F9F">
        <w:rPr>
          <w:lang w:val="en-GB"/>
        </w:rPr>
        <w:t>Proposals</w:t>
      </w:r>
    </w:p>
    <w:p w14:paraId="59C0653A" w14:textId="77777777" w:rsidR="00187BD9" w:rsidRPr="00306F9F" w:rsidRDefault="00187BD9" w:rsidP="00187BD9">
      <w:pPr>
        <w:tabs>
          <w:tab w:val="clear" w:pos="1134"/>
          <w:tab w:val="clear" w:pos="1871"/>
          <w:tab w:val="clear" w:pos="2268"/>
        </w:tabs>
        <w:overflowPunct/>
        <w:autoSpaceDE/>
        <w:autoSpaceDN/>
        <w:adjustRightInd/>
        <w:spacing w:before="0"/>
        <w:textAlignment w:val="auto"/>
      </w:pPr>
      <w:r w:rsidRPr="00306F9F">
        <w:br w:type="page"/>
      </w:r>
    </w:p>
    <w:p w14:paraId="44F84307" w14:textId="77777777" w:rsidR="006A7611" w:rsidRPr="00306F9F" w:rsidRDefault="007D53D6">
      <w:pPr>
        <w:pStyle w:val="Proposal"/>
      </w:pPr>
      <w:r w:rsidRPr="00306F9F">
        <w:lastRenderedPageBreak/>
        <w:t>ADD</w:t>
      </w:r>
      <w:r w:rsidRPr="00306F9F">
        <w:tab/>
        <w:t>USA/142A27A7/1</w:t>
      </w:r>
    </w:p>
    <w:p w14:paraId="03303F09" w14:textId="3B823F29" w:rsidR="006A7611" w:rsidRPr="00306F9F" w:rsidRDefault="007D53D6">
      <w:pPr>
        <w:pStyle w:val="ResNo"/>
      </w:pPr>
      <w:r w:rsidRPr="00306F9F">
        <w:t>Draft New Resolution [</w:t>
      </w:r>
      <w:r w:rsidR="001D48FA" w:rsidRPr="00306F9F">
        <w:t>WRC-27_AGENDA] (WRC</w:t>
      </w:r>
      <w:r w:rsidR="00BC0DEC" w:rsidRPr="00306F9F">
        <w:noBreakHyphen/>
      </w:r>
      <w:r w:rsidR="001D48FA" w:rsidRPr="00306F9F">
        <w:t>23)</w:t>
      </w:r>
    </w:p>
    <w:p w14:paraId="786A12CE" w14:textId="77777777" w:rsidR="003A6BE5" w:rsidRPr="00306F9F" w:rsidRDefault="003A6BE5" w:rsidP="003A6BE5">
      <w:pPr>
        <w:pStyle w:val="Restitle"/>
      </w:pPr>
      <w:bookmarkStart w:id="7" w:name="_Toc319401924"/>
      <w:bookmarkStart w:id="8" w:name="_Toc327364587"/>
      <w:r w:rsidRPr="00306F9F">
        <w:t>Agenda for the 2027 World Radiocommunication Conference</w:t>
      </w:r>
      <w:bookmarkEnd w:id="7"/>
      <w:bookmarkEnd w:id="8"/>
    </w:p>
    <w:p w14:paraId="579D07A9" w14:textId="77777777" w:rsidR="00315C72" w:rsidRPr="00306F9F" w:rsidRDefault="00315C72" w:rsidP="00315C72">
      <w:pPr>
        <w:pStyle w:val="Normalaftertitle"/>
      </w:pPr>
      <w:r w:rsidRPr="00306F9F">
        <w:t>The World Radiocommunication Conference (Dubai, 2023),</w:t>
      </w:r>
    </w:p>
    <w:p w14:paraId="7DF96462" w14:textId="784EB9B3" w:rsidR="007D53D6" w:rsidRPr="00306F9F" w:rsidRDefault="007D53D6" w:rsidP="007D53D6">
      <w:r w:rsidRPr="00306F9F">
        <w:t>...</w:t>
      </w:r>
    </w:p>
    <w:p w14:paraId="57B80196" w14:textId="2696B062" w:rsidR="007D53D6" w:rsidRPr="00306F9F" w:rsidRDefault="007D53D6" w:rsidP="007D53D6">
      <w:pPr>
        <w:pStyle w:val="Call"/>
      </w:pPr>
      <w:r w:rsidRPr="00306F9F">
        <w:t>resolves</w:t>
      </w:r>
    </w:p>
    <w:p w14:paraId="57797245" w14:textId="0A1D7178" w:rsidR="007D53D6" w:rsidRPr="00306F9F" w:rsidRDefault="007D53D6" w:rsidP="007D53D6">
      <w:r w:rsidRPr="00306F9F">
        <w:t>...</w:t>
      </w:r>
    </w:p>
    <w:p w14:paraId="580A3D27" w14:textId="0F498841" w:rsidR="006322F2" w:rsidRPr="00306F9F" w:rsidRDefault="006322F2" w:rsidP="006322F2">
      <w:pPr>
        <w:rPr>
          <w:szCs w:val="24"/>
        </w:rPr>
      </w:pPr>
      <w:r w:rsidRPr="00306F9F">
        <w:rPr>
          <w:szCs w:val="24"/>
        </w:rPr>
        <w:t xml:space="preserve">1.[X] </w:t>
      </w:r>
      <w:r w:rsidRPr="00306F9F">
        <w:rPr>
          <w:szCs w:val="24"/>
        </w:rPr>
        <w:tab/>
        <w:t>to consider identification of the frequency bands for the future development of the terrestrial component of International Mobile Telecommunications (IMT), including possible additional allocations to the mobile service on a primary basis, in accordance with Resolution</w:t>
      </w:r>
      <w:r w:rsidR="0056292B" w:rsidRPr="00306F9F">
        <w:rPr>
          <w:szCs w:val="24"/>
        </w:rPr>
        <w:t> </w:t>
      </w:r>
      <w:r w:rsidRPr="00306F9F">
        <w:rPr>
          <w:b/>
          <w:bCs/>
          <w:szCs w:val="24"/>
        </w:rPr>
        <w:t>[IMT-NEW-BANDS] (WRC</w:t>
      </w:r>
      <w:r w:rsidR="00BC0DEC" w:rsidRPr="00306F9F">
        <w:rPr>
          <w:b/>
          <w:bCs/>
          <w:szCs w:val="24"/>
        </w:rPr>
        <w:noBreakHyphen/>
      </w:r>
      <w:r w:rsidRPr="00306F9F">
        <w:rPr>
          <w:b/>
          <w:bCs/>
          <w:szCs w:val="24"/>
        </w:rPr>
        <w:t>23)</w:t>
      </w:r>
      <w:r w:rsidRPr="00306F9F">
        <w:rPr>
          <w:szCs w:val="24"/>
        </w:rPr>
        <w:t>;</w:t>
      </w:r>
    </w:p>
    <w:p w14:paraId="1BD8E9EC" w14:textId="77777777" w:rsidR="006322F2" w:rsidRPr="00306F9F" w:rsidRDefault="006322F2" w:rsidP="006322F2">
      <w:pPr>
        <w:rPr>
          <w:b/>
          <w:i/>
          <w:szCs w:val="24"/>
        </w:rPr>
      </w:pPr>
      <w:r w:rsidRPr="00306F9F">
        <w:rPr>
          <w:szCs w:val="24"/>
        </w:rPr>
        <w:t>…</w:t>
      </w:r>
    </w:p>
    <w:p w14:paraId="0E67F9FB" w14:textId="060B86A5" w:rsidR="006A7611" w:rsidRPr="00306F9F" w:rsidRDefault="007D53D6">
      <w:pPr>
        <w:pStyle w:val="Reasons"/>
      </w:pPr>
      <w:r w:rsidRPr="00306F9F">
        <w:rPr>
          <w:b/>
        </w:rPr>
        <w:t>Reasons:</w:t>
      </w:r>
      <w:r w:rsidRPr="00306F9F">
        <w:tab/>
      </w:r>
      <w:r w:rsidR="00E709A8" w:rsidRPr="00306F9F">
        <w:t xml:space="preserve">Demand for access to IMT spectrum is robust and accelerating. Contiguous spectrum bandwidths other than those currently available are necessary to address traffic growth in mobile networks. Spectrum in the bands studied within Resolution </w:t>
      </w:r>
      <w:r w:rsidR="00E709A8" w:rsidRPr="00306F9F">
        <w:rPr>
          <w:b/>
          <w:bCs/>
        </w:rPr>
        <w:t>[IMT-NEW-BANDS]</w:t>
      </w:r>
      <w:r w:rsidR="001E6F78" w:rsidRPr="00306F9F">
        <w:t xml:space="preserve"> </w:t>
      </w:r>
      <w:r w:rsidR="001E6F78" w:rsidRPr="00306F9F">
        <w:rPr>
          <w:b/>
          <w:bCs/>
          <w:szCs w:val="24"/>
        </w:rPr>
        <w:t>(WRC</w:t>
      </w:r>
      <w:r w:rsidR="00BC0DEC" w:rsidRPr="00306F9F">
        <w:rPr>
          <w:b/>
          <w:bCs/>
          <w:szCs w:val="24"/>
        </w:rPr>
        <w:noBreakHyphen/>
      </w:r>
      <w:r w:rsidR="001E6F78" w:rsidRPr="00306F9F">
        <w:rPr>
          <w:b/>
          <w:bCs/>
          <w:szCs w:val="24"/>
        </w:rPr>
        <w:t>23)</w:t>
      </w:r>
      <w:r w:rsidR="00E709A8" w:rsidRPr="00306F9F">
        <w:t xml:space="preserve"> could facilitate the IMT-2030 capacity-demanding use cases for both wider coverage and higher capacity.</w:t>
      </w:r>
    </w:p>
    <w:p w14:paraId="45EDD41F" w14:textId="77777777" w:rsidR="006A7611" w:rsidRPr="00306F9F" w:rsidRDefault="007D53D6">
      <w:pPr>
        <w:pStyle w:val="Proposal"/>
      </w:pPr>
      <w:r w:rsidRPr="00306F9F">
        <w:t>ADD</w:t>
      </w:r>
      <w:r w:rsidRPr="00306F9F">
        <w:tab/>
        <w:t>USA/142A27A7/2</w:t>
      </w:r>
    </w:p>
    <w:p w14:paraId="4FEF7D1B" w14:textId="76176F25" w:rsidR="006A7611" w:rsidRPr="00306F9F" w:rsidRDefault="007D53D6">
      <w:pPr>
        <w:pStyle w:val="ResNo"/>
      </w:pPr>
      <w:r w:rsidRPr="00306F9F">
        <w:t>Draft New Resolution [IMT-NEW-BANDS] (WRC</w:t>
      </w:r>
      <w:r w:rsidR="00BC0DEC" w:rsidRPr="00306F9F">
        <w:noBreakHyphen/>
      </w:r>
      <w:r w:rsidRPr="00306F9F">
        <w:t>23)</w:t>
      </w:r>
    </w:p>
    <w:p w14:paraId="18BE20D9" w14:textId="77777777" w:rsidR="002B2BA6" w:rsidRPr="00306F9F" w:rsidRDefault="002B2BA6" w:rsidP="002B2BA6">
      <w:pPr>
        <w:pStyle w:val="Restitle"/>
        <w:rPr>
          <w:bCs/>
        </w:rPr>
      </w:pPr>
      <w:r w:rsidRPr="00306F9F">
        <w:t>Studies on the identification of additional frequency bands for the terrestrial component of IMT</w:t>
      </w:r>
    </w:p>
    <w:p w14:paraId="67CB5153" w14:textId="77777777" w:rsidR="00BE33BD" w:rsidRPr="00306F9F" w:rsidRDefault="00BE33BD" w:rsidP="00BE33BD">
      <w:pPr>
        <w:pStyle w:val="Normalaftertitle"/>
      </w:pPr>
      <w:r w:rsidRPr="00306F9F">
        <w:t>The World Radiocommunication Conference (Dubai, 2023),</w:t>
      </w:r>
    </w:p>
    <w:p w14:paraId="7BCE87DB" w14:textId="77777777" w:rsidR="00F4719D" w:rsidRPr="00306F9F" w:rsidRDefault="00F4719D" w:rsidP="00F4719D">
      <w:pPr>
        <w:pStyle w:val="Call"/>
      </w:pPr>
      <w:r w:rsidRPr="00306F9F">
        <w:t>considering</w:t>
      </w:r>
    </w:p>
    <w:p w14:paraId="3D3EC41C" w14:textId="786B1C5D" w:rsidR="00F4719D" w:rsidRPr="00306F9F" w:rsidRDefault="00F4719D" w:rsidP="00783084">
      <w:r w:rsidRPr="00306F9F">
        <w:rPr>
          <w:i/>
        </w:rPr>
        <w:t>a)</w:t>
      </w:r>
      <w:r w:rsidRPr="00306F9F">
        <w:tab/>
        <w:t>that International Mobile Telecommunications (IMT) is intended to provide telecommunication services on a worldwide scale, regardless of location and type of network or terminal;</w:t>
      </w:r>
    </w:p>
    <w:p w14:paraId="2BF64136" w14:textId="6352BEB5" w:rsidR="00F4719D" w:rsidRPr="00306F9F" w:rsidRDefault="00F4719D" w:rsidP="00783084">
      <w:r w:rsidRPr="00306F9F">
        <w:rPr>
          <w:i/>
        </w:rPr>
        <w:t>b)</w:t>
      </w:r>
      <w:r w:rsidRPr="00306F9F">
        <w:tab/>
        <w:t>that IMT systems have contributed to global economic and social development;</w:t>
      </w:r>
    </w:p>
    <w:p w14:paraId="213082B2" w14:textId="5A5AAAAE" w:rsidR="00F4719D" w:rsidRPr="00306F9F" w:rsidRDefault="00F4719D" w:rsidP="00783084">
      <w:r w:rsidRPr="00306F9F">
        <w:rPr>
          <w:i/>
        </w:rPr>
        <w:t>c)</w:t>
      </w:r>
      <w:r w:rsidRPr="00306F9F">
        <w:tab/>
        <w:t>that IMT systems are now being evolved to provide diverse usage scenarios such as enhanced mobile broadband, massive machine-type communications and ultra-reliable and low-latency communications, and applications including fixed broadband;</w:t>
      </w:r>
    </w:p>
    <w:p w14:paraId="5D12A47A" w14:textId="32D2C19E" w:rsidR="00F4719D" w:rsidRPr="00306F9F" w:rsidRDefault="00F4719D" w:rsidP="00783084">
      <w:r w:rsidRPr="00306F9F">
        <w:rPr>
          <w:i/>
        </w:rPr>
        <w:t>d)</w:t>
      </w:r>
      <w:r w:rsidRPr="00306F9F">
        <w:tab/>
        <w:t>that ultra-low latency and very high bit-rate applications of IMT will require contiguous blocks of spectrum for use by administrations wishing to implement IMT;</w:t>
      </w:r>
    </w:p>
    <w:p w14:paraId="2F3CD6E8" w14:textId="7A2D318C" w:rsidR="00F4719D" w:rsidRPr="00306F9F" w:rsidRDefault="00F4719D" w:rsidP="00783084">
      <w:r w:rsidRPr="00306F9F">
        <w:rPr>
          <w:i/>
        </w:rPr>
        <w:t>e)</w:t>
      </w:r>
      <w:r w:rsidRPr="00306F9F">
        <w:tab/>
        <w:t>that, compared with lower and higher frequency bands, the mid-band spectrum can provide better balance for meeting needs for both coverage and capacity;</w:t>
      </w:r>
    </w:p>
    <w:p w14:paraId="4C0D3C0D" w14:textId="77777777" w:rsidR="00F4719D" w:rsidRPr="00306F9F" w:rsidRDefault="00F4719D" w:rsidP="00783084">
      <w:r w:rsidRPr="00306F9F">
        <w:rPr>
          <w:i/>
        </w:rPr>
        <w:t>f)</w:t>
      </w:r>
      <w:r w:rsidRPr="00306F9F">
        <w:tab/>
        <w:t xml:space="preserve">that there is a need to continually take advantage of technological developments </w:t>
      </w:r>
      <w:proofErr w:type="gramStart"/>
      <w:r w:rsidRPr="00306F9F">
        <w:t>in order to</w:t>
      </w:r>
      <w:proofErr w:type="gramEnd"/>
      <w:r w:rsidRPr="00306F9F">
        <w:t xml:space="preserve"> increase the efficient use of spectrum and facilitate spectrum access; </w:t>
      </w:r>
    </w:p>
    <w:p w14:paraId="32C59A49" w14:textId="3766B4A7" w:rsidR="00F4719D" w:rsidRPr="00306F9F" w:rsidRDefault="00F4719D" w:rsidP="00783084">
      <w:r w:rsidRPr="00306F9F">
        <w:rPr>
          <w:i/>
        </w:rPr>
        <w:lastRenderedPageBreak/>
        <w:t>g)</w:t>
      </w:r>
      <w:r w:rsidRPr="00306F9F">
        <w:tab/>
        <w:t>that adequate and timely availability of spectrum and corresponding regulatory provisions are essential to support the future development of IMT;</w:t>
      </w:r>
    </w:p>
    <w:p w14:paraId="61BCBB02" w14:textId="1F17EE35" w:rsidR="00F4719D" w:rsidRPr="00306F9F" w:rsidRDefault="00F4719D" w:rsidP="00783084">
      <w:r w:rsidRPr="00306F9F">
        <w:rPr>
          <w:i/>
        </w:rPr>
        <w:t>h)</w:t>
      </w:r>
      <w:r w:rsidRPr="00306F9F">
        <w:tab/>
        <w:t xml:space="preserve">that harmonized worldwide frequency bands and harmonized frequency arrangements for IMT are highly desirable </w:t>
      </w:r>
      <w:proofErr w:type="gramStart"/>
      <w:r w:rsidRPr="00306F9F">
        <w:t>in order to</w:t>
      </w:r>
      <w:proofErr w:type="gramEnd"/>
      <w:r w:rsidRPr="00306F9F">
        <w:t xml:space="preserve"> achieve global roaming and the benefits of economies of scale</w:t>
      </w:r>
      <w:r w:rsidR="007D53D6" w:rsidRPr="00306F9F">
        <w:t>;</w:t>
      </w:r>
    </w:p>
    <w:p w14:paraId="205F296D" w14:textId="3B38281C" w:rsidR="00F4719D" w:rsidRPr="00306F9F" w:rsidRDefault="00F4719D" w:rsidP="00783084">
      <w:r w:rsidRPr="00306F9F">
        <w:rPr>
          <w:i/>
          <w:iCs/>
        </w:rPr>
        <w:t>i)</w:t>
      </w:r>
      <w:r w:rsidRPr="00306F9F">
        <w:tab/>
        <w:t>that a need exists to protect existing services and to allow for their continued development when considering frequency bands for possible additional allocations to any service</w:t>
      </w:r>
      <w:r w:rsidR="007D53D6" w:rsidRPr="00306F9F">
        <w:t>,</w:t>
      </w:r>
    </w:p>
    <w:p w14:paraId="7DC4EB13" w14:textId="77777777" w:rsidR="00F4719D" w:rsidRPr="00306F9F" w:rsidRDefault="00F4719D" w:rsidP="00F4719D">
      <w:pPr>
        <w:pStyle w:val="Call"/>
      </w:pPr>
      <w:r w:rsidRPr="00306F9F">
        <w:t>noting</w:t>
      </w:r>
    </w:p>
    <w:p w14:paraId="067B25C0" w14:textId="4E21DF21" w:rsidR="00F4719D" w:rsidRPr="00306F9F" w:rsidRDefault="00F4719D" w:rsidP="00783084">
      <w:r w:rsidRPr="00306F9F">
        <w:rPr>
          <w:i/>
        </w:rPr>
        <w:t>a)</w:t>
      </w:r>
      <w:r w:rsidRPr="00306F9F">
        <w:tab/>
        <w:t>that Resolution ITU</w:t>
      </w:r>
      <w:r w:rsidR="00BC0DEC" w:rsidRPr="00306F9F">
        <w:noBreakHyphen/>
      </w:r>
      <w:r w:rsidRPr="00306F9F">
        <w:t>R 65 addresses the principles for the process of development of IMT for 2020 and beyond;</w:t>
      </w:r>
    </w:p>
    <w:p w14:paraId="3D63F551" w14:textId="4FCCAF04" w:rsidR="00F4719D" w:rsidRPr="00306F9F" w:rsidRDefault="00F4719D" w:rsidP="00783084">
      <w:r w:rsidRPr="00306F9F">
        <w:rPr>
          <w:i/>
        </w:rPr>
        <w:t>b)</w:t>
      </w:r>
      <w:r w:rsidRPr="00306F9F">
        <w:tab/>
        <w:t>that IMT encompasses IMT-2000, IMT-Advanced and IMT-2020 collectively, as described in Resolution ITU</w:t>
      </w:r>
      <w:r w:rsidR="00BC0DEC" w:rsidRPr="00306F9F">
        <w:noBreakHyphen/>
      </w:r>
      <w:r w:rsidRPr="00306F9F">
        <w:t>R 56-2 and the ITU is actively studying the development and standardization of IMT-2030;</w:t>
      </w:r>
    </w:p>
    <w:p w14:paraId="3EC6F19A" w14:textId="43824217" w:rsidR="00F4719D" w:rsidRPr="00306F9F" w:rsidRDefault="00F4719D" w:rsidP="00783084">
      <w:r w:rsidRPr="00306F9F">
        <w:rPr>
          <w:i/>
        </w:rPr>
        <w:t>c)</w:t>
      </w:r>
      <w:r w:rsidRPr="00306F9F">
        <w:tab/>
        <w:t>that Question ITU</w:t>
      </w:r>
      <w:r w:rsidR="00BC0DEC" w:rsidRPr="00306F9F">
        <w:noBreakHyphen/>
      </w:r>
      <w:r w:rsidRPr="00306F9F">
        <w:t>R 77-8/5 considers the needs of developing countries in the development and implementation of IMT;</w:t>
      </w:r>
    </w:p>
    <w:p w14:paraId="712F7E3A" w14:textId="46F12AB2" w:rsidR="00F4719D" w:rsidRPr="00306F9F" w:rsidRDefault="00F4719D" w:rsidP="00783084">
      <w:r w:rsidRPr="00306F9F">
        <w:rPr>
          <w:i/>
        </w:rPr>
        <w:t>d)</w:t>
      </w:r>
      <w:r w:rsidRPr="00306F9F">
        <w:tab/>
        <w:t>that Question ITU</w:t>
      </w:r>
      <w:r w:rsidR="00BC0DEC" w:rsidRPr="00306F9F">
        <w:noBreakHyphen/>
      </w:r>
      <w:r w:rsidRPr="00306F9F">
        <w:t>R 229/5 seeks to address the further development of IMT;</w:t>
      </w:r>
    </w:p>
    <w:p w14:paraId="460A7CBE" w14:textId="6C45C853" w:rsidR="00F4719D" w:rsidRPr="00306F9F" w:rsidRDefault="00F4719D" w:rsidP="00783084">
      <w:r w:rsidRPr="00306F9F">
        <w:rPr>
          <w:i/>
        </w:rPr>
        <w:t>e)</w:t>
      </w:r>
      <w:r w:rsidRPr="00306F9F">
        <w:tab/>
        <w:t>that Question ITU</w:t>
      </w:r>
      <w:r w:rsidR="00BC0DEC" w:rsidRPr="00306F9F">
        <w:noBreakHyphen/>
      </w:r>
      <w:r w:rsidRPr="00306F9F">
        <w:t>R 262/5 addresses the study of usage of IMT systems for specific applications;</w:t>
      </w:r>
    </w:p>
    <w:p w14:paraId="1B6060AA" w14:textId="7872F7ED" w:rsidR="00F4719D" w:rsidRPr="00306F9F" w:rsidRDefault="00F4719D" w:rsidP="00783084">
      <w:r w:rsidRPr="00306F9F">
        <w:rPr>
          <w:i/>
        </w:rPr>
        <w:t>f)</w:t>
      </w:r>
      <w:r w:rsidRPr="00306F9F">
        <w:tab/>
        <w:t>Recommendation ITU</w:t>
      </w:r>
      <w:r w:rsidR="00BC0DEC" w:rsidRPr="00306F9F">
        <w:noBreakHyphen/>
      </w:r>
      <w:r w:rsidRPr="00306F9F">
        <w:t>R M.2083, on the framework and objectives of the future development of IMT for 2020 and beyond;</w:t>
      </w:r>
    </w:p>
    <w:p w14:paraId="5B6912DA" w14:textId="77777777" w:rsidR="00F4719D" w:rsidRPr="00306F9F" w:rsidRDefault="00F4719D" w:rsidP="00783084">
      <w:r w:rsidRPr="00306F9F">
        <w:rPr>
          <w:i/>
        </w:rPr>
        <w:t>g)</w:t>
      </w:r>
      <w:r w:rsidRPr="00306F9F">
        <w:tab/>
        <w:t>Recommendation ITU</w:t>
      </w:r>
      <w:r w:rsidRPr="00306F9F">
        <w:noBreakHyphen/>
        <w:t>R M.[IMT.FRAMEWORK FOR 2030 AND BEYOND], on the framework and objectives of the future development of IMT for 2020 and beyond;</w:t>
      </w:r>
    </w:p>
    <w:p w14:paraId="69051EC4" w14:textId="1D44DF8B" w:rsidR="00F4719D" w:rsidRPr="00306F9F" w:rsidRDefault="00F4719D" w:rsidP="00783084">
      <w:pPr>
        <w:rPr>
          <w:i/>
        </w:rPr>
      </w:pPr>
      <w:r w:rsidRPr="00306F9F">
        <w:rPr>
          <w:i/>
        </w:rPr>
        <w:t>h</w:t>
      </w:r>
      <w:r w:rsidRPr="005167E8">
        <w:rPr>
          <w:i/>
          <w:iCs/>
        </w:rPr>
        <w:t>)</w:t>
      </w:r>
      <w:r w:rsidRPr="00306F9F">
        <w:tab/>
        <w:t>Report ITU</w:t>
      </w:r>
      <w:r w:rsidR="00BC0DEC" w:rsidRPr="00306F9F">
        <w:noBreakHyphen/>
      </w:r>
      <w:r w:rsidRPr="00306F9F">
        <w:t xml:space="preserve">R M.2516, on future technology trends of terrestrial </w:t>
      </w:r>
      <w:r w:rsidR="00306F9F" w:rsidRPr="00306F9F">
        <w:t>IMT</w:t>
      </w:r>
      <w:r w:rsidRPr="00306F9F">
        <w:t xml:space="preserve"> systems towards 2030 and beyond,</w:t>
      </w:r>
    </w:p>
    <w:p w14:paraId="047A42C9" w14:textId="77777777" w:rsidR="00F4719D" w:rsidRPr="00306F9F" w:rsidRDefault="00F4719D" w:rsidP="00F4719D">
      <w:pPr>
        <w:pStyle w:val="Call"/>
      </w:pPr>
      <w:r w:rsidRPr="00306F9F">
        <w:t>recognizing</w:t>
      </w:r>
    </w:p>
    <w:p w14:paraId="6160DCFA" w14:textId="350E2D70" w:rsidR="00F4719D" w:rsidRPr="00306F9F" w:rsidRDefault="00F4719D" w:rsidP="00783084">
      <w:r w:rsidRPr="00306F9F">
        <w:rPr>
          <w:i/>
        </w:rPr>
        <w:t>a)</w:t>
      </w:r>
      <w:r w:rsidRPr="00306F9F">
        <w:tab/>
        <w:t>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w:t>
      </w:r>
    </w:p>
    <w:p w14:paraId="5C0A595B" w14:textId="1AC500F5" w:rsidR="00F4719D" w:rsidRPr="00306F9F" w:rsidRDefault="00F4719D" w:rsidP="00783084">
      <w:r w:rsidRPr="00306F9F">
        <w:rPr>
          <w:i/>
        </w:rPr>
        <w:t>b)</w:t>
      </w:r>
      <w:r w:rsidRPr="00306F9F">
        <w:tab/>
        <w:t xml:space="preserve">that </w:t>
      </w:r>
      <w:proofErr w:type="gramStart"/>
      <w:r w:rsidRPr="00306F9F">
        <w:t>in order to</w:t>
      </w:r>
      <w:proofErr w:type="gramEnd"/>
      <w:r w:rsidRPr="00306F9F">
        <w:t xml:space="preserve"> ensure the future development of IMT it is important to ensure the timely identification of additional spectrum;</w:t>
      </w:r>
    </w:p>
    <w:p w14:paraId="1412DF8A" w14:textId="77777777" w:rsidR="00F4719D" w:rsidRPr="00306F9F" w:rsidRDefault="00F4719D" w:rsidP="00783084">
      <w:r w:rsidRPr="00306F9F">
        <w:rPr>
          <w:i/>
        </w:rPr>
        <w:t>c)</w:t>
      </w:r>
      <w:r w:rsidRPr="00306F9F">
        <w:tab/>
        <w:t xml:space="preserve">that any identification of frequency bands for IMT should </w:t>
      </w:r>
      <w:proofErr w:type="gramStart"/>
      <w:r w:rsidRPr="00306F9F">
        <w:t>take into account</w:t>
      </w:r>
      <w:proofErr w:type="gramEnd"/>
      <w:r w:rsidRPr="00306F9F">
        <w:t xml:space="preserve"> the use of the frequency bands by other services and the evolving needs of these services;</w:t>
      </w:r>
    </w:p>
    <w:p w14:paraId="33165EB1" w14:textId="0EABC361" w:rsidR="00F4719D" w:rsidRPr="00306F9F" w:rsidRDefault="00F4719D" w:rsidP="00783084">
      <w:r w:rsidRPr="00306F9F">
        <w:rPr>
          <w:i/>
        </w:rPr>
        <w:t>d)</w:t>
      </w:r>
      <w:r w:rsidRPr="00306F9F">
        <w:tab/>
        <w:t>that the frequency band 3</w:t>
      </w:r>
      <w:r w:rsidR="00BC0DEC" w:rsidRPr="00306F9F">
        <w:t> </w:t>
      </w:r>
      <w:r w:rsidRPr="00306F9F">
        <w:t>100-3</w:t>
      </w:r>
      <w:r w:rsidR="00BC0DEC" w:rsidRPr="00306F9F">
        <w:t> </w:t>
      </w:r>
      <w:r w:rsidRPr="00306F9F">
        <w:t>300</w:t>
      </w:r>
      <w:r w:rsidR="00BC0DEC" w:rsidRPr="00306F9F">
        <w:t> </w:t>
      </w:r>
      <w:r w:rsidRPr="00306F9F">
        <w:t>MHz is allocated to the radiolocation service in all three Regions on a primary basis;</w:t>
      </w:r>
    </w:p>
    <w:p w14:paraId="7C3B708F" w14:textId="4EEACF1C" w:rsidR="00F4719D" w:rsidRPr="00306F9F" w:rsidRDefault="00F4719D" w:rsidP="00783084">
      <w:r w:rsidRPr="00306F9F">
        <w:rPr>
          <w:i/>
        </w:rPr>
        <w:t>e)</w:t>
      </w:r>
      <w:r w:rsidRPr="00306F9F">
        <w:tab/>
        <w:t>that the frequency band 12.75-13.25</w:t>
      </w:r>
      <w:r w:rsidR="00BC0DEC" w:rsidRPr="00306F9F">
        <w:t> </w:t>
      </w:r>
      <w:r w:rsidRPr="00306F9F">
        <w:t xml:space="preserve">GHz is allocated to the </w:t>
      </w:r>
      <w:r w:rsidR="007D53D6" w:rsidRPr="00306F9F">
        <w:t>f</w:t>
      </w:r>
      <w:r w:rsidRPr="00306F9F">
        <w:t xml:space="preserve">ixed, </w:t>
      </w:r>
      <w:r w:rsidR="007D53D6" w:rsidRPr="00306F9F">
        <w:t>f</w:t>
      </w:r>
      <w:r w:rsidRPr="00306F9F">
        <w:t>ixed-</w:t>
      </w:r>
      <w:r w:rsidR="007D53D6" w:rsidRPr="00306F9F">
        <w:t>s</w:t>
      </w:r>
      <w:r w:rsidRPr="00306F9F">
        <w:t xml:space="preserve">atellite (Earth-to-space), and </w:t>
      </w:r>
      <w:r w:rsidR="007D53D6" w:rsidRPr="00306F9F">
        <w:t>m</w:t>
      </w:r>
      <w:r w:rsidRPr="00306F9F">
        <w:t>obile service in all three Regions on a primary basis</w:t>
      </w:r>
      <w:r w:rsidR="007D53D6" w:rsidRPr="00306F9F">
        <w:t>,</w:t>
      </w:r>
    </w:p>
    <w:p w14:paraId="0F5A0A00" w14:textId="77777777" w:rsidR="00F4719D" w:rsidRPr="00306F9F" w:rsidRDefault="00F4719D" w:rsidP="00F4719D">
      <w:pPr>
        <w:pStyle w:val="Call"/>
      </w:pPr>
      <w:r w:rsidRPr="00306F9F">
        <w:t>resolves to invite the ITU Radiocommunication Sector</w:t>
      </w:r>
    </w:p>
    <w:p w14:paraId="0C3E52C8" w14:textId="3BB7566F" w:rsidR="00F4719D" w:rsidRPr="00306F9F" w:rsidRDefault="00F4719D" w:rsidP="00783084">
      <w:pPr>
        <w:rPr>
          <w:i/>
        </w:rPr>
      </w:pPr>
      <w:r w:rsidRPr="00306F9F">
        <w:t>1</w:t>
      </w:r>
      <w:r w:rsidRPr="00306F9F">
        <w:tab/>
        <w:t>to conduct and complete in time for WRC</w:t>
      </w:r>
      <w:r w:rsidR="00BC0DEC" w:rsidRPr="00306F9F">
        <w:noBreakHyphen/>
      </w:r>
      <w:r w:rsidRPr="00306F9F">
        <w:t xml:space="preserve">27 the appropriate studies of technical, operational and regulatory issues pertaining to the possible use of the terrestrial component of IMT in the frequency bands listed in </w:t>
      </w:r>
      <w:r w:rsidRPr="00306F9F">
        <w:rPr>
          <w:i/>
        </w:rPr>
        <w:t>resolves to invite the ITU Radiocommunication Sector</w:t>
      </w:r>
      <w:r w:rsidRPr="00306F9F">
        <w:t xml:space="preserve"> 2, </w:t>
      </w:r>
      <w:proofErr w:type="gramStart"/>
      <w:r w:rsidRPr="00306F9F">
        <w:t>taking into account</w:t>
      </w:r>
      <w:proofErr w:type="gramEnd"/>
      <w:r w:rsidRPr="00306F9F">
        <w:t>:</w:t>
      </w:r>
    </w:p>
    <w:p w14:paraId="4DFA7FA6" w14:textId="18EFDCF0" w:rsidR="00F4719D" w:rsidRPr="00306F9F" w:rsidRDefault="00306F9F" w:rsidP="00BC0DEC">
      <w:pPr>
        <w:pStyle w:val="enumlev1"/>
        <w:rPr>
          <w:i/>
        </w:rPr>
      </w:pPr>
      <w:bookmarkStart w:id="9" w:name="_Hlk149836025"/>
      <w:r w:rsidRPr="00306F9F">
        <w:lastRenderedPageBreak/>
        <w:t>–</w:t>
      </w:r>
      <w:r w:rsidR="00F4719D" w:rsidRPr="00306F9F">
        <w:tab/>
      </w:r>
      <w:bookmarkEnd w:id="9"/>
      <w:r w:rsidR="00F4719D" w:rsidRPr="00306F9F">
        <w:t>evolving needs to meet emerging demand for IMT;</w:t>
      </w:r>
    </w:p>
    <w:p w14:paraId="1DFFD79A" w14:textId="5FD98BD5" w:rsidR="00F4719D" w:rsidRPr="00306F9F" w:rsidRDefault="00306F9F" w:rsidP="00BC0DEC">
      <w:pPr>
        <w:pStyle w:val="enumlev1"/>
        <w:rPr>
          <w:i/>
        </w:rPr>
      </w:pPr>
      <w:r w:rsidRPr="00306F9F">
        <w:t>–</w:t>
      </w:r>
      <w:r w:rsidRPr="00306F9F">
        <w:tab/>
      </w:r>
      <w:r w:rsidR="00F4719D" w:rsidRPr="00306F9F">
        <w:t>technical and operational characteristics of terrestrial IMT systems that would operate in this specific frequency band, including the evolution of IMT through advances in technology and spectrally efficient techniques;</w:t>
      </w:r>
    </w:p>
    <w:p w14:paraId="7AFEEFAE" w14:textId="7332B4B7" w:rsidR="00F4719D" w:rsidRPr="00306F9F" w:rsidRDefault="00306F9F" w:rsidP="00BC0DEC">
      <w:pPr>
        <w:pStyle w:val="enumlev1"/>
        <w:rPr>
          <w:i/>
        </w:rPr>
      </w:pPr>
      <w:r w:rsidRPr="00306F9F">
        <w:t>–</w:t>
      </w:r>
      <w:r w:rsidRPr="00306F9F">
        <w:tab/>
      </w:r>
      <w:r w:rsidR="00F4719D" w:rsidRPr="00306F9F">
        <w:t>the deployment scenarios envisaged for IMT systems and the related requirements of balanced coverage and capacity;</w:t>
      </w:r>
    </w:p>
    <w:p w14:paraId="213DE405" w14:textId="2F93C318" w:rsidR="00F4719D" w:rsidRPr="00306F9F" w:rsidRDefault="00306F9F" w:rsidP="00BC0DEC">
      <w:pPr>
        <w:pStyle w:val="enumlev1"/>
        <w:rPr>
          <w:i/>
        </w:rPr>
      </w:pPr>
      <w:r w:rsidRPr="00306F9F">
        <w:t>–</w:t>
      </w:r>
      <w:r w:rsidRPr="00306F9F">
        <w:tab/>
      </w:r>
      <w:r w:rsidR="00F4719D" w:rsidRPr="00306F9F">
        <w:t>the needs of developing countries;</w:t>
      </w:r>
    </w:p>
    <w:p w14:paraId="5E614664" w14:textId="173201CE" w:rsidR="00F4719D" w:rsidRPr="00306F9F" w:rsidRDefault="00306F9F" w:rsidP="00BC0DEC">
      <w:pPr>
        <w:pStyle w:val="enumlev1"/>
        <w:rPr>
          <w:i/>
        </w:rPr>
      </w:pPr>
      <w:r w:rsidRPr="00306F9F">
        <w:t>–</w:t>
      </w:r>
      <w:r w:rsidRPr="00306F9F">
        <w:tab/>
      </w:r>
      <w:r w:rsidR="00F4719D" w:rsidRPr="00306F9F">
        <w:t>the timeframe in which spectrum would be needed</w:t>
      </w:r>
      <w:r w:rsidR="007D53D6" w:rsidRPr="00306F9F">
        <w:t>;</w:t>
      </w:r>
    </w:p>
    <w:p w14:paraId="54D65B78" w14:textId="3677F927" w:rsidR="00F4719D" w:rsidRPr="00306F9F" w:rsidRDefault="00F4719D" w:rsidP="00783084">
      <w:r w:rsidRPr="00306F9F">
        <w:t>2</w:t>
      </w:r>
      <w:r w:rsidRPr="00306F9F">
        <w:tab/>
        <w:t>to conduct and complete in time for WRC</w:t>
      </w:r>
      <w:r w:rsidR="00BC0DEC" w:rsidRPr="00306F9F">
        <w:noBreakHyphen/>
      </w:r>
      <w:r w:rsidRPr="00306F9F">
        <w:t xml:space="preserve">27 the sharing and compatibility studies, with a view to ensuring the protection of services to which the frequency band is allocated on a primary basis, without imposing additional regulatory or technical constraints on those services, </w:t>
      </w:r>
      <w:proofErr w:type="gramStart"/>
      <w:r w:rsidRPr="00306F9F">
        <w:t>and also</w:t>
      </w:r>
      <w:proofErr w:type="gramEnd"/>
      <w:r w:rsidRPr="00306F9F">
        <w:t>, as appropriate, on primary services in adjacent bands, for the frequency bands:</w:t>
      </w:r>
    </w:p>
    <w:p w14:paraId="3E7FEF13" w14:textId="7DEE531D" w:rsidR="00F4719D" w:rsidRPr="00306F9F" w:rsidRDefault="00306F9F" w:rsidP="00306F9F">
      <w:pPr>
        <w:pStyle w:val="enumlev1"/>
      </w:pPr>
      <w:r w:rsidRPr="00306F9F">
        <w:t>–</w:t>
      </w:r>
      <w:r w:rsidRPr="00306F9F">
        <w:tab/>
      </w:r>
      <w:r w:rsidR="00F4719D" w:rsidRPr="00306F9F">
        <w:t>3</w:t>
      </w:r>
      <w:r w:rsidR="00BC0DEC" w:rsidRPr="00306F9F">
        <w:t> </w:t>
      </w:r>
      <w:r w:rsidR="00F4719D" w:rsidRPr="00306F9F">
        <w:t>100-3</w:t>
      </w:r>
      <w:r w:rsidR="00BC0DEC" w:rsidRPr="00306F9F">
        <w:t> </w:t>
      </w:r>
      <w:r w:rsidR="00F4719D" w:rsidRPr="00306F9F">
        <w:t>300</w:t>
      </w:r>
      <w:r w:rsidR="00BC0DEC" w:rsidRPr="00306F9F">
        <w:t> </w:t>
      </w:r>
      <w:r w:rsidR="00F4719D" w:rsidRPr="00306F9F">
        <w:t>MHz</w:t>
      </w:r>
      <w:r w:rsidR="007D53D6" w:rsidRPr="00306F9F">
        <w:t>;</w:t>
      </w:r>
    </w:p>
    <w:p w14:paraId="4D0375A2" w14:textId="46D276E0" w:rsidR="00F4719D" w:rsidRPr="00306F9F" w:rsidRDefault="00306F9F" w:rsidP="00306F9F">
      <w:pPr>
        <w:pStyle w:val="enumlev1"/>
      </w:pPr>
      <w:r w:rsidRPr="00306F9F">
        <w:t>–</w:t>
      </w:r>
      <w:r w:rsidRPr="00306F9F">
        <w:tab/>
      </w:r>
      <w:r w:rsidR="00F4719D" w:rsidRPr="00306F9F">
        <w:t>12.7-13.25</w:t>
      </w:r>
      <w:r w:rsidR="00BC0DEC" w:rsidRPr="00306F9F">
        <w:t> </w:t>
      </w:r>
      <w:r w:rsidR="00F4719D" w:rsidRPr="00306F9F">
        <w:t>GHz</w:t>
      </w:r>
      <w:r w:rsidR="007D53D6" w:rsidRPr="00306F9F">
        <w:t>,</w:t>
      </w:r>
    </w:p>
    <w:p w14:paraId="18C49781" w14:textId="77777777" w:rsidR="00F4719D" w:rsidRPr="00306F9F" w:rsidRDefault="00F4719D" w:rsidP="00F4719D">
      <w:pPr>
        <w:pStyle w:val="Call"/>
      </w:pPr>
      <w:r w:rsidRPr="00306F9F">
        <w:t>resolves</w:t>
      </w:r>
    </w:p>
    <w:p w14:paraId="48F4E690" w14:textId="5699C06E" w:rsidR="00F4719D" w:rsidRPr="00306F9F" w:rsidRDefault="00F4719D" w:rsidP="00783084">
      <w:pPr>
        <w:rPr>
          <w:i/>
        </w:rPr>
      </w:pPr>
      <w:r w:rsidRPr="00306F9F">
        <w:t>1</w:t>
      </w:r>
      <w:r w:rsidRPr="00306F9F">
        <w:tab/>
        <w:t>to invite the first session of the Conference Preparatory Meeting for WRC</w:t>
      </w:r>
      <w:r w:rsidR="00BC0DEC" w:rsidRPr="00306F9F">
        <w:noBreakHyphen/>
      </w:r>
      <w:r w:rsidRPr="00306F9F">
        <w:t xml:space="preserve">27 to define the date by which technical and operational characteristics needed for sharing and compatibility studies are to be available to ensure that studies referred to in </w:t>
      </w:r>
      <w:r w:rsidRPr="00306F9F">
        <w:rPr>
          <w:i/>
        </w:rPr>
        <w:t>resolves to invite the ITU Radiocommunication Sector</w:t>
      </w:r>
      <w:r w:rsidRPr="00306F9F">
        <w:t xml:space="preserve"> can be completed in time for consideration at WRC</w:t>
      </w:r>
      <w:r w:rsidR="00BC0DEC" w:rsidRPr="00306F9F">
        <w:noBreakHyphen/>
      </w:r>
      <w:r w:rsidRPr="00306F9F">
        <w:t xml:space="preserve">27; </w:t>
      </w:r>
    </w:p>
    <w:p w14:paraId="763DECB7" w14:textId="12C655AE" w:rsidR="00F4719D" w:rsidRPr="00306F9F" w:rsidRDefault="00F4719D" w:rsidP="00783084">
      <w:pPr>
        <w:rPr>
          <w:i/>
        </w:rPr>
      </w:pPr>
      <w:r w:rsidRPr="00306F9F">
        <w:t>2</w:t>
      </w:r>
      <w:r w:rsidRPr="00306F9F">
        <w:tab/>
        <w:t>to invite WRC</w:t>
      </w:r>
      <w:r w:rsidR="00BC0DEC" w:rsidRPr="00306F9F">
        <w:noBreakHyphen/>
      </w:r>
      <w:r w:rsidRPr="00306F9F">
        <w:t xml:space="preserve">27 to consider, based on the results of the above studies, additional spectrum allocations to the mobile service on a primary basis and to consider identification of frequency bands for the terrestrial component of IMT; the frequency bands to be considered being limited to part or </w:t>
      </w:r>
      <w:proofErr w:type="gramStart"/>
      <w:r w:rsidRPr="00306F9F">
        <w:t>all of</w:t>
      </w:r>
      <w:proofErr w:type="gramEnd"/>
      <w:r w:rsidRPr="00306F9F">
        <w:t xml:space="preserve"> the frequency bands listed in </w:t>
      </w:r>
      <w:r w:rsidRPr="00306F9F">
        <w:rPr>
          <w:i/>
        </w:rPr>
        <w:t>resolves to invite the ITU Radiocommunication Sector</w:t>
      </w:r>
      <w:r w:rsidRPr="00306F9F">
        <w:t xml:space="preserve"> 2,</w:t>
      </w:r>
    </w:p>
    <w:p w14:paraId="40AF107B" w14:textId="77777777" w:rsidR="00F4719D" w:rsidRPr="00306F9F" w:rsidRDefault="00F4719D" w:rsidP="00F4719D">
      <w:pPr>
        <w:pStyle w:val="Call"/>
      </w:pPr>
      <w:r w:rsidRPr="00306F9F">
        <w:t>invites administrations</w:t>
      </w:r>
    </w:p>
    <w:p w14:paraId="17181D05" w14:textId="5000D243" w:rsidR="00F4719D" w:rsidRPr="00306F9F" w:rsidRDefault="00F4719D" w:rsidP="00783084">
      <w:r w:rsidRPr="00306F9F">
        <w:t>to participate actively in these studies by submitting contributions to ITU</w:t>
      </w:r>
      <w:r w:rsidR="00BC0DEC" w:rsidRPr="00306F9F">
        <w:noBreakHyphen/>
      </w:r>
      <w:r w:rsidRPr="00306F9F">
        <w:t>R.</w:t>
      </w:r>
    </w:p>
    <w:p w14:paraId="42DC0AE3" w14:textId="477C0831" w:rsidR="006A7611" w:rsidRPr="00306F9F" w:rsidRDefault="007D53D6">
      <w:pPr>
        <w:pStyle w:val="Reasons"/>
      </w:pPr>
      <w:r w:rsidRPr="00306F9F">
        <w:rPr>
          <w:b/>
        </w:rPr>
        <w:t>Reasons:</w:t>
      </w:r>
      <w:r w:rsidRPr="00306F9F">
        <w:tab/>
      </w:r>
      <w:r w:rsidR="003B1AB5" w:rsidRPr="00306F9F">
        <w:t>Demand for access to IMT spectrum is robust and accelerating. Contiguous spectrum bandwidths other than those currently available are necessary to address traffic growth in mobile networks. Spectrum in the candidate frequency bands could facilitate the IMT-2030 capacity-demanding use cases for both wider coverage and higher capacity.</w:t>
      </w:r>
    </w:p>
    <w:p w14:paraId="10321A84" w14:textId="6D2FE795" w:rsidR="00E14249" w:rsidRPr="00306F9F" w:rsidRDefault="00E14249" w:rsidP="00E14249">
      <w:r w:rsidRPr="00306F9F">
        <w:br w:type="page"/>
      </w:r>
    </w:p>
    <w:p w14:paraId="2B76CDAB" w14:textId="77777777" w:rsidR="00B27C28" w:rsidRPr="00306F9F" w:rsidRDefault="00B27C28" w:rsidP="00B27C28">
      <w:pPr>
        <w:pStyle w:val="AnnexNo"/>
      </w:pPr>
      <w:r w:rsidRPr="00306F9F">
        <w:lastRenderedPageBreak/>
        <w:t>ANNEX</w:t>
      </w:r>
    </w:p>
    <w:p w14:paraId="07BCEEC5" w14:textId="5789BAA1" w:rsidR="00B27C28" w:rsidRPr="00306F9F" w:rsidRDefault="007D53D6" w:rsidP="00B27C28">
      <w:pPr>
        <w:pStyle w:val="Annextitle"/>
      </w:pPr>
      <w:r w:rsidRPr="00306F9F">
        <w:rPr>
          <w:szCs w:val="24"/>
        </w:rPr>
        <w:t xml:space="preserve">Proposal for </w:t>
      </w:r>
      <w:r w:rsidR="003D3BF8" w:rsidRPr="00306F9F">
        <w:rPr>
          <w:szCs w:val="24"/>
        </w:rPr>
        <w:t xml:space="preserve">WRC-27 </w:t>
      </w:r>
      <w:r w:rsidRPr="00306F9F">
        <w:rPr>
          <w:szCs w:val="24"/>
        </w:rPr>
        <w:t xml:space="preserve">agenda item for identification of </w:t>
      </w:r>
      <w:r w:rsidRPr="00306F9F">
        <w:rPr>
          <w:szCs w:val="24"/>
        </w:rPr>
        <w:br/>
        <w:t xml:space="preserve">new frequency bands for </w:t>
      </w:r>
      <w:r w:rsidR="003D3BF8" w:rsidRPr="00306F9F">
        <w:rPr>
          <w:szCs w:val="24"/>
        </w:rPr>
        <w:t>IMT</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B27C28" w:rsidRPr="00306F9F" w14:paraId="5CB1C425" w14:textId="77777777" w:rsidTr="008B7D1B">
        <w:tc>
          <w:tcPr>
            <w:tcW w:w="9317" w:type="dxa"/>
            <w:gridSpan w:val="2"/>
            <w:tcBorders>
              <w:top w:val="nil"/>
              <w:bottom w:val="nil"/>
            </w:tcBorders>
          </w:tcPr>
          <w:p w14:paraId="7620A047" w14:textId="74301242" w:rsidR="00B27C28" w:rsidRPr="00306F9F" w:rsidRDefault="00B27C28" w:rsidP="008B7D1B">
            <w:pPr>
              <w:spacing w:beforeLines="50" w:afterLines="50" w:after="120"/>
              <w:rPr>
                <w:rFonts w:eastAsia="MS Mincho"/>
                <w:kern w:val="2"/>
                <w:lang w:eastAsia="ja-JP"/>
              </w:rPr>
            </w:pPr>
            <w:r w:rsidRPr="00306F9F">
              <w:rPr>
                <w:rFonts w:eastAsia="MS Gothic"/>
                <w:b/>
                <w:bCs/>
                <w:i/>
                <w:iCs/>
                <w:kern w:val="2"/>
              </w:rPr>
              <w:t xml:space="preserve">Subject: </w:t>
            </w:r>
            <w:r w:rsidR="004C2525" w:rsidRPr="00306F9F">
              <w:rPr>
                <w:kern w:val="2"/>
                <w:szCs w:val="24"/>
              </w:rPr>
              <w:t>Proposed</w:t>
            </w:r>
            <w:r w:rsidR="004C2525" w:rsidRPr="00306F9F">
              <w:rPr>
                <w:color w:val="000000"/>
                <w:szCs w:val="24"/>
              </w:rPr>
              <w:t xml:space="preserve"> future WRC</w:t>
            </w:r>
            <w:r w:rsidR="00BC0DEC" w:rsidRPr="00306F9F">
              <w:rPr>
                <w:color w:val="000000"/>
                <w:szCs w:val="24"/>
              </w:rPr>
              <w:noBreakHyphen/>
            </w:r>
            <w:r w:rsidR="004C2525" w:rsidRPr="00306F9F">
              <w:rPr>
                <w:color w:val="000000"/>
                <w:szCs w:val="24"/>
              </w:rPr>
              <w:t>2027 agenda item for identification of new spectrum for IMT.</w:t>
            </w:r>
          </w:p>
        </w:tc>
      </w:tr>
      <w:tr w:rsidR="00B27C28" w:rsidRPr="00306F9F" w14:paraId="6DEB66BD" w14:textId="77777777" w:rsidTr="008B7D1B">
        <w:tc>
          <w:tcPr>
            <w:tcW w:w="9317" w:type="dxa"/>
            <w:gridSpan w:val="2"/>
            <w:tcBorders>
              <w:top w:val="nil"/>
            </w:tcBorders>
          </w:tcPr>
          <w:p w14:paraId="2ABE9F20" w14:textId="5C2AB889" w:rsidR="00B27C28" w:rsidRPr="00306F9F" w:rsidRDefault="00B27C28" w:rsidP="008B7D1B">
            <w:pPr>
              <w:spacing w:beforeLines="50" w:afterLines="50" w:after="120"/>
              <w:rPr>
                <w:rFonts w:eastAsia="MS Gothic"/>
                <w:b/>
                <w:bCs/>
                <w:kern w:val="2"/>
              </w:rPr>
            </w:pPr>
            <w:r w:rsidRPr="00306F9F">
              <w:rPr>
                <w:rFonts w:eastAsia="MS Gothic"/>
                <w:b/>
                <w:bCs/>
                <w:i/>
                <w:kern w:val="2"/>
              </w:rPr>
              <w:t xml:space="preserve">Origin: </w:t>
            </w:r>
            <w:r w:rsidR="004C2525" w:rsidRPr="00306F9F">
              <w:rPr>
                <w:rFonts w:eastAsia="MS Gothic"/>
                <w:kern w:val="2"/>
              </w:rPr>
              <w:t>USA</w:t>
            </w:r>
          </w:p>
        </w:tc>
      </w:tr>
      <w:tr w:rsidR="00B27C28" w:rsidRPr="00306F9F" w14:paraId="479FE935" w14:textId="77777777" w:rsidTr="008B7D1B">
        <w:tc>
          <w:tcPr>
            <w:tcW w:w="9317" w:type="dxa"/>
            <w:gridSpan w:val="2"/>
          </w:tcPr>
          <w:p w14:paraId="4B3EE9E6" w14:textId="5632816E" w:rsidR="00B27C28" w:rsidRPr="00306F9F" w:rsidRDefault="00B27C28" w:rsidP="008B7D1B">
            <w:pPr>
              <w:spacing w:beforeLines="50" w:afterLines="50" w:after="120"/>
              <w:rPr>
                <w:rFonts w:eastAsia="MS Gothic"/>
                <w:kern w:val="2"/>
                <w:lang w:eastAsia="ja-JP"/>
              </w:rPr>
            </w:pPr>
            <w:r w:rsidRPr="00306F9F">
              <w:rPr>
                <w:rFonts w:eastAsia="MS Gothic"/>
                <w:b/>
                <w:bCs/>
                <w:i/>
                <w:iCs/>
                <w:kern w:val="2"/>
              </w:rPr>
              <w:t>Proposal:</w:t>
            </w:r>
            <w:r w:rsidR="004E4BF2" w:rsidRPr="00306F9F">
              <w:rPr>
                <w:i/>
                <w:color w:val="000000"/>
                <w:szCs w:val="24"/>
              </w:rPr>
              <w:t xml:space="preserve"> </w:t>
            </w:r>
            <w:r w:rsidR="004E4BF2" w:rsidRPr="00306F9F">
              <w:rPr>
                <w:kern w:val="2"/>
                <w:szCs w:val="24"/>
              </w:rPr>
              <w:t>To identify frequency bands, or parts thereof, for use by IMT, seeking regional and global harmonization.</w:t>
            </w:r>
          </w:p>
        </w:tc>
      </w:tr>
      <w:tr w:rsidR="00B27C28" w:rsidRPr="00306F9F" w14:paraId="15CBD567" w14:textId="77777777" w:rsidTr="008B7D1B">
        <w:tc>
          <w:tcPr>
            <w:tcW w:w="9317" w:type="dxa"/>
            <w:gridSpan w:val="2"/>
          </w:tcPr>
          <w:p w14:paraId="5CC26920" w14:textId="77777777" w:rsidR="00B27C28" w:rsidRPr="00306F9F" w:rsidRDefault="00B27C28" w:rsidP="008B7D1B">
            <w:pPr>
              <w:spacing w:beforeLines="50" w:afterLines="50" w:after="120"/>
              <w:rPr>
                <w:rFonts w:eastAsia="SimSun"/>
                <w:kern w:val="2"/>
                <w:lang w:eastAsia="ko-KR"/>
              </w:rPr>
            </w:pPr>
            <w:r w:rsidRPr="00306F9F">
              <w:rPr>
                <w:rFonts w:eastAsia="MS Gothic"/>
                <w:b/>
                <w:bCs/>
                <w:i/>
                <w:iCs/>
                <w:kern w:val="2"/>
                <w:lang w:eastAsia="ko-KR"/>
              </w:rPr>
              <w:t>Background/</w:t>
            </w:r>
            <w:r w:rsidRPr="00306F9F">
              <w:rPr>
                <w:rFonts w:eastAsia="MS Gothic"/>
                <w:b/>
                <w:bCs/>
                <w:i/>
                <w:iCs/>
                <w:kern w:val="2"/>
                <w:lang w:eastAsia="ja-JP"/>
              </w:rPr>
              <w:t>r</w:t>
            </w:r>
            <w:r w:rsidRPr="00306F9F">
              <w:rPr>
                <w:rFonts w:eastAsia="MS Gothic"/>
                <w:b/>
                <w:bCs/>
                <w:i/>
                <w:iCs/>
                <w:kern w:val="2"/>
                <w:lang w:eastAsia="ko-KR"/>
              </w:rPr>
              <w:t>eason:</w:t>
            </w:r>
          </w:p>
          <w:p w14:paraId="5BD1AC4C" w14:textId="55A7E5CB" w:rsidR="00B27C28" w:rsidRPr="00306F9F" w:rsidRDefault="00265858" w:rsidP="00265858">
            <w:pPr>
              <w:rPr>
                <w:color w:val="000000"/>
              </w:rPr>
            </w:pPr>
            <w:r w:rsidRPr="00306F9F">
              <w:t xml:space="preserve">Demand for access to IMT spectrum is robust and accelerating. Contiguous spectrum bandwidths other </w:t>
            </w:r>
            <w:r w:rsidRPr="00306F9F">
              <w:rPr>
                <w:kern w:val="2"/>
              </w:rPr>
              <w:t>than</w:t>
            </w:r>
            <w:r w:rsidRPr="00306F9F">
              <w:t xml:space="preserve"> those currently available are necessary to address traffic growth in mobile networks. Spectrum in the candidate frequency bands could facilitate the IMT-2030 capacity-demanding use cases for both wider coverage and higher capacity.</w:t>
            </w:r>
          </w:p>
        </w:tc>
      </w:tr>
      <w:tr w:rsidR="00B27C28" w:rsidRPr="00306F9F" w14:paraId="1E1A4494" w14:textId="77777777" w:rsidTr="008B7D1B">
        <w:tc>
          <w:tcPr>
            <w:tcW w:w="9317" w:type="dxa"/>
            <w:gridSpan w:val="2"/>
          </w:tcPr>
          <w:p w14:paraId="47C68937" w14:textId="77777777" w:rsidR="00B27C28" w:rsidRPr="00306F9F" w:rsidRDefault="00B27C28" w:rsidP="008B7D1B">
            <w:pPr>
              <w:spacing w:beforeLines="50" w:afterLines="50" w:after="120"/>
              <w:rPr>
                <w:rFonts w:eastAsia="SimSun"/>
                <w:kern w:val="2"/>
                <w:lang w:eastAsia="zh-CN"/>
              </w:rPr>
            </w:pPr>
            <w:r w:rsidRPr="00306F9F">
              <w:rPr>
                <w:rFonts w:eastAsia="MS Gothic"/>
                <w:b/>
                <w:bCs/>
                <w:i/>
                <w:iCs/>
                <w:kern w:val="2"/>
              </w:rPr>
              <w:t>Radio</w:t>
            </w:r>
            <w:r w:rsidRPr="00306F9F">
              <w:rPr>
                <w:rFonts w:eastAsia="MS Gothic"/>
                <w:b/>
                <w:bCs/>
                <w:i/>
                <w:iCs/>
                <w:kern w:val="2"/>
                <w:lang w:eastAsia="ja-JP"/>
              </w:rPr>
              <w:t>communication</w:t>
            </w:r>
            <w:r w:rsidRPr="00306F9F">
              <w:rPr>
                <w:rFonts w:eastAsia="MS Gothic"/>
                <w:b/>
                <w:bCs/>
                <w:i/>
                <w:iCs/>
                <w:kern w:val="2"/>
              </w:rPr>
              <w:t xml:space="preserve"> Services concerned:</w:t>
            </w:r>
          </w:p>
          <w:p w14:paraId="7802CA5D" w14:textId="382880A7" w:rsidR="00B27C28" w:rsidRPr="00306F9F" w:rsidRDefault="00960ADF" w:rsidP="00960ADF">
            <w:r w:rsidRPr="00306F9F">
              <w:t xml:space="preserve">Mobile, </w:t>
            </w:r>
            <w:r w:rsidR="007D53D6" w:rsidRPr="00306F9F">
              <w:t>broadcasting</w:t>
            </w:r>
            <w:r w:rsidRPr="00306F9F">
              <w:t xml:space="preserve">, </w:t>
            </w:r>
            <w:r w:rsidR="007D53D6" w:rsidRPr="00306F9F">
              <w:t>broadcasting-</w:t>
            </w:r>
            <w:r w:rsidRPr="00306F9F">
              <w:t xml:space="preserve">Satellite, Earth </w:t>
            </w:r>
            <w:r w:rsidR="007D53D6" w:rsidRPr="00306F9F">
              <w:t>exploration</w:t>
            </w:r>
            <w:r w:rsidRPr="00306F9F">
              <w:t>-</w:t>
            </w:r>
            <w:r w:rsidR="007D53D6" w:rsidRPr="00306F9F">
              <w:t>satellite</w:t>
            </w:r>
            <w:r w:rsidRPr="00306F9F">
              <w:t xml:space="preserve">, </w:t>
            </w:r>
            <w:r w:rsidR="007D53D6" w:rsidRPr="00306F9F">
              <w:t>fixed</w:t>
            </w:r>
            <w:r w:rsidRPr="00306F9F">
              <w:t xml:space="preserve">, </w:t>
            </w:r>
            <w:r w:rsidR="007D53D6" w:rsidRPr="00306F9F">
              <w:rPr>
                <w:lang w:eastAsia="ko-KR"/>
              </w:rPr>
              <w:t>fixed-satellite</w:t>
            </w:r>
            <w:r w:rsidRPr="00306F9F">
              <w:rPr>
                <w:lang w:eastAsia="ko-KR"/>
              </w:rPr>
              <w:t xml:space="preserve">, </w:t>
            </w:r>
            <w:r w:rsidR="007D53D6" w:rsidRPr="00306F9F">
              <w:rPr>
                <w:lang w:eastAsia="ko-KR"/>
              </w:rPr>
              <w:t>mobile-satellite</w:t>
            </w:r>
            <w:r w:rsidRPr="00306F9F">
              <w:rPr>
                <w:lang w:eastAsia="ko-KR"/>
              </w:rPr>
              <w:t xml:space="preserve">, </w:t>
            </w:r>
            <w:r w:rsidR="007D53D6" w:rsidRPr="00306F9F">
              <w:rPr>
                <w:lang w:eastAsia="ko-KR"/>
              </w:rPr>
              <w:t xml:space="preserve">radiolocation </w:t>
            </w:r>
            <w:r w:rsidRPr="00306F9F">
              <w:rPr>
                <w:lang w:eastAsia="ko-KR"/>
              </w:rPr>
              <w:t xml:space="preserve">and </w:t>
            </w:r>
            <w:r w:rsidR="007D53D6" w:rsidRPr="00306F9F">
              <w:rPr>
                <w:lang w:eastAsia="ko-KR"/>
              </w:rPr>
              <w:t>radio astronomy service</w:t>
            </w:r>
            <w:r w:rsidRPr="00306F9F">
              <w:rPr>
                <w:lang w:eastAsia="ko-KR"/>
              </w:rPr>
              <w:t>.</w:t>
            </w:r>
          </w:p>
        </w:tc>
      </w:tr>
      <w:tr w:rsidR="00B27C28" w:rsidRPr="00306F9F" w14:paraId="1DE96966" w14:textId="77777777" w:rsidTr="008B7D1B">
        <w:trPr>
          <w:trHeight w:val="941"/>
        </w:trPr>
        <w:tc>
          <w:tcPr>
            <w:tcW w:w="9317" w:type="dxa"/>
            <w:gridSpan w:val="2"/>
          </w:tcPr>
          <w:p w14:paraId="70C59FBB" w14:textId="77777777" w:rsidR="00B27C28" w:rsidRPr="00306F9F" w:rsidRDefault="00B27C28" w:rsidP="008B7D1B">
            <w:pPr>
              <w:spacing w:beforeLines="50" w:afterLines="50" w:after="120"/>
              <w:rPr>
                <w:rFonts w:eastAsia="MS Gothic"/>
                <w:b/>
                <w:bCs/>
                <w:i/>
                <w:iCs/>
                <w:kern w:val="2"/>
              </w:rPr>
            </w:pPr>
            <w:r w:rsidRPr="00306F9F">
              <w:rPr>
                <w:rFonts w:eastAsia="MS Gothic"/>
                <w:b/>
                <w:bCs/>
                <w:i/>
                <w:iCs/>
                <w:kern w:val="2"/>
              </w:rPr>
              <w:t xml:space="preserve">Indication of possible difficulties: </w:t>
            </w:r>
          </w:p>
          <w:p w14:paraId="688DAB16" w14:textId="763FD625" w:rsidR="00B27C28" w:rsidRPr="00306F9F" w:rsidRDefault="00F9316D" w:rsidP="008B7D1B">
            <w:pPr>
              <w:rPr>
                <w:b/>
                <w:bCs/>
                <w:i/>
                <w:color w:val="000000"/>
                <w:szCs w:val="24"/>
              </w:rPr>
            </w:pPr>
            <w:r w:rsidRPr="00306F9F">
              <w:rPr>
                <w:szCs w:val="24"/>
                <w:lang w:eastAsia="ko-KR"/>
              </w:rPr>
              <w:t>The proposed bands are widely used for terrestrial and space services.</w:t>
            </w:r>
          </w:p>
        </w:tc>
      </w:tr>
      <w:tr w:rsidR="00B27C28" w:rsidRPr="00306F9F" w14:paraId="3D92A48A" w14:textId="77777777" w:rsidTr="008B7D1B">
        <w:tc>
          <w:tcPr>
            <w:tcW w:w="9317" w:type="dxa"/>
            <w:gridSpan w:val="2"/>
          </w:tcPr>
          <w:p w14:paraId="1E7D31F1" w14:textId="77777777" w:rsidR="00B27C28" w:rsidRPr="00306F9F" w:rsidRDefault="00B27C28" w:rsidP="008B7D1B">
            <w:pPr>
              <w:spacing w:beforeLines="50" w:afterLines="50" w:after="120"/>
              <w:rPr>
                <w:rFonts w:eastAsia="MS Gothic"/>
                <w:kern w:val="2"/>
                <w:lang w:eastAsia="ja-JP"/>
              </w:rPr>
            </w:pPr>
            <w:r w:rsidRPr="00306F9F">
              <w:rPr>
                <w:rFonts w:eastAsia="MS Gothic"/>
                <w:b/>
                <w:bCs/>
                <w:i/>
                <w:iCs/>
                <w:kern w:val="2"/>
              </w:rPr>
              <w:t>Previous/ongoing studies on the issue:</w:t>
            </w:r>
          </w:p>
          <w:p w14:paraId="0631BFAB" w14:textId="67C90600" w:rsidR="00B27C28" w:rsidRPr="00306F9F" w:rsidRDefault="00D51B10" w:rsidP="00D51B10">
            <w:pPr>
              <w:rPr>
                <w:rFonts w:eastAsia="MS PMincho"/>
                <w:kern w:val="2"/>
                <w:lang w:eastAsia="ja-JP"/>
              </w:rPr>
            </w:pPr>
            <w:r w:rsidRPr="00306F9F">
              <w:rPr>
                <w:lang w:eastAsia="ko-KR"/>
              </w:rPr>
              <w:t>Related studies have been already commenced in the ITU</w:t>
            </w:r>
            <w:r w:rsidR="00C80BCB" w:rsidRPr="00306F9F">
              <w:rPr>
                <w:lang w:eastAsia="ko-KR"/>
              </w:rPr>
              <w:noBreakHyphen/>
            </w:r>
            <w:r w:rsidRPr="00306F9F">
              <w:rPr>
                <w:lang w:eastAsia="ko-KR"/>
              </w:rPr>
              <w:t>R WP 5D.</w:t>
            </w:r>
          </w:p>
        </w:tc>
      </w:tr>
      <w:tr w:rsidR="00B27C28" w:rsidRPr="00306F9F" w14:paraId="69006032" w14:textId="77777777" w:rsidTr="008B7D1B">
        <w:tc>
          <w:tcPr>
            <w:tcW w:w="4205" w:type="dxa"/>
          </w:tcPr>
          <w:p w14:paraId="3DBF1C6C" w14:textId="77777777" w:rsidR="00B27C28" w:rsidRPr="00306F9F" w:rsidRDefault="00B27C28" w:rsidP="008B7D1B">
            <w:pPr>
              <w:spacing w:beforeLines="50" w:afterLines="50" w:after="120"/>
              <w:rPr>
                <w:rFonts w:eastAsia="MS Gothic"/>
                <w:b/>
                <w:bCs/>
                <w:i/>
                <w:iCs/>
                <w:kern w:val="2"/>
                <w:lang w:eastAsia="ja-JP"/>
              </w:rPr>
            </w:pPr>
            <w:r w:rsidRPr="00306F9F">
              <w:rPr>
                <w:rFonts w:eastAsia="MS Gothic"/>
                <w:b/>
                <w:bCs/>
                <w:i/>
                <w:iCs/>
                <w:kern w:val="2"/>
              </w:rPr>
              <w:t>Studies to be carried out by:</w:t>
            </w:r>
          </w:p>
          <w:p w14:paraId="67B2305A" w14:textId="38E122CD" w:rsidR="00B27C28" w:rsidRPr="00306F9F" w:rsidRDefault="00B27C28" w:rsidP="002244FF">
            <w:pPr>
              <w:rPr>
                <w:rFonts w:eastAsia="SimSun"/>
                <w:lang w:eastAsia="ko-KR"/>
              </w:rPr>
            </w:pPr>
            <w:r w:rsidRPr="00306F9F">
              <w:rPr>
                <w:rFonts w:eastAsia="SimSun"/>
                <w:lang w:eastAsia="ko-KR"/>
              </w:rPr>
              <w:t>ITU</w:t>
            </w:r>
            <w:r w:rsidR="00C80BCB" w:rsidRPr="00306F9F">
              <w:rPr>
                <w:rFonts w:eastAsia="SimSun"/>
                <w:lang w:eastAsia="ko-KR"/>
              </w:rPr>
              <w:noBreakHyphen/>
            </w:r>
            <w:r w:rsidRPr="00306F9F">
              <w:rPr>
                <w:rFonts w:eastAsia="SimSun"/>
                <w:lang w:eastAsia="ko-KR"/>
              </w:rPr>
              <w:t>R WP 5D</w:t>
            </w:r>
          </w:p>
        </w:tc>
        <w:tc>
          <w:tcPr>
            <w:tcW w:w="5112" w:type="dxa"/>
          </w:tcPr>
          <w:p w14:paraId="39F5D3B9" w14:textId="77777777" w:rsidR="00B27C28" w:rsidRPr="00306F9F" w:rsidRDefault="00B27C28" w:rsidP="008B7D1B">
            <w:pPr>
              <w:spacing w:beforeLines="50" w:afterLines="50" w:after="120"/>
              <w:rPr>
                <w:rFonts w:eastAsia="MS Gothic"/>
                <w:b/>
                <w:bCs/>
                <w:i/>
                <w:iCs/>
                <w:kern w:val="2"/>
                <w:lang w:eastAsia="ja-JP"/>
              </w:rPr>
            </w:pPr>
            <w:r w:rsidRPr="00306F9F">
              <w:rPr>
                <w:rFonts w:eastAsia="MS Gothic"/>
                <w:b/>
                <w:bCs/>
                <w:i/>
                <w:iCs/>
                <w:kern w:val="2"/>
              </w:rPr>
              <w:t>with participation of:</w:t>
            </w:r>
          </w:p>
          <w:p w14:paraId="26C830AF" w14:textId="2EC9E6FC" w:rsidR="00B27C28" w:rsidRPr="00306F9F" w:rsidRDefault="002244FF" w:rsidP="002244FF">
            <w:pPr>
              <w:rPr>
                <w:rFonts w:eastAsia="MS Gothic"/>
                <w:kern w:val="2"/>
                <w:lang w:eastAsia="ja-JP"/>
              </w:rPr>
            </w:pPr>
            <w:r w:rsidRPr="00306F9F">
              <w:rPr>
                <w:rFonts w:eastAsia="MS Gothic"/>
                <w:lang w:eastAsia="ja-JP"/>
              </w:rPr>
              <w:t>ITU</w:t>
            </w:r>
            <w:r w:rsidR="00C80BCB" w:rsidRPr="00306F9F">
              <w:rPr>
                <w:rFonts w:eastAsia="MS Gothic"/>
                <w:lang w:eastAsia="ja-JP"/>
              </w:rPr>
              <w:noBreakHyphen/>
            </w:r>
            <w:r w:rsidRPr="00306F9F">
              <w:rPr>
                <w:rFonts w:eastAsia="MS Gothic"/>
                <w:lang w:eastAsia="ja-JP"/>
              </w:rPr>
              <w:t>R membership</w:t>
            </w:r>
          </w:p>
        </w:tc>
      </w:tr>
      <w:tr w:rsidR="00B27C28" w:rsidRPr="00306F9F" w14:paraId="041D5D60" w14:textId="77777777" w:rsidTr="008B7D1B">
        <w:tc>
          <w:tcPr>
            <w:tcW w:w="9317" w:type="dxa"/>
            <w:gridSpan w:val="2"/>
          </w:tcPr>
          <w:p w14:paraId="4E7747F6" w14:textId="64656F0A" w:rsidR="00B27C28" w:rsidRPr="00306F9F" w:rsidRDefault="00B27C28" w:rsidP="008B7D1B">
            <w:pPr>
              <w:spacing w:beforeLines="50" w:afterLines="50" w:after="120"/>
              <w:rPr>
                <w:rFonts w:eastAsia="MS Gothic"/>
                <w:b/>
                <w:bCs/>
                <w:i/>
                <w:iCs/>
                <w:kern w:val="2"/>
                <w:lang w:eastAsia="ja-JP"/>
              </w:rPr>
            </w:pPr>
            <w:r w:rsidRPr="00306F9F">
              <w:rPr>
                <w:rFonts w:eastAsia="MS Gothic"/>
                <w:b/>
                <w:bCs/>
                <w:i/>
                <w:iCs/>
                <w:kern w:val="2"/>
              </w:rPr>
              <w:t>ITU</w:t>
            </w:r>
            <w:r w:rsidR="00C80BCB" w:rsidRPr="00306F9F">
              <w:rPr>
                <w:rFonts w:eastAsia="MS Gothic"/>
                <w:b/>
                <w:bCs/>
                <w:i/>
                <w:iCs/>
                <w:kern w:val="2"/>
              </w:rPr>
              <w:noBreakHyphen/>
            </w:r>
            <w:r w:rsidRPr="00306F9F">
              <w:rPr>
                <w:rFonts w:eastAsia="MS Gothic"/>
                <w:b/>
                <w:bCs/>
                <w:i/>
                <w:iCs/>
                <w:kern w:val="2"/>
              </w:rPr>
              <w:t>R Study Groups concerned:</w:t>
            </w:r>
          </w:p>
          <w:p w14:paraId="5110947D" w14:textId="0BB6D6BE" w:rsidR="00B27C28" w:rsidRPr="00306F9F" w:rsidRDefault="00926DCB" w:rsidP="008B7D1B">
            <w:pPr>
              <w:spacing w:beforeLines="50" w:afterLines="50" w:after="120"/>
              <w:rPr>
                <w:rFonts w:eastAsia="MS Gothic"/>
                <w:bCs/>
                <w:iCs/>
                <w:kern w:val="2"/>
                <w:lang w:eastAsia="ja-JP"/>
              </w:rPr>
            </w:pPr>
            <w:r w:rsidRPr="00306F9F">
              <w:rPr>
                <w:bCs/>
                <w:iCs/>
                <w:color w:val="000000"/>
                <w:szCs w:val="24"/>
              </w:rPr>
              <w:t>Study Groups</w:t>
            </w:r>
            <w:r w:rsidR="00C80BCB" w:rsidRPr="00306F9F">
              <w:rPr>
                <w:bCs/>
                <w:iCs/>
                <w:color w:val="000000"/>
                <w:szCs w:val="24"/>
              </w:rPr>
              <w:t> </w:t>
            </w:r>
            <w:r w:rsidRPr="00306F9F">
              <w:rPr>
                <w:bCs/>
                <w:iCs/>
                <w:color w:val="000000"/>
                <w:szCs w:val="24"/>
              </w:rPr>
              <w:t>4, 5, and</w:t>
            </w:r>
            <w:r w:rsidR="00C80BCB" w:rsidRPr="00306F9F">
              <w:rPr>
                <w:bCs/>
                <w:iCs/>
                <w:color w:val="000000"/>
                <w:szCs w:val="24"/>
              </w:rPr>
              <w:t> </w:t>
            </w:r>
            <w:r w:rsidRPr="00306F9F">
              <w:rPr>
                <w:bCs/>
                <w:iCs/>
                <w:color w:val="000000"/>
                <w:szCs w:val="24"/>
              </w:rPr>
              <w:t>7</w:t>
            </w:r>
          </w:p>
        </w:tc>
      </w:tr>
      <w:tr w:rsidR="00B27C28" w:rsidRPr="00306F9F" w14:paraId="1D9F3501" w14:textId="77777777" w:rsidTr="008B7D1B">
        <w:trPr>
          <w:trHeight w:val="1087"/>
        </w:trPr>
        <w:tc>
          <w:tcPr>
            <w:tcW w:w="9317" w:type="dxa"/>
            <w:gridSpan w:val="2"/>
          </w:tcPr>
          <w:p w14:paraId="7593D6CE" w14:textId="77777777" w:rsidR="00B27C28" w:rsidRPr="00306F9F" w:rsidRDefault="00B27C28" w:rsidP="008B7D1B">
            <w:pPr>
              <w:spacing w:beforeLines="50" w:afterLines="50" w:after="120"/>
              <w:rPr>
                <w:rFonts w:eastAsia="MS Gothic"/>
                <w:kern w:val="2"/>
                <w:lang w:eastAsia="ja-JP"/>
              </w:rPr>
            </w:pPr>
            <w:r w:rsidRPr="00306F9F">
              <w:rPr>
                <w:rFonts w:eastAsia="MS Gothic"/>
                <w:b/>
                <w:bCs/>
                <w:i/>
                <w:iCs/>
                <w:kern w:val="2"/>
              </w:rPr>
              <w:t xml:space="preserve">ITU </w:t>
            </w:r>
            <w:r w:rsidRPr="00306F9F">
              <w:rPr>
                <w:rFonts w:eastAsia="MS Gothic"/>
                <w:b/>
                <w:bCs/>
                <w:i/>
                <w:iCs/>
                <w:kern w:val="2"/>
                <w:lang w:eastAsia="ja-JP"/>
              </w:rPr>
              <w:t>r</w:t>
            </w:r>
            <w:r w:rsidRPr="00306F9F">
              <w:rPr>
                <w:rFonts w:eastAsia="MS Gothic"/>
                <w:b/>
                <w:bCs/>
                <w:i/>
                <w:iCs/>
                <w:kern w:val="2"/>
              </w:rPr>
              <w:t xml:space="preserve">esource </w:t>
            </w:r>
            <w:r w:rsidRPr="00306F9F">
              <w:rPr>
                <w:rFonts w:eastAsia="MS Gothic"/>
                <w:b/>
                <w:bCs/>
                <w:i/>
                <w:iCs/>
                <w:kern w:val="2"/>
                <w:lang w:eastAsia="ja-JP"/>
              </w:rPr>
              <w:t>i</w:t>
            </w:r>
            <w:r w:rsidRPr="00306F9F">
              <w:rPr>
                <w:rFonts w:eastAsia="MS Gothic"/>
                <w:b/>
                <w:bCs/>
                <w:i/>
                <w:iCs/>
                <w:kern w:val="2"/>
              </w:rPr>
              <w:t>mplications</w:t>
            </w:r>
            <w:r w:rsidRPr="00306F9F">
              <w:rPr>
                <w:rFonts w:eastAsia="MS Gothic"/>
                <w:b/>
                <w:bCs/>
                <w:i/>
                <w:iCs/>
                <w:kern w:val="2"/>
                <w:lang w:eastAsia="ja-JP"/>
              </w:rPr>
              <w:t>,</w:t>
            </w:r>
            <w:r w:rsidRPr="00306F9F">
              <w:rPr>
                <w:rFonts w:eastAsia="MS Gothic"/>
                <w:b/>
                <w:bCs/>
                <w:i/>
                <w:iCs/>
                <w:kern w:val="2"/>
              </w:rPr>
              <w:t xml:space="preserve"> including financial i</w:t>
            </w:r>
            <w:r w:rsidRPr="00306F9F">
              <w:rPr>
                <w:rFonts w:eastAsia="MS Gothic"/>
                <w:b/>
                <w:bCs/>
                <w:i/>
                <w:iCs/>
                <w:kern w:val="2"/>
                <w:lang w:eastAsia="ja-JP"/>
              </w:rPr>
              <w:t>mpli</w:t>
            </w:r>
            <w:r w:rsidRPr="00306F9F">
              <w:rPr>
                <w:rFonts w:eastAsia="MS Gothic"/>
                <w:b/>
                <w:bCs/>
                <w:i/>
                <w:iCs/>
                <w:kern w:val="2"/>
              </w:rPr>
              <w:t>cations (refer to CV 126)</w:t>
            </w:r>
            <w:r w:rsidRPr="00306F9F">
              <w:rPr>
                <w:rFonts w:eastAsia="MS Gothic"/>
                <w:b/>
                <w:bCs/>
                <w:i/>
                <w:iCs/>
                <w:kern w:val="2"/>
                <w:lang w:eastAsia="ja-JP"/>
              </w:rPr>
              <w:t>:</w:t>
            </w:r>
          </w:p>
          <w:p w14:paraId="43A4A01C" w14:textId="6E376186" w:rsidR="00B27C28" w:rsidRPr="00306F9F" w:rsidRDefault="00E42303" w:rsidP="00E42303">
            <w:pPr>
              <w:tabs>
                <w:tab w:val="left" w:pos="360"/>
                <w:tab w:val="left" w:pos="900"/>
              </w:tabs>
              <w:rPr>
                <w:i/>
                <w:iCs/>
                <w:color w:val="000000"/>
                <w:szCs w:val="24"/>
                <w:lang w:eastAsia="x-none"/>
              </w:rPr>
            </w:pPr>
            <w:r w:rsidRPr="00306F9F">
              <w:rPr>
                <w:bCs/>
                <w:iCs/>
                <w:szCs w:val="24"/>
                <w:lang w:eastAsia="ko-KR"/>
              </w:rPr>
              <w:t>Minimal, as the proposed agenda item should be studied by ITU</w:t>
            </w:r>
            <w:r w:rsidR="00C80BCB" w:rsidRPr="00306F9F">
              <w:rPr>
                <w:bCs/>
                <w:iCs/>
                <w:szCs w:val="24"/>
                <w:lang w:eastAsia="ko-KR"/>
              </w:rPr>
              <w:noBreakHyphen/>
            </w:r>
            <w:r w:rsidRPr="00306F9F">
              <w:rPr>
                <w:bCs/>
                <w:iCs/>
                <w:szCs w:val="24"/>
                <w:lang w:eastAsia="ko-KR"/>
              </w:rPr>
              <w:t>R WP 5D within its existing framework of meetings</w:t>
            </w:r>
            <w:r w:rsidRPr="00306F9F">
              <w:rPr>
                <w:rFonts w:eastAsia="MS Gothic"/>
                <w:bCs/>
                <w:iCs/>
                <w:szCs w:val="24"/>
                <w:lang w:eastAsia="ja-JP"/>
              </w:rPr>
              <w:t>.</w:t>
            </w:r>
          </w:p>
        </w:tc>
      </w:tr>
      <w:tr w:rsidR="00B27C28" w:rsidRPr="00306F9F" w14:paraId="3949AE72" w14:textId="77777777" w:rsidTr="008B7D1B">
        <w:trPr>
          <w:trHeight w:val="612"/>
        </w:trPr>
        <w:tc>
          <w:tcPr>
            <w:tcW w:w="4205" w:type="dxa"/>
          </w:tcPr>
          <w:p w14:paraId="7FC1313D" w14:textId="71B7305A" w:rsidR="00B27C28" w:rsidRPr="00306F9F" w:rsidRDefault="00B27C28" w:rsidP="008B7D1B">
            <w:pPr>
              <w:spacing w:beforeLines="50" w:afterLines="50" w:after="120"/>
              <w:rPr>
                <w:rFonts w:eastAsia="MS Gothic"/>
                <w:b/>
                <w:bCs/>
                <w:i/>
                <w:iCs/>
                <w:kern w:val="2"/>
                <w:lang w:eastAsia="ja-JP"/>
              </w:rPr>
            </w:pPr>
            <w:r w:rsidRPr="00306F9F">
              <w:rPr>
                <w:rFonts w:eastAsia="MS Gothic"/>
                <w:b/>
                <w:bCs/>
                <w:i/>
                <w:iCs/>
                <w:kern w:val="2"/>
              </w:rPr>
              <w:t xml:space="preserve">Common </w:t>
            </w:r>
            <w:r w:rsidRPr="00306F9F">
              <w:rPr>
                <w:rFonts w:eastAsia="MS Gothic"/>
                <w:b/>
                <w:bCs/>
                <w:i/>
                <w:iCs/>
                <w:kern w:val="2"/>
                <w:lang w:eastAsia="ja-JP"/>
              </w:rPr>
              <w:t>regional p</w:t>
            </w:r>
            <w:r w:rsidRPr="00306F9F">
              <w:rPr>
                <w:rFonts w:eastAsia="MS Gothic"/>
                <w:b/>
                <w:bCs/>
                <w:i/>
                <w:iCs/>
                <w:kern w:val="2"/>
              </w:rPr>
              <w:t>roposal:</w:t>
            </w:r>
            <w:r w:rsidR="00BB67D1" w:rsidRPr="00306F9F">
              <w:rPr>
                <w:rFonts w:eastAsia="MS Gothic"/>
                <w:b/>
                <w:bCs/>
                <w:i/>
                <w:iCs/>
                <w:kern w:val="2"/>
              </w:rPr>
              <w:t xml:space="preserve"> </w:t>
            </w:r>
            <w:r w:rsidR="00BB67D1" w:rsidRPr="00306F9F">
              <w:rPr>
                <w:rFonts w:eastAsia="MS Gothic"/>
              </w:rPr>
              <w:t>No</w:t>
            </w:r>
          </w:p>
          <w:p w14:paraId="318AF51C" w14:textId="77777777" w:rsidR="00B27C28" w:rsidRPr="00306F9F" w:rsidRDefault="00B27C28" w:rsidP="008B7D1B">
            <w:pPr>
              <w:spacing w:beforeLines="50" w:afterLines="50" w:after="120"/>
              <w:rPr>
                <w:rFonts w:eastAsia="SimSun"/>
                <w:kern w:val="2"/>
                <w:lang w:eastAsia="ko-KR"/>
              </w:rPr>
            </w:pPr>
          </w:p>
        </w:tc>
        <w:tc>
          <w:tcPr>
            <w:tcW w:w="5112" w:type="dxa"/>
          </w:tcPr>
          <w:p w14:paraId="3AEA0811" w14:textId="37317A52" w:rsidR="00B27C28" w:rsidRPr="00306F9F" w:rsidRDefault="00B27C28" w:rsidP="008B7D1B">
            <w:pPr>
              <w:spacing w:beforeLines="50" w:afterLines="50" w:after="120"/>
              <w:rPr>
                <w:rFonts w:eastAsia="SimSun"/>
                <w:kern w:val="2"/>
                <w:lang w:eastAsia="ko-KR"/>
              </w:rPr>
            </w:pPr>
            <w:r w:rsidRPr="00306F9F">
              <w:rPr>
                <w:rFonts w:eastAsia="MS Gothic"/>
                <w:b/>
                <w:bCs/>
                <w:i/>
                <w:iCs/>
                <w:kern w:val="2"/>
              </w:rPr>
              <w:t xml:space="preserve">Multicountry Proposal: </w:t>
            </w:r>
            <w:r w:rsidR="00BB67D1" w:rsidRPr="00306F9F">
              <w:rPr>
                <w:rFonts w:eastAsia="SimSun"/>
                <w:bCs/>
                <w:iCs/>
                <w:kern w:val="2"/>
                <w:lang w:eastAsia="ko-KR"/>
              </w:rPr>
              <w:t>No</w:t>
            </w:r>
          </w:p>
          <w:p w14:paraId="3F44464C" w14:textId="73376F09" w:rsidR="00B27C28" w:rsidRPr="00306F9F" w:rsidRDefault="00B27C28" w:rsidP="008B7D1B">
            <w:pPr>
              <w:spacing w:beforeLines="50" w:afterLines="50" w:after="120"/>
              <w:rPr>
                <w:rFonts w:eastAsia="Malgun Gothic"/>
                <w:kern w:val="2"/>
                <w:lang w:eastAsia="ko-KR"/>
              </w:rPr>
            </w:pPr>
            <w:r w:rsidRPr="00306F9F">
              <w:rPr>
                <w:rFonts w:eastAsia="MS Gothic"/>
                <w:b/>
                <w:bCs/>
                <w:i/>
                <w:iCs/>
                <w:kern w:val="2"/>
                <w:lang w:eastAsia="ja-JP"/>
              </w:rPr>
              <w:t>Number of countries</w:t>
            </w:r>
            <w:r w:rsidRPr="00306F9F">
              <w:rPr>
                <w:rFonts w:eastAsia="MS Gothic"/>
                <w:b/>
                <w:bCs/>
                <w:i/>
                <w:iCs/>
                <w:kern w:val="2"/>
              </w:rPr>
              <w:t xml:space="preserve">: </w:t>
            </w:r>
            <w:r w:rsidR="00BB67D1" w:rsidRPr="00306F9F">
              <w:rPr>
                <w:rFonts w:eastAsia="MS Gothic"/>
                <w:bCs/>
                <w:iCs/>
                <w:kern w:val="2"/>
              </w:rPr>
              <w:t>1</w:t>
            </w:r>
          </w:p>
        </w:tc>
      </w:tr>
      <w:tr w:rsidR="00B27C28" w:rsidRPr="00306F9F" w14:paraId="190D9CCC" w14:textId="77777777" w:rsidTr="008B7D1B">
        <w:trPr>
          <w:trHeight w:val="70"/>
        </w:trPr>
        <w:tc>
          <w:tcPr>
            <w:tcW w:w="9317" w:type="dxa"/>
            <w:gridSpan w:val="2"/>
          </w:tcPr>
          <w:p w14:paraId="5AB62746" w14:textId="77777777" w:rsidR="00B27C28" w:rsidRPr="00306F9F" w:rsidRDefault="00B27C28" w:rsidP="008B7D1B">
            <w:pPr>
              <w:spacing w:beforeLines="50" w:afterLines="50" w:after="120"/>
              <w:rPr>
                <w:rFonts w:eastAsia="SimSun"/>
                <w:b/>
                <w:bCs/>
                <w:i/>
                <w:iCs/>
                <w:kern w:val="2"/>
                <w:lang w:eastAsia="ko-KR"/>
              </w:rPr>
            </w:pPr>
            <w:r w:rsidRPr="00306F9F">
              <w:rPr>
                <w:rFonts w:eastAsia="MS Gothic"/>
                <w:b/>
                <w:bCs/>
                <w:i/>
                <w:iCs/>
                <w:kern w:val="2"/>
              </w:rPr>
              <w:t>Remarks</w:t>
            </w:r>
          </w:p>
        </w:tc>
      </w:tr>
    </w:tbl>
    <w:p w14:paraId="61D430B8" w14:textId="055F295F" w:rsidR="00E14249" w:rsidRPr="007D53D6" w:rsidRDefault="00B27C28" w:rsidP="00B27C28">
      <w:pPr>
        <w:spacing w:before="360"/>
        <w:jc w:val="center"/>
      </w:pPr>
      <w:r w:rsidRPr="00306F9F">
        <w:t>_______________</w:t>
      </w:r>
    </w:p>
    <w:sectPr w:rsidR="00E14249" w:rsidRPr="007D53D6"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F0F6" w14:textId="77777777" w:rsidR="006B70F9" w:rsidRDefault="006B70F9">
      <w:r>
        <w:separator/>
      </w:r>
    </w:p>
  </w:endnote>
  <w:endnote w:type="continuationSeparator" w:id="0">
    <w:p w14:paraId="322CF991" w14:textId="77777777" w:rsidR="006B70F9" w:rsidRDefault="006B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A1CF" w14:textId="77777777" w:rsidR="00E45D05" w:rsidRDefault="00E45D05">
    <w:pPr>
      <w:framePr w:wrap="around" w:vAnchor="text" w:hAnchor="margin" w:xAlign="right" w:y="1"/>
    </w:pPr>
    <w:r>
      <w:fldChar w:fldCharType="begin"/>
    </w:r>
    <w:r>
      <w:instrText xml:space="preserve">PAGE  </w:instrText>
    </w:r>
    <w:r>
      <w:fldChar w:fldCharType="end"/>
    </w:r>
  </w:p>
  <w:p w14:paraId="29ED347A" w14:textId="36F8A54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6292B">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CC74" w14:textId="35B2472E" w:rsidR="00E45D05" w:rsidRDefault="00E45D05" w:rsidP="009B1EA1">
    <w:pPr>
      <w:pStyle w:val="Footer"/>
    </w:pPr>
    <w:r>
      <w:fldChar w:fldCharType="begin"/>
    </w:r>
    <w:r w:rsidRPr="0041348E">
      <w:rPr>
        <w:lang w:val="en-US"/>
      </w:rPr>
      <w:instrText xml:space="preserve"> FILENAME \p  \* MERGEFORMAT </w:instrText>
    </w:r>
    <w:r>
      <w:fldChar w:fldCharType="separate"/>
    </w:r>
    <w:r w:rsidR="00BC0DEC">
      <w:rPr>
        <w:lang w:val="en-US"/>
      </w:rPr>
      <w:t>P:\ENG\ITU-R\CONF-R\CMR23\100\142ADD27ADD07E.doc</w:t>
    </w:r>
    <w:r>
      <w:fldChar w:fldCharType="end"/>
    </w:r>
    <w:r w:rsidR="00BC0DEC">
      <w:t xml:space="preserve"> (530517)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9F69" w14:textId="58427015" w:rsidR="00BC0DEC" w:rsidRPr="00BC0DEC" w:rsidRDefault="00BC0DEC">
    <w:pPr>
      <w:pStyle w:val="Footer"/>
    </w:pPr>
    <w:r>
      <w:fldChar w:fldCharType="begin"/>
    </w:r>
    <w:r w:rsidRPr="00BC0DEC">
      <w:instrText xml:space="preserve"> FILENAME \p \* MERGEFORMAT </w:instrText>
    </w:r>
    <w:r>
      <w:fldChar w:fldCharType="separate"/>
    </w:r>
    <w:r w:rsidRPr="00BC0DEC">
      <w:t>P:\ENG\ITU-R\CONF-R\CMR23\100\142ADD27ADD07E.doc</w:t>
    </w:r>
    <w:r>
      <w:fldChar w:fldCharType="end"/>
    </w:r>
    <w:r>
      <w:t xml:space="preserve"> (530517)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4477" w14:textId="77777777" w:rsidR="006B70F9" w:rsidRDefault="006B70F9">
      <w:r>
        <w:rPr>
          <w:b/>
        </w:rPr>
        <w:t>_______________</w:t>
      </w:r>
    </w:p>
  </w:footnote>
  <w:footnote w:type="continuationSeparator" w:id="0">
    <w:p w14:paraId="27A7816C" w14:textId="77777777" w:rsidR="006B70F9" w:rsidRDefault="006B70F9">
      <w:r>
        <w:continuationSeparator/>
      </w:r>
    </w:p>
  </w:footnote>
  <w:footnote w:id="1">
    <w:p w14:paraId="24923AE3" w14:textId="40C16D7F" w:rsidR="00755FAE" w:rsidRPr="00CB4D70" w:rsidRDefault="00755FAE" w:rsidP="007D53D6">
      <w:pPr>
        <w:pStyle w:val="FootnoteText"/>
      </w:pPr>
      <w:r w:rsidRPr="00CB4D70">
        <w:rPr>
          <w:rStyle w:val="FootnoteReference"/>
        </w:rPr>
        <w:footnoteRef/>
      </w:r>
      <w:r w:rsidR="007D53D6">
        <w:tab/>
      </w:r>
      <w:r w:rsidRPr="007D53D6">
        <w:rPr>
          <w:szCs w:val="24"/>
          <w:shd w:val="clear" w:color="auto" w:fill="FFFFFF"/>
        </w:rPr>
        <w:t xml:space="preserve">Draft new Recommendation ITU-R M.[IMT.FRAMEWORK FOR 2030 AND BEYOND] - Framework and overall objectives of the future development of IMT for 2030 and beyond, available at </w:t>
      </w:r>
      <w:hyperlink r:id="rId1" w:history="1">
        <w:r w:rsidRPr="007D53D6">
          <w:rPr>
            <w:rStyle w:val="Hyperlink"/>
            <w:szCs w:val="24"/>
          </w:rPr>
          <w:t>https://www.itu.int/md/R19-SG05-C-0131/en</w:t>
        </w:r>
      </w:hyperlink>
      <w:r w:rsidRPr="007D53D6">
        <w:rPr>
          <w:szCs w:val="24"/>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BFC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5481BB1" w14:textId="77777777" w:rsidR="00A066F1" w:rsidRPr="00A066F1" w:rsidRDefault="00BC75DE" w:rsidP="00241FA2">
    <w:pPr>
      <w:pStyle w:val="Header"/>
    </w:pPr>
    <w:r>
      <w:t>WRC</w:t>
    </w:r>
    <w:r w:rsidR="006D70B0">
      <w:t>23</w:t>
    </w:r>
    <w:r w:rsidR="00A066F1">
      <w:t>/</w:t>
    </w:r>
    <w:bookmarkStart w:id="10" w:name="OLE_LINK1"/>
    <w:bookmarkStart w:id="11" w:name="OLE_LINK2"/>
    <w:bookmarkStart w:id="12" w:name="OLE_LINK3"/>
    <w:r w:rsidR="00EB55C6">
      <w:t>142(Add.27)(Add.7)</w:t>
    </w:r>
    <w:bookmarkEnd w:id="10"/>
    <w:bookmarkEnd w:id="11"/>
    <w:bookmarkEnd w:id="1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2365C13"/>
    <w:multiLevelType w:val="hybridMultilevel"/>
    <w:tmpl w:val="045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748959">
    <w:abstractNumId w:val="0"/>
  </w:num>
  <w:num w:numId="2" w16cid:durableId="13909591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25499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D48FA"/>
    <w:rsid w:val="001E6F78"/>
    <w:rsid w:val="002009EA"/>
    <w:rsid w:val="00202756"/>
    <w:rsid w:val="00202CA0"/>
    <w:rsid w:val="00216B6D"/>
    <w:rsid w:val="002244FF"/>
    <w:rsid w:val="0022757F"/>
    <w:rsid w:val="00241FA2"/>
    <w:rsid w:val="00265858"/>
    <w:rsid w:val="00271316"/>
    <w:rsid w:val="002B2BA6"/>
    <w:rsid w:val="002B349C"/>
    <w:rsid w:val="002D58BE"/>
    <w:rsid w:val="002F4747"/>
    <w:rsid w:val="00302605"/>
    <w:rsid w:val="00306F9F"/>
    <w:rsid w:val="00315C72"/>
    <w:rsid w:val="00361B37"/>
    <w:rsid w:val="00377BD3"/>
    <w:rsid w:val="00384088"/>
    <w:rsid w:val="003852CE"/>
    <w:rsid w:val="0039169B"/>
    <w:rsid w:val="003A039F"/>
    <w:rsid w:val="003A6BE5"/>
    <w:rsid w:val="003A7F8C"/>
    <w:rsid w:val="003B1AB5"/>
    <w:rsid w:val="003B2284"/>
    <w:rsid w:val="003B532E"/>
    <w:rsid w:val="003D0F8B"/>
    <w:rsid w:val="003D3BF8"/>
    <w:rsid w:val="003E0DB6"/>
    <w:rsid w:val="003E3151"/>
    <w:rsid w:val="0041348E"/>
    <w:rsid w:val="00420873"/>
    <w:rsid w:val="00492075"/>
    <w:rsid w:val="004969AD"/>
    <w:rsid w:val="004A26C4"/>
    <w:rsid w:val="004A4C6D"/>
    <w:rsid w:val="004B13CB"/>
    <w:rsid w:val="004C251D"/>
    <w:rsid w:val="004C2525"/>
    <w:rsid w:val="004D26EA"/>
    <w:rsid w:val="004D2BFB"/>
    <w:rsid w:val="004D5D5C"/>
    <w:rsid w:val="004E4BF2"/>
    <w:rsid w:val="004F3DC0"/>
    <w:rsid w:val="0050139F"/>
    <w:rsid w:val="005167E8"/>
    <w:rsid w:val="0055140B"/>
    <w:rsid w:val="0056292B"/>
    <w:rsid w:val="005861D7"/>
    <w:rsid w:val="005964AB"/>
    <w:rsid w:val="005C099A"/>
    <w:rsid w:val="005C31A5"/>
    <w:rsid w:val="005E10C9"/>
    <w:rsid w:val="005E290B"/>
    <w:rsid w:val="005E61DD"/>
    <w:rsid w:val="005F04D8"/>
    <w:rsid w:val="006023DF"/>
    <w:rsid w:val="00615426"/>
    <w:rsid w:val="00616219"/>
    <w:rsid w:val="006322F2"/>
    <w:rsid w:val="00645B7D"/>
    <w:rsid w:val="00657DE0"/>
    <w:rsid w:val="00685313"/>
    <w:rsid w:val="00692833"/>
    <w:rsid w:val="006A6E9B"/>
    <w:rsid w:val="006A7611"/>
    <w:rsid w:val="006B70F9"/>
    <w:rsid w:val="006B7C2A"/>
    <w:rsid w:val="006C23DA"/>
    <w:rsid w:val="006D70B0"/>
    <w:rsid w:val="006E3D45"/>
    <w:rsid w:val="0070607A"/>
    <w:rsid w:val="007149F9"/>
    <w:rsid w:val="00733A30"/>
    <w:rsid w:val="00745AEE"/>
    <w:rsid w:val="00750F10"/>
    <w:rsid w:val="00755FAE"/>
    <w:rsid w:val="007742CA"/>
    <w:rsid w:val="00783084"/>
    <w:rsid w:val="00790D70"/>
    <w:rsid w:val="007A6F1F"/>
    <w:rsid w:val="007D5320"/>
    <w:rsid w:val="007D53D6"/>
    <w:rsid w:val="00800972"/>
    <w:rsid w:val="00804475"/>
    <w:rsid w:val="00811633"/>
    <w:rsid w:val="00814037"/>
    <w:rsid w:val="00841216"/>
    <w:rsid w:val="00842AF0"/>
    <w:rsid w:val="0086171E"/>
    <w:rsid w:val="008636C5"/>
    <w:rsid w:val="00872FC8"/>
    <w:rsid w:val="008845D0"/>
    <w:rsid w:val="00884D60"/>
    <w:rsid w:val="00896E56"/>
    <w:rsid w:val="008B000E"/>
    <w:rsid w:val="008B43F2"/>
    <w:rsid w:val="008B6CFF"/>
    <w:rsid w:val="00926DCB"/>
    <w:rsid w:val="009274B4"/>
    <w:rsid w:val="00934EA2"/>
    <w:rsid w:val="009358B3"/>
    <w:rsid w:val="00944A5C"/>
    <w:rsid w:val="00952A66"/>
    <w:rsid w:val="00960ADF"/>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02CC"/>
    <w:rsid w:val="00AD2028"/>
    <w:rsid w:val="00AD7914"/>
    <w:rsid w:val="00AE514B"/>
    <w:rsid w:val="00B27C28"/>
    <w:rsid w:val="00B40888"/>
    <w:rsid w:val="00B43A6A"/>
    <w:rsid w:val="00B639E9"/>
    <w:rsid w:val="00B817CD"/>
    <w:rsid w:val="00B81A7D"/>
    <w:rsid w:val="00B91EF7"/>
    <w:rsid w:val="00B94AD0"/>
    <w:rsid w:val="00BB3A95"/>
    <w:rsid w:val="00BB67D1"/>
    <w:rsid w:val="00BC0DEC"/>
    <w:rsid w:val="00BC75DE"/>
    <w:rsid w:val="00BD6CCE"/>
    <w:rsid w:val="00BE33BD"/>
    <w:rsid w:val="00C0018F"/>
    <w:rsid w:val="00C16A5A"/>
    <w:rsid w:val="00C20466"/>
    <w:rsid w:val="00C214ED"/>
    <w:rsid w:val="00C234E6"/>
    <w:rsid w:val="00C324A8"/>
    <w:rsid w:val="00C54517"/>
    <w:rsid w:val="00C56F70"/>
    <w:rsid w:val="00C57B91"/>
    <w:rsid w:val="00C64CD8"/>
    <w:rsid w:val="00C80BCB"/>
    <w:rsid w:val="00C82695"/>
    <w:rsid w:val="00C97C68"/>
    <w:rsid w:val="00CA1A47"/>
    <w:rsid w:val="00CA3DFC"/>
    <w:rsid w:val="00CB44E5"/>
    <w:rsid w:val="00CC247A"/>
    <w:rsid w:val="00CE388F"/>
    <w:rsid w:val="00CE5E47"/>
    <w:rsid w:val="00CF020F"/>
    <w:rsid w:val="00CF2B5B"/>
    <w:rsid w:val="00D14CE0"/>
    <w:rsid w:val="00D15160"/>
    <w:rsid w:val="00D255D4"/>
    <w:rsid w:val="00D268B3"/>
    <w:rsid w:val="00D51B10"/>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14249"/>
    <w:rsid w:val="00E205BC"/>
    <w:rsid w:val="00E26226"/>
    <w:rsid w:val="00E27A0B"/>
    <w:rsid w:val="00E42303"/>
    <w:rsid w:val="00E45D05"/>
    <w:rsid w:val="00E55816"/>
    <w:rsid w:val="00E55AEF"/>
    <w:rsid w:val="00E709A8"/>
    <w:rsid w:val="00E976C1"/>
    <w:rsid w:val="00EA12E5"/>
    <w:rsid w:val="00EB0812"/>
    <w:rsid w:val="00EB54B2"/>
    <w:rsid w:val="00EB55C6"/>
    <w:rsid w:val="00EC423D"/>
    <w:rsid w:val="00EF1932"/>
    <w:rsid w:val="00EF71B6"/>
    <w:rsid w:val="00F02766"/>
    <w:rsid w:val="00F05BD4"/>
    <w:rsid w:val="00F06473"/>
    <w:rsid w:val="00F320AA"/>
    <w:rsid w:val="00F3603E"/>
    <w:rsid w:val="00F4719D"/>
    <w:rsid w:val="00F6155B"/>
    <w:rsid w:val="00F65C19"/>
    <w:rsid w:val="00F822B0"/>
    <w:rsid w:val="00F9316D"/>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ED3A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rsid w:val="00755FAE"/>
    <w:pPr>
      <w:tabs>
        <w:tab w:val="clear" w:pos="1134"/>
        <w:tab w:val="clear" w:pos="1871"/>
        <w:tab w:val="clear" w:pos="2268"/>
      </w:tabs>
      <w:overflowPunct/>
      <w:autoSpaceDE/>
      <w:autoSpaceDN/>
      <w:adjustRightInd/>
      <w:spacing w:before="0"/>
      <w:ind w:left="720"/>
      <w:contextualSpacing/>
      <w:textAlignment w:val="auto"/>
    </w:pPr>
    <w:rPr>
      <w:sz w:val="20"/>
      <w:lang w:val="en-US"/>
    </w:rPr>
  </w:style>
  <w:style w:type="character" w:customStyle="1" w:styleId="ListParagraphChar">
    <w:name w:val="List Paragraph Char"/>
    <w:link w:val="ListParagraph"/>
    <w:uiPriority w:val="34"/>
    <w:qFormat/>
    <w:locked/>
    <w:rsid w:val="00755FAE"/>
    <w:rPr>
      <w:rFonts w:ascii="Times New Roman" w:hAnsi="Times New Roman"/>
      <w:lang w:eastAsia="en-US"/>
    </w:rPr>
  </w:style>
  <w:style w:type="paragraph" w:styleId="Revision">
    <w:name w:val="Revision"/>
    <w:hidden/>
    <w:uiPriority w:val="99"/>
    <w:semiHidden/>
    <w:rsid w:val="007D53D6"/>
    <w:rPr>
      <w:rFonts w:ascii="Times New Roman" w:hAnsi="Times New Roman"/>
      <w:sz w:val="24"/>
      <w:lang w:val="en-GB" w:eastAsia="en-US"/>
    </w:rPr>
  </w:style>
  <w:style w:type="character" w:styleId="CommentReference">
    <w:name w:val="annotation reference"/>
    <w:basedOn w:val="DefaultParagraphFont"/>
    <w:semiHidden/>
    <w:unhideWhenUsed/>
    <w:rsid w:val="00BC0DEC"/>
    <w:rPr>
      <w:sz w:val="16"/>
      <w:szCs w:val="16"/>
    </w:rPr>
  </w:style>
  <w:style w:type="paragraph" w:styleId="CommentText">
    <w:name w:val="annotation text"/>
    <w:basedOn w:val="Normal"/>
    <w:link w:val="CommentTextChar"/>
    <w:unhideWhenUsed/>
    <w:rsid w:val="00BC0DEC"/>
    <w:rPr>
      <w:sz w:val="20"/>
    </w:rPr>
  </w:style>
  <w:style w:type="character" w:customStyle="1" w:styleId="CommentTextChar">
    <w:name w:val="Comment Text Char"/>
    <w:basedOn w:val="DefaultParagraphFont"/>
    <w:link w:val="CommentText"/>
    <w:rsid w:val="00BC0DE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C0DEC"/>
    <w:rPr>
      <w:b/>
      <w:bCs/>
    </w:rPr>
  </w:style>
  <w:style w:type="character" w:customStyle="1" w:styleId="CommentSubjectChar">
    <w:name w:val="Comment Subject Char"/>
    <w:basedOn w:val="CommentTextChar"/>
    <w:link w:val="CommentSubject"/>
    <w:semiHidden/>
    <w:rsid w:val="00BC0DE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5-C-013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R23-WRC23-C-0142!A27-A7!MSW-E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2C47A-2634-4C66-AC7A-8C7DB3751325}">
  <ds:schemaRefs>
    <ds:schemaRef ds:uri="http://schemas.openxmlformats.org/officeDocument/2006/bibliography"/>
  </ds:schemaRefs>
</ds:datastoreItem>
</file>

<file path=customXml/itemProps2.xml><?xml version="1.0" encoding="utf-8"?>
<ds:datastoreItem xmlns:ds="http://schemas.openxmlformats.org/officeDocument/2006/customXml" ds:itemID="{8F2C4009-C9F4-4C05-ABA2-2E784CFB9640}">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3.xml><?xml version="1.0" encoding="utf-8"?>
<ds:datastoreItem xmlns:ds="http://schemas.openxmlformats.org/officeDocument/2006/customXml" ds:itemID="{0B10487A-FC11-4693-A6CB-4FEF8B9D1CE6}">
  <ds:schemaRefs>
    <ds:schemaRef ds:uri="http://schemas.microsoft.com/sharepoint/v3/contenttype/forms"/>
  </ds:schemaRefs>
</ds:datastoreItem>
</file>

<file path=customXml/itemProps4.xml><?xml version="1.0" encoding="utf-8"?>
<ds:datastoreItem xmlns:ds="http://schemas.openxmlformats.org/officeDocument/2006/customXml" ds:itemID="{4381753C-97E0-41D3-8302-D0C659DAF630}">
  <ds:schemaRefs>
    <ds:schemaRef ds:uri="http://schemas.microsoft.com/sharepoint/events"/>
  </ds:schemaRefs>
</ds:datastoreItem>
</file>

<file path=customXml/itemProps5.xml><?xml version="1.0" encoding="utf-8"?>
<ds:datastoreItem xmlns:ds="http://schemas.openxmlformats.org/officeDocument/2006/customXml" ds:itemID="{0A56A126-2CA0-4251-A57A-74AF8BB75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1846</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R23-WRC23-C-0142!A27-A7!MSW-E</vt:lpstr>
    </vt:vector>
  </TitlesOfParts>
  <Manager>General Secretariat - Pool</Manager>
  <Company>International Telecommunication Union (ITU)</Company>
  <LinksUpToDate>false</LinksUpToDate>
  <CharactersWithSpaces>12571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R23-WRC23-C-0142!A27-A7!MSW-E</dc:title>
  <dc:subject>World Radiocommunication Conference - 2023</dc:subject>
  <dc:creator>Documents Proposals Manager (DPM)</dc:creator>
  <cp:keywords>DPM_v2023.8.1.1_prod</cp:keywords>
  <dc:description>Uploaded on 2015.07.06</dc:description>
  <cp:lastModifiedBy>TPU E RR</cp:lastModifiedBy>
  <cp:revision>7</cp:revision>
  <cp:lastPrinted>2017-02-10T08:23:00Z</cp:lastPrinted>
  <dcterms:created xsi:type="dcterms:W3CDTF">2023-11-01T16:02:00Z</dcterms:created>
  <dcterms:modified xsi:type="dcterms:W3CDTF">2023-11-02T15:53:00Z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