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245"/>
        <w:gridCol w:w="1559"/>
        <w:gridCol w:w="1809"/>
      </w:tblGrid>
      <w:tr w:rsidR="0080079E" w:rsidRPr="000C16CE" w14:paraId="2D9C8430" w14:textId="77777777" w:rsidTr="0080079E">
        <w:trPr>
          <w:cantSplit/>
        </w:trPr>
        <w:tc>
          <w:tcPr>
            <w:tcW w:w="1418" w:type="dxa"/>
            <w:vAlign w:val="center"/>
          </w:tcPr>
          <w:p w14:paraId="0191CD6A" w14:textId="77777777" w:rsidR="0080079E" w:rsidRPr="000C16CE" w:rsidRDefault="0080079E" w:rsidP="0080079E">
            <w:pPr>
              <w:spacing w:before="0" w:line="240" w:lineRule="atLeast"/>
              <w:rPr>
                <w:rFonts w:ascii="Verdana" w:hAnsi="Verdana"/>
                <w:position w:val="6"/>
                <w:lang w:val="es-ES"/>
              </w:rPr>
            </w:pPr>
            <w:r w:rsidRPr="000C16CE">
              <w:rPr>
                <w:lang w:val="es-ES"/>
              </w:rPr>
              <w:drawing>
                <wp:inline distT="0" distB="0" distL="0" distR="0" wp14:anchorId="76ADD181" wp14:editId="054B3A0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5181FBCD" w14:textId="77777777" w:rsidR="0080079E" w:rsidRPr="000C16CE" w:rsidRDefault="0080079E" w:rsidP="00C44E9E">
            <w:pPr>
              <w:spacing w:before="400" w:after="48" w:line="240" w:lineRule="atLeast"/>
              <w:rPr>
                <w:rFonts w:ascii="Verdana" w:hAnsi="Verdana"/>
                <w:position w:val="6"/>
                <w:lang w:val="es-ES"/>
              </w:rPr>
            </w:pPr>
            <w:r w:rsidRPr="000C16CE">
              <w:rPr>
                <w:rFonts w:ascii="Verdana" w:hAnsi="Verdana" w:cs="Times"/>
                <w:b/>
                <w:position w:val="6"/>
                <w:sz w:val="20"/>
                <w:lang w:val="es-ES"/>
              </w:rPr>
              <w:t>Conferencia Mundial de Radiocomunicaciones (CMR-23)</w:t>
            </w:r>
            <w:r w:rsidRPr="000C16CE">
              <w:rPr>
                <w:rFonts w:ascii="Verdana" w:hAnsi="Verdana" w:cs="Times"/>
                <w:b/>
                <w:position w:val="6"/>
                <w:sz w:val="20"/>
                <w:lang w:val="es-ES"/>
              </w:rPr>
              <w:br/>
            </w:r>
            <w:r w:rsidRPr="000C16CE">
              <w:rPr>
                <w:rFonts w:ascii="Verdana" w:hAnsi="Verdana" w:cs="Times"/>
                <w:b/>
                <w:position w:val="6"/>
                <w:sz w:val="18"/>
                <w:szCs w:val="18"/>
                <w:lang w:val="es-ES"/>
              </w:rPr>
              <w:t>Dubái, 20 de noviembre - 15 de diciembre de 2023</w:t>
            </w:r>
          </w:p>
        </w:tc>
        <w:tc>
          <w:tcPr>
            <w:tcW w:w="1809" w:type="dxa"/>
            <w:vAlign w:val="center"/>
          </w:tcPr>
          <w:p w14:paraId="02A5CC55" w14:textId="77777777" w:rsidR="0080079E" w:rsidRPr="000C16CE" w:rsidRDefault="0080079E" w:rsidP="0080079E">
            <w:pPr>
              <w:spacing w:before="0" w:line="240" w:lineRule="atLeast"/>
              <w:rPr>
                <w:lang w:val="es-ES"/>
              </w:rPr>
            </w:pPr>
            <w:bookmarkStart w:id="0" w:name="ditulogo"/>
            <w:bookmarkEnd w:id="0"/>
            <w:r w:rsidRPr="000C16CE">
              <w:rPr>
                <w:lang w:val="es-ES"/>
              </w:rPr>
              <w:drawing>
                <wp:inline distT="0" distB="0" distL="0" distR="0" wp14:anchorId="31FEC5B0" wp14:editId="15F2B6EC">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C16CE" w14:paraId="16D86393" w14:textId="77777777" w:rsidTr="00424F09">
        <w:trPr>
          <w:cantSplit/>
        </w:trPr>
        <w:tc>
          <w:tcPr>
            <w:tcW w:w="6663" w:type="dxa"/>
            <w:gridSpan w:val="2"/>
            <w:tcBorders>
              <w:bottom w:val="single" w:sz="12" w:space="0" w:color="auto"/>
            </w:tcBorders>
          </w:tcPr>
          <w:p w14:paraId="6887FED4" w14:textId="77777777" w:rsidR="0090121B" w:rsidRPr="000C16CE" w:rsidRDefault="0090121B" w:rsidP="0090121B">
            <w:pPr>
              <w:spacing w:before="0" w:after="48" w:line="240" w:lineRule="atLeast"/>
              <w:rPr>
                <w:b/>
                <w:smallCaps/>
                <w:szCs w:val="24"/>
                <w:lang w:val="es-ES"/>
              </w:rPr>
            </w:pPr>
            <w:bookmarkStart w:id="1" w:name="dhead"/>
          </w:p>
        </w:tc>
        <w:tc>
          <w:tcPr>
            <w:tcW w:w="3368" w:type="dxa"/>
            <w:gridSpan w:val="2"/>
            <w:tcBorders>
              <w:bottom w:val="single" w:sz="12" w:space="0" w:color="auto"/>
            </w:tcBorders>
          </w:tcPr>
          <w:p w14:paraId="4447F03E" w14:textId="77777777" w:rsidR="0090121B" w:rsidRPr="000C16CE" w:rsidRDefault="0090121B" w:rsidP="0090121B">
            <w:pPr>
              <w:spacing w:before="0" w:line="240" w:lineRule="atLeast"/>
              <w:rPr>
                <w:rFonts w:ascii="Verdana" w:hAnsi="Verdana"/>
                <w:szCs w:val="24"/>
                <w:lang w:val="es-ES"/>
              </w:rPr>
            </w:pPr>
          </w:p>
        </w:tc>
      </w:tr>
      <w:tr w:rsidR="0090121B" w:rsidRPr="000C16CE" w14:paraId="4C7A2294" w14:textId="77777777" w:rsidTr="00424F09">
        <w:trPr>
          <w:cantSplit/>
        </w:trPr>
        <w:tc>
          <w:tcPr>
            <w:tcW w:w="6663" w:type="dxa"/>
            <w:gridSpan w:val="2"/>
            <w:tcBorders>
              <w:top w:val="single" w:sz="12" w:space="0" w:color="auto"/>
            </w:tcBorders>
          </w:tcPr>
          <w:p w14:paraId="0670CB35" w14:textId="77777777" w:rsidR="0090121B" w:rsidRPr="000C16CE" w:rsidRDefault="0090121B" w:rsidP="0090121B">
            <w:pPr>
              <w:spacing w:before="0" w:after="48" w:line="240" w:lineRule="atLeast"/>
              <w:rPr>
                <w:rFonts w:ascii="Verdana" w:hAnsi="Verdana"/>
                <w:b/>
                <w:smallCaps/>
                <w:sz w:val="20"/>
                <w:lang w:val="es-ES"/>
              </w:rPr>
            </w:pPr>
          </w:p>
        </w:tc>
        <w:tc>
          <w:tcPr>
            <w:tcW w:w="3368" w:type="dxa"/>
            <w:gridSpan w:val="2"/>
            <w:tcBorders>
              <w:top w:val="single" w:sz="12" w:space="0" w:color="auto"/>
            </w:tcBorders>
          </w:tcPr>
          <w:p w14:paraId="30306AB3" w14:textId="77777777" w:rsidR="0090121B" w:rsidRPr="000C16CE" w:rsidRDefault="0090121B" w:rsidP="0090121B">
            <w:pPr>
              <w:spacing w:before="0" w:line="240" w:lineRule="atLeast"/>
              <w:rPr>
                <w:rFonts w:ascii="Verdana" w:hAnsi="Verdana"/>
                <w:sz w:val="20"/>
                <w:lang w:val="es-ES"/>
              </w:rPr>
            </w:pPr>
          </w:p>
        </w:tc>
      </w:tr>
      <w:tr w:rsidR="0090121B" w:rsidRPr="000C16CE" w14:paraId="354434AF" w14:textId="77777777" w:rsidTr="00424F09">
        <w:trPr>
          <w:cantSplit/>
        </w:trPr>
        <w:tc>
          <w:tcPr>
            <w:tcW w:w="6663" w:type="dxa"/>
            <w:gridSpan w:val="2"/>
          </w:tcPr>
          <w:p w14:paraId="048D6189" w14:textId="77777777" w:rsidR="0090121B" w:rsidRPr="000C16CE" w:rsidRDefault="001E7D42" w:rsidP="00EA77F0">
            <w:pPr>
              <w:pStyle w:val="Committee"/>
              <w:framePr w:hSpace="0" w:wrap="auto" w:hAnchor="text" w:yAlign="inline"/>
              <w:rPr>
                <w:szCs w:val="20"/>
                <w:lang w:val="es-ES"/>
              </w:rPr>
            </w:pPr>
            <w:r w:rsidRPr="000C16CE">
              <w:rPr>
                <w:szCs w:val="20"/>
                <w:lang w:val="es-ES"/>
              </w:rPr>
              <w:t>SESIÓN PLENARIA</w:t>
            </w:r>
          </w:p>
        </w:tc>
        <w:tc>
          <w:tcPr>
            <w:tcW w:w="3368" w:type="dxa"/>
            <w:gridSpan w:val="2"/>
          </w:tcPr>
          <w:p w14:paraId="3EE3691C" w14:textId="77777777" w:rsidR="0090121B" w:rsidRPr="000C16CE" w:rsidRDefault="00AE658F" w:rsidP="0045384C">
            <w:pPr>
              <w:spacing w:before="0"/>
              <w:rPr>
                <w:rFonts w:ascii="Verdana" w:hAnsi="Verdana"/>
                <w:sz w:val="20"/>
                <w:lang w:val="es-ES"/>
              </w:rPr>
            </w:pPr>
            <w:r w:rsidRPr="000C16CE">
              <w:rPr>
                <w:rFonts w:ascii="Verdana" w:hAnsi="Verdana"/>
                <w:b/>
                <w:sz w:val="20"/>
                <w:lang w:val="es-ES"/>
              </w:rPr>
              <w:t>Addéndum 4 al</w:t>
            </w:r>
            <w:r w:rsidRPr="000C16CE">
              <w:rPr>
                <w:rFonts w:ascii="Verdana" w:hAnsi="Verdana"/>
                <w:b/>
                <w:sz w:val="20"/>
                <w:lang w:val="es-ES"/>
              </w:rPr>
              <w:br/>
              <w:t>Documento 142(Add.27)</w:t>
            </w:r>
            <w:r w:rsidR="0090121B" w:rsidRPr="000C16CE">
              <w:rPr>
                <w:rFonts w:ascii="Verdana" w:hAnsi="Verdana"/>
                <w:b/>
                <w:sz w:val="20"/>
                <w:lang w:val="es-ES"/>
              </w:rPr>
              <w:t>-</w:t>
            </w:r>
            <w:r w:rsidRPr="000C16CE">
              <w:rPr>
                <w:rFonts w:ascii="Verdana" w:hAnsi="Verdana"/>
                <w:b/>
                <w:sz w:val="20"/>
                <w:lang w:val="es-ES"/>
              </w:rPr>
              <w:t>S</w:t>
            </w:r>
          </w:p>
        </w:tc>
      </w:tr>
      <w:bookmarkEnd w:id="1"/>
      <w:tr w:rsidR="000A5B9A" w:rsidRPr="000C16CE" w14:paraId="51E0E298" w14:textId="77777777" w:rsidTr="00424F09">
        <w:trPr>
          <w:cantSplit/>
        </w:trPr>
        <w:tc>
          <w:tcPr>
            <w:tcW w:w="6663" w:type="dxa"/>
            <w:gridSpan w:val="2"/>
          </w:tcPr>
          <w:p w14:paraId="14A5EB6D" w14:textId="77777777" w:rsidR="000A5B9A" w:rsidRPr="000C16CE" w:rsidRDefault="000A5B9A" w:rsidP="0045384C">
            <w:pPr>
              <w:spacing w:before="0" w:after="48"/>
              <w:rPr>
                <w:rFonts w:ascii="Verdana" w:hAnsi="Verdana"/>
                <w:b/>
                <w:smallCaps/>
                <w:sz w:val="20"/>
                <w:lang w:val="es-ES"/>
              </w:rPr>
            </w:pPr>
          </w:p>
        </w:tc>
        <w:tc>
          <w:tcPr>
            <w:tcW w:w="3368" w:type="dxa"/>
            <w:gridSpan w:val="2"/>
          </w:tcPr>
          <w:p w14:paraId="3C4583DF" w14:textId="77777777" w:rsidR="000A5B9A" w:rsidRPr="000C16CE" w:rsidRDefault="000A5B9A" w:rsidP="0045384C">
            <w:pPr>
              <w:spacing w:before="0"/>
              <w:rPr>
                <w:rFonts w:ascii="Verdana" w:hAnsi="Verdana"/>
                <w:b/>
                <w:sz w:val="20"/>
                <w:lang w:val="es-ES"/>
              </w:rPr>
            </w:pPr>
            <w:r w:rsidRPr="000C16CE">
              <w:rPr>
                <w:rFonts w:ascii="Verdana" w:hAnsi="Verdana"/>
                <w:b/>
                <w:sz w:val="20"/>
                <w:lang w:val="es-ES"/>
              </w:rPr>
              <w:t>29 de octubre de 2023</w:t>
            </w:r>
          </w:p>
        </w:tc>
      </w:tr>
      <w:tr w:rsidR="000A5B9A" w:rsidRPr="000C16CE" w14:paraId="30D6091C" w14:textId="77777777" w:rsidTr="00424F09">
        <w:trPr>
          <w:cantSplit/>
        </w:trPr>
        <w:tc>
          <w:tcPr>
            <w:tcW w:w="6663" w:type="dxa"/>
            <w:gridSpan w:val="2"/>
          </w:tcPr>
          <w:p w14:paraId="3B61C03A" w14:textId="77777777" w:rsidR="000A5B9A" w:rsidRPr="000C16CE" w:rsidRDefault="000A5B9A" w:rsidP="0045384C">
            <w:pPr>
              <w:spacing w:before="0" w:after="48"/>
              <w:rPr>
                <w:rFonts w:ascii="Verdana" w:hAnsi="Verdana"/>
                <w:b/>
                <w:smallCaps/>
                <w:sz w:val="20"/>
                <w:lang w:val="es-ES"/>
              </w:rPr>
            </w:pPr>
          </w:p>
        </w:tc>
        <w:tc>
          <w:tcPr>
            <w:tcW w:w="3368" w:type="dxa"/>
            <w:gridSpan w:val="2"/>
          </w:tcPr>
          <w:p w14:paraId="30185733" w14:textId="77777777" w:rsidR="000A5B9A" w:rsidRPr="000C16CE" w:rsidRDefault="000A5B9A" w:rsidP="0045384C">
            <w:pPr>
              <w:spacing w:before="0"/>
              <w:rPr>
                <w:rFonts w:ascii="Verdana" w:hAnsi="Verdana"/>
                <w:b/>
                <w:sz w:val="20"/>
                <w:lang w:val="es-ES"/>
              </w:rPr>
            </w:pPr>
            <w:r w:rsidRPr="000C16CE">
              <w:rPr>
                <w:rFonts w:ascii="Verdana" w:hAnsi="Verdana"/>
                <w:b/>
                <w:sz w:val="20"/>
                <w:lang w:val="es-ES"/>
              </w:rPr>
              <w:t>Original: inglés</w:t>
            </w:r>
          </w:p>
        </w:tc>
      </w:tr>
      <w:tr w:rsidR="000A5B9A" w:rsidRPr="000C16CE" w14:paraId="081B1B69" w14:textId="77777777" w:rsidTr="006744FC">
        <w:trPr>
          <w:cantSplit/>
        </w:trPr>
        <w:tc>
          <w:tcPr>
            <w:tcW w:w="10031" w:type="dxa"/>
            <w:gridSpan w:val="4"/>
          </w:tcPr>
          <w:p w14:paraId="1E2838E3" w14:textId="77777777" w:rsidR="000A5B9A" w:rsidRPr="000C16CE" w:rsidRDefault="000A5B9A" w:rsidP="0045384C">
            <w:pPr>
              <w:spacing w:before="0"/>
              <w:rPr>
                <w:rFonts w:ascii="Verdana" w:hAnsi="Verdana"/>
                <w:b/>
                <w:sz w:val="18"/>
                <w:szCs w:val="22"/>
                <w:lang w:val="es-ES"/>
              </w:rPr>
            </w:pPr>
          </w:p>
        </w:tc>
      </w:tr>
      <w:tr w:rsidR="000A5B9A" w:rsidRPr="000C16CE" w14:paraId="2FBD475F" w14:textId="77777777" w:rsidTr="0050008E">
        <w:trPr>
          <w:cantSplit/>
        </w:trPr>
        <w:tc>
          <w:tcPr>
            <w:tcW w:w="10031" w:type="dxa"/>
            <w:gridSpan w:val="4"/>
          </w:tcPr>
          <w:p w14:paraId="12F72E70" w14:textId="77777777" w:rsidR="000A5B9A" w:rsidRPr="000C16CE" w:rsidRDefault="000A5B9A" w:rsidP="000A5B9A">
            <w:pPr>
              <w:pStyle w:val="Source"/>
              <w:rPr>
                <w:lang w:val="es-ES"/>
              </w:rPr>
            </w:pPr>
            <w:bookmarkStart w:id="2" w:name="dsource" w:colFirst="0" w:colLast="0"/>
            <w:r w:rsidRPr="000C16CE">
              <w:rPr>
                <w:lang w:val="es-ES"/>
              </w:rPr>
              <w:t>Estados Unidos de América</w:t>
            </w:r>
          </w:p>
        </w:tc>
      </w:tr>
      <w:tr w:rsidR="000A5B9A" w:rsidRPr="000C16CE" w14:paraId="269700E9" w14:textId="77777777" w:rsidTr="0050008E">
        <w:trPr>
          <w:cantSplit/>
        </w:trPr>
        <w:tc>
          <w:tcPr>
            <w:tcW w:w="10031" w:type="dxa"/>
            <w:gridSpan w:val="4"/>
          </w:tcPr>
          <w:p w14:paraId="0B67C255" w14:textId="5D672EAE" w:rsidR="000A5B9A" w:rsidRPr="000C16CE" w:rsidRDefault="009C1D28" w:rsidP="000A5B9A">
            <w:pPr>
              <w:pStyle w:val="Title1"/>
              <w:rPr>
                <w:lang w:val="es-ES"/>
              </w:rPr>
            </w:pPr>
            <w:bookmarkStart w:id="3" w:name="dtitle1" w:colFirst="0" w:colLast="0"/>
            <w:bookmarkEnd w:id="2"/>
            <w:r w:rsidRPr="000C16CE">
              <w:rPr>
                <w:lang w:val="es-ES"/>
              </w:rPr>
              <w:t>PROPUESTA PARA LOS TRABAJOS DE LA CONFERENCIA</w:t>
            </w:r>
          </w:p>
        </w:tc>
      </w:tr>
      <w:tr w:rsidR="000A5B9A" w:rsidRPr="000C16CE" w14:paraId="57073E69" w14:textId="77777777" w:rsidTr="0050008E">
        <w:trPr>
          <w:cantSplit/>
        </w:trPr>
        <w:tc>
          <w:tcPr>
            <w:tcW w:w="10031" w:type="dxa"/>
            <w:gridSpan w:val="4"/>
          </w:tcPr>
          <w:p w14:paraId="0A0AAFCF" w14:textId="77777777" w:rsidR="000A5B9A" w:rsidRPr="000C16CE" w:rsidRDefault="000A5B9A" w:rsidP="000A5B9A">
            <w:pPr>
              <w:pStyle w:val="Title2"/>
              <w:rPr>
                <w:lang w:val="es-ES"/>
              </w:rPr>
            </w:pPr>
            <w:bookmarkStart w:id="4" w:name="dtitle2" w:colFirst="0" w:colLast="0"/>
            <w:bookmarkEnd w:id="3"/>
          </w:p>
        </w:tc>
      </w:tr>
      <w:tr w:rsidR="000A5B9A" w:rsidRPr="000C16CE" w14:paraId="25D17A0F" w14:textId="77777777" w:rsidTr="0050008E">
        <w:trPr>
          <w:cantSplit/>
        </w:trPr>
        <w:tc>
          <w:tcPr>
            <w:tcW w:w="10031" w:type="dxa"/>
            <w:gridSpan w:val="4"/>
          </w:tcPr>
          <w:p w14:paraId="4BF23469" w14:textId="77777777" w:rsidR="000A5B9A" w:rsidRPr="000C16CE" w:rsidRDefault="000A5B9A" w:rsidP="000A5B9A">
            <w:pPr>
              <w:pStyle w:val="Agendaitem"/>
              <w:rPr>
                <w:lang w:val="es-ES"/>
              </w:rPr>
            </w:pPr>
            <w:bookmarkStart w:id="5" w:name="dtitle3" w:colFirst="0" w:colLast="0"/>
            <w:bookmarkEnd w:id="4"/>
            <w:r w:rsidRPr="000C16CE">
              <w:rPr>
                <w:lang w:val="es-ES"/>
              </w:rPr>
              <w:t>Punto 10 del orden del día</w:t>
            </w:r>
          </w:p>
        </w:tc>
      </w:tr>
    </w:tbl>
    <w:bookmarkEnd w:id="5"/>
    <w:p w14:paraId="70446A16" w14:textId="77777777" w:rsidR="00D142F6" w:rsidRPr="000C16CE" w:rsidRDefault="00D142F6" w:rsidP="000C16CE">
      <w:pPr>
        <w:pStyle w:val="Normalaftertitle"/>
        <w:rPr>
          <w:lang w:val="es-ES"/>
        </w:rPr>
      </w:pPr>
      <w:r w:rsidRPr="000C16CE">
        <w:rPr>
          <w:lang w:val="es-ES"/>
        </w:rPr>
        <w:t>10</w:t>
      </w:r>
      <w:r w:rsidRPr="000C16CE">
        <w:rPr>
          <w:lang w:val="es-ES"/>
        </w:rPr>
        <w:tab/>
        <w:t xml:space="preserve">recomendar al Consejo de la UIT los puntos que debe contener el orden del día de la próxima Conferencia Mundial de Radiocomunicaciones y los temas que se han de incluir en el orden del día preliminar de futuras conferencias, de conformidad con el Artículo 7 del Convenio de la UIT y la Resolución </w:t>
      </w:r>
      <w:r w:rsidRPr="000C16CE">
        <w:rPr>
          <w:b/>
          <w:bCs/>
          <w:lang w:val="es-ES"/>
        </w:rPr>
        <w:t>804 (Rev.CMR-19)</w:t>
      </w:r>
      <w:r w:rsidRPr="000C16CE">
        <w:rPr>
          <w:lang w:val="es-ES"/>
        </w:rPr>
        <w:t>,</w:t>
      </w:r>
    </w:p>
    <w:p w14:paraId="335F9F2C" w14:textId="77777777" w:rsidR="009C1D28" w:rsidRPr="000C16CE" w:rsidRDefault="009C1D28" w:rsidP="009C1D28">
      <w:pPr>
        <w:pStyle w:val="Headingb"/>
        <w:rPr>
          <w:lang w:val="es-ES"/>
        </w:rPr>
      </w:pPr>
      <w:r w:rsidRPr="000C16CE">
        <w:rPr>
          <w:lang w:val="es-ES"/>
        </w:rPr>
        <w:t>Antecedentes</w:t>
      </w:r>
    </w:p>
    <w:p w14:paraId="0BA6C9A1" w14:textId="7A1A3D89" w:rsidR="00363A65" w:rsidRPr="000C16CE" w:rsidRDefault="009C1D28" w:rsidP="002C1A52">
      <w:pPr>
        <w:rPr>
          <w:lang w:val="es-ES"/>
        </w:rPr>
      </w:pPr>
      <w:r w:rsidRPr="000C16CE">
        <w:rPr>
          <w:lang w:val="es-ES"/>
        </w:rPr>
        <w:t xml:space="preserve">El orden del día preliminar de la CMR-27 contiene dos puntos preliminares (2.4 y 2.5) que proponen estudiar las condiciones de utilización de las bandas 71-76 GHz y 81-86 GHz por los servicios por satélite, y </w:t>
      </w:r>
      <w:r w:rsidR="00A03C80" w:rsidRPr="000C16CE">
        <w:rPr>
          <w:lang w:val="es-ES"/>
        </w:rPr>
        <w:t>la manera de</w:t>
      </w:r>
      <w:r w:rsidRPr="000C16CE">
        <w:rPr>
          <w:lang w:val="es-ES"/>
        </w:rPr>
        <w:t xml:space="preserve"> velar por la protección de las operaciones de los servicios terrenales existentes en la banda y de los servicios pasivos en la banda o en la banda adyacente. En </w:t>
      </w:r>
      <w:r w:rsidR="00A03C80" w:rsidRPr="000C16CE">
        <w:rPr>
          <w:lang w:val="es-ES"/>
        </w:rPr>
        <w:t>la presente</w:t>
      </w:r>
      <w:r w:rsidRPr="000C16CE">
        <w:rPr>
          <w:lang w:val="es-ES"/>
        </w:rPr>
        <w:t xml:space="preserve"> propuesta se combinan los elementos de la Resolución </w:t>
      </w:r>
      <w:r w:rsidRPr="000C16CE">
        <w:rPr>
          <w:b/>
          <w:lang w:val="es-ES"/>
        </w:rPr>
        <w:t>775</w:t>
      </w:r>
      <w:r w:rsidRPr="000C16CE">
        <w:rPr>
          <w:lang w:val="es-ES"/>
        </w:rPr>
        <w:t xml:space="preserve"> (</w:t>
      </w:r>
      <w:r w:rsidRPr="000C16CE">
        <w:rPr>
          <w:b/>
          <w:lang w:val="es-ES"/>
        </w:rPr>
        <w:t>CMR-19</w:t>
      </w:r>
      <w:r w:rsidRPr="000C16CE">
        <w:rPr>
          <w:lang w:val="es-ES"/>
        </w:rPr>
        <w:t>) y la Resolución</w:t>
      </w:r>
      <w:r w:rsidR="000C16CE" w:rsidRPr="000C16CE">
        <w:rPr>
          <w:lang w:val="es-ES"/>
        </w:rPr>
        <w:t> </w:t>
      </w:r>
      <w:r w:rsidRPr="000C16CE">
        <w:rPr>
          <w:b/>
          <w:lang w:val="es-ES"/>
        </w:rPr>
        <w:t>776</w:t>
      </w:r>
      <w:r w:rsidRPr="000C16CE">
        <w:rPr>
          <w:lang w:val="es-ES"/>
        </w:rPr>
        <w:t xml:space="preserve"> </w:t>
      </w:r>
      <w:r w:rsidRPr="000C16CE">
        <w:rPr>
          <w:b/>
          <w:lang w:val="es-ES"/>
        </w:rPr>
        <w:t>(CMR-19</w:t>
      </w:r>
      <w:r w:rsidRPr="000C16CE">
        <w:rPr>
          <w:lang w:val="es-ES"/>
        </w:rPr>
        <w:t>) en un único punto futuro del orden del día</w:t>
      </w:r>
      <w:r w:rsidR="00A03C80" w:rsidRPr="000C16CE">
        <w:rPr>
          <w:lang w:val="es-ES"/>
        </w:rPr>
        <w:t xml:space="preserve">, conforme a lo propuesto </w:t>
      </w:r>
      <w:r w:rsidRPr="000C16CE">
        <w:rPr>
          <w:lang w:val="es-ES"/>
        </w:rPr>
        <w:t xml:space="preserve">en una contribución separada en el marco del punto 10 del orden del día. Teniendo en cuenta la fusión de las dos Resoluciones de la CMR ya señaladas, la presente contribución contiene una propuesta para suprimir la Resolución </w:t>
      </w:r>
      <w:r w:rsidRPr="000C16CE">
        <w:rPr>
          <w:b/>
          <w:lang w:val="es-ES"/>
        </w:rPr>
        <w:t>776</w:t>
      </w:r>
      <w:r w:rsidRPr="000C16CE">
        <w:rPr>
          <w:lang w:val="es-ES"/>
        </w:rPr>
        <w:t xml:space="preserve"> </w:t>
      </w:r>
      <w:r w:rsidRPr="000C16CE">
        <w:rPr>
          <w:b/>
          <w:lang w:val="es-ES"/>
        </w:rPr>
        <w:t>(CMR-19)</w:t>
      </w:r>
      <w:r w:rsidRPr="000C16CE">
        <w:rPr>
          <w:lang w:val="es-ES"/>
        </w:rPr>
        <w:t>, dado que ya no es necesaria.</w:t>
      </w:r>
    </w:p>
    <w:p w14:paraId="1891CDE1" w14:textId="77777777" w:rsidR="008750A8" w:rsidRPr="000C16CE" w:rsidRDefault="008750A8" w:rsidP="008750A8">
      <w:pPr>
        <w:tabs>
          <w:tab w:val="clear" w:pos="1134"/>
          <w:tab w:val="clear" w:pos="1871"/>
          <w:tab w:val="clear" w:pos="2268"/>
        </w:tabs>
        <w:overflowPunct/>
        <w:autoSpaceDE/>
        <w:autoSpaceDN/>
        <w:adjustRightInd/>
        <w:spacing w:before="0"/>
        <w:textAlignment w:val="auto"/>
        <w:rPr>
          <w:lang w:val="es-ES"/>
        </w:rPr>
      </w:pPr>
      <w:r w:rsidRPr="000C16CE">
        <w:rPr>
          <w:lang w:val="es-ES"/>
        </w:rPr>
        <w:br w:type="page"/>
      </w:r>
    </w:p>
    <w:p w14:paraId="2C93E08B" w14:textId="77777777" w:rsidR="004E6638" w:rsidRPr="000C16CE" w:rsidRDefault="00D142F6">
      <w:pPr>
        <w:pStyle w:val="Proposal"/>
        <w:rPr>
          <w:lang w:val="es-ES"/>
        </w:rPr>
      </w:pPr>
      <w:r w:rsidRPr="000C16CE">
        <w:rPr>
          <w:lang w:val="es-ES"/>
        </w:rPr>
        <w:lastRenderedPageBreak/>
        <w:t>SUP</w:t>
      </w:r>
      <w:r w:rsidRPr="000C16CE">
        <w:rPr>
          <w:lang w:val="es-ES"/>
        </w:rPr>
        <w:tab/>
        <w:t>USA/142A27A4/1</w:t>
      </w:r>
    </w:p>
    <w:p w14:paraId="401A09FD" w14:textId="77777777" w:rsidR="00D142F6" w:rsidRPr="000C16CE" w:rsidRDefault="00D142F6" w:rsidP="00CC378D">
      <w:pPr>
        <w:pStyle w:val="ResNo"/>
        <w:rPr>
          <w:lang w:val="es-ES"/>
        </w:rPr>
      </w:pPr>
      <w:bookmarkStart w:id="6" w:name="_Toc39735099"/>
      <w:r w:rsidRPr="000C16CE">
        <w:rPr>
          <w:caps w:val="0"/>
          <w:lang w:val="es-ES"/>
        </w:rPr>
        <w:t xml:space="preserve">RESOLUCIÓN </w:t>
      </w:r>
      <w:r w:rsidRPr="000C16CE">
        <w:rPr>
          <w:rStyle w:val="href"/>
          <w:caps w:val="0"/>
          <w:lang w:val="es-ES"/>
        </w:rPr>
        <w:t>776</w:t>
      </w:r>
      <w:r w:rsidRPr="000C16CE">
        <w:rPr>
          <w:caps w:val="0"/>
          <w:lang w:val="es-ES"/>
        </w:rPr>
        <w:t xml:space="preserve"> (CMR-19)</w:t>
      </w:r>
      <w:bookmarkEnd w:id="6"/>
    </w:p>
    <w:p w14:paraId="41FE126A" w14:textId="77777777" w:rsidR="00D142F6" w:rsidRPr="000C16CE" w:rsidRDefault="00D142F6" w:rsidP="00265C64">
      <w:pPr>
        <w:pStyle w:val="Restitle"/>
        <w:rPr>
          <w:lang w:val="es-ES"/>
        </w:rPr>
      </w:pPr>
      <w:bookmarkStart w:id="7" w:name="_Toc36190357"/>
      <w:bookmarkStart w:id="8" w:name="_Toc39735100"/>
      <w:r w:rsidRPr="000C16CE">
        <w:rPr>
          <w:lang w:val="es-ES"/>
        </w:rPr>
        <w:t>Condiciones de utilización de las bandas de frecuencias 71-76 GHz y 81-86 GHz</w:t>
      </w:r>
      <w:r w:rsidRPr="000C16CE">
        <w:rPr>
          <w:lang w:val="es-ES"/>
        </w:rPr>
        <w:br/>
        <w:t>por estaciones de los servicios por satélite para garantizar</w:t>
      </w:r>
      <w:r w:rsidRPr="000C16CE">
        <w:rPr>
          <w:lang w:val="es-ES"/>
        </w:rPr>
        <w:br/>
        <w:t>la compatibilidad con los servicios pasivos</w:t>
      </w:r>
      <w:bookmarkEnd w:id="7"/>
      <w:bookmarkEnd w:id="8"/>
    </w:p>
    <w:p w14:paraId="46E2FF19" w14:textId="77777777" w:rsidR="009C1D28" w:rsidRPr="000C16CE" w:rsidRDefault="00D142F6" w:rsidP="009C1D28">
      <w:pPr>
        <w:pStyle w:val="Reasons"/>
        <w:rPr>
          <w:sz w:val="22"/>
          <w:szCs w:val="22"/>
          <w:lang w:val="es-ES"/>
        </w:rPr>
      </w:pPr>
      <w:r w:rsidRPr="000C16CE">
        <w:rPr>
          <w:b/>
          <w:lang w:val="es-ES"/>
        </w:rPr>
        <w:t>Motivos:</w:t>
      </w:r>
      <w:r w:rsidRPr="000C16CE">
        <w:rPr>
          <w:lang w:val="es-ES"/>
        </w:rPr>
        <w:tab/>
      </w:r>
      <w:r w:rsidR="009C1D28" w:rsidRPr="000C16CE">
        <w:rPr>
          <w:lang w:val="es-ES"/>
        </w:rPr>
        <w:t xml:space="preserve">Medida consiguiente. Los estudios requeridos en virtud de la Resolución </w:t>
      </w:r>
      <w:r w:rsidR="009C1D28" w:rsidRPr="000C16CE">
        <w:rPr>
          <w:b/>
          <w:lang w:val="es-ES"/>
        </w:rPr>
        <w:t>776</w:t>
      </w:r>
      <w:r w:rsidR="009C1D28" w:rsidRPr="000C16CE">
        <w:rPr>
          <w:lang w:val="es-ES"/>
        </w:rPr>
        <w:t xml:space="preserve"> (CMR-19) se incluyen ahora en la Resolución </w:t>
      </w:r>
      <w:r w:rsidR="009C1D28" w:rsidRPr="000C16CE">
        <w:rPr>
          <w:b/>
          <w:lang w:val="es-ES"/>
        </w:rPr>
        <w:t>775 (CMR-19)</w:t>
      </w:r>
      <w:r w:rsidR="009C1D28" w:rsidRPr="000C16CE">
        <w:rPr>
          <w:lang w:val="es-ES"/>
        </w:rPr>
        <w:t>, modificada</w:t>
      </w:r>
      <w:r w:rsidR="009C1D28" w:rsidRPr="000C16CE">
        <w:rPr>
          <w:sz w:val="22"/>
          <w:lang w:val="es-ES"/>
        </w:rPr>
        <w:t>.</w:t>
      </w:r>
    </w:p>
    <w:p w14:paraId="0D613FF8" w14:textId="77777777" w:rsidR="009C1D28" w:rsidRPr="000C16CE" w:rsidRDefault="009C1D28" w:rsidP="009C1D28">
      <w:pPr>
        <w:spacing w:before="360"/>
        <w:jc w:val="center"/>
        <w:rPr>
          <w:lang w:val="es-ES"/>
        </w:rPr>
      </w:pPr>
      <w:r w:rsidRPr="000C16CE">
        <w:rPr>
          <w:lang w:val="es-ES"/>
        </w:rPr>
        <w:t>_______________</w:t>
      </w:r>
    </w:p>
    <w:sectPr w:rsidR="009C1D28" w:rsidRPr="000C16CE">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5B65A" w14:textId="77777777" w:rsidR="008E5A30" w:rsidRDefault="008E5A30">
      <w:r>
        <w:separator/>
      </w:r>
    </w:p>
  </w:endnote>
  <w:endnote w:type="continuationSeparator" w:id="0">
    <w:p w14:paraId="23676174" w14:textId="77777777" w:rsidR="008E5A30" w:rsidRDefault="008E5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0E847"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9BCB54" w14:textId="01A10A8D"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5825A0">
      <w:rPr>
        <w:noProof/>
      </w:rPr>
      <w:t>03.11.23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9E658" w14:textId="77777777" w:rsidR="000C16CE" w:rsidRPr="00D142F6" w:rsidRDefault="000C16CE" w:rsidP="000C16CE">
    <w:pPr>
      <w:pStyle w:val="Footer"/>
      <w:rPr>
        <w:lang w:val="en-US"/>
      </w:rPr>
    </w:pPr>
    <w:r>
      <w:fldChar w:fldCharType="begin"/>
    </w:r>
    <w:r>
      <w:rPr>
        <w:lang w:val="en-US"/>
      </w:rPr>
      <w:instrText xml:space="preserve"> FILENAME \p  \* MERGEFORMAT </w:instrText>
    </w:r>
    <w:r>
      <w:fldChar w:fldCharType="separate"/>
    </w:r>
    <w:r>
      <w:rPr>
        <w:lang w:val="en-US"/>
      </w:rPr>
      <w:t>P:\ESP\ITU-R\CONF-R\CMR23\100\142ADD27ADD04S.docx</w:t>
    </w:r>
    <w:r>
      <w:fldChar w:fldCharType="end"/>
    </w:r>
    <w:r w:rsidRPr="00D142F6">
      <w:rPr>
        <w:lang w:val="en-US"/>
      </w:rPr>
      <w:t xml:space="preserve"> </w:t>
    </w:r>
    <w:r>
      <w:rPr>
        <w:lang w:val="en-US"/>
      </w:rPr>
      <w:t>(530375)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000F4" w14:textId="69542A2B" w:rsidR="0077084A" w:rsidRPr="00D142F6" w:rsidRDefault="0077084A" w:rsidP="00B47331">
    <w:pPr>
      <w:pStyle w:val="Footer"/>
      <w:rPr>
        <w:lang w:val="en-US"/>
      </w:rPr>
    </w:pPr>
    <w:r>
      <w:fldChar w:fldCharType="begin"/>
    </w:r>
    <w:r>
      <w:rPr>
        <w:lang w:val="en-US"/>
      </w:rPr>
      <w:instrText xml:space="preserve"> FILENAME \p  \* MERGEFORMAT </w:instrText>
    </w:r>
    <w:r>
      <w:fldChar w:fldCharType="separate"/>
    </w:r>
    <w:r w:rsidR="000C16CE">
      <w:rPr>
        <w:lang w:val="en-US"/>
      </w:rPr>
      <w:t>P:\ESP\ITU-R\CONF-R\CMR23\100\142ADD27ADD04S.docx</w:t>
    </w:r>
    <w:r>
      <w:fldChar w:fldCharType="end"/>
    </w:r>
    <w:r w:rsidR="00D142F6" w:rsidRPr="00D142F6">
      <w:rPr>
        <w:lang w:val="en-US"/>
      </w:rPr>
      <w:t xml:space="preserve"> </w:t>
    </w:r>
    <w:r w:rsidR="00D142F6">
      <w:rPr>
        <w:lang w:val="en-US"/>
      </w:rPr>
      <w:t>(530375)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1FF0A" w14:textId="77777777" w:rsidR="008E5A30" w:rsidRDefault="008E5A30">
      <w:r>
        <w:rPr>
          <w:b/>
        </w:rPr>
        <w:t>_______________</w:t>
      </w:r>
    </w:p>
  </w:footnote>
  <w:footnote w:type="continuationSeparator" w:id="0">
    <w:p w14:paraId="735BA6FF" w14:textId="77777777" w:rsidR="008E5A30" w:rsidRDefault="008E5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4A403" w14:textId="62620A40"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F733B">
      <w:rPr>
        <w:rStyle w:val="PageNumber"/>
        <w:noProof/>
      </w:rPr>
      <w:t>2</w:t>
    </w:r>
    <w:r>
      <w:rPr>
        <w:rStyle w:val="PageNumber"/>
      </w:rPr>
      <w:fldChar w:fldCharType="end"/>
    </w:r>
  </w:p>
  <w:p w14:paraId="5944CD5F"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142(Add.27)(Add.4)-</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625772623">
    <w:abstractNumId w:val="8"/>
  </w:num>
  <w:num w:numId="2" w16cid:durableId="130531124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84083108">
    <w:abstractNumId w:val="9"/>
  </w:num>
  <w:num w:numId="4" w16cid:durableId="2094008340">
    <w:abstractNumId w:val="7"/>
  </w:num>
  <w:num w:numId="5" w16cid:durableId="1734084098">
    <w:abstractNumId w:val="6"/>
  </w:num>
  <w:num w:numId="6" w16cid:durableId="1603680450">
    <w:abstractNumId w:val="5"/>
  </w:num>
  <w:num w:numId="7" w16cid:durableId="720448292">
    <w:abstractNumId w:val="4"/>
  </w:num>
  <w:num w:numId="8" w16cid:durableId="1838227658">
    <w:abstractNumId w:val="3"/>
  </w:num>
  <w:num w:numId="9" w16cid:durableId="1213736861">
    <w:abstractNumId w:val="2"/>
  </w:num>
  <w:num w:numId="10" w16cid:durableId="573778906">
    <w:abstractNumId w:val="1"/>
  </w:num>
  <w:num w:numId="11" w16cid:durableId="610553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C16CE"/>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24F09"/>
    <w:rsid w:val="00440B3A"/>
    <w:rsid w:val="0044375A"/>
    <w:rsid w:val="0045384C"/>
    <w:rsid w:val="00454553"/>
    <w:rsid w:val="00472A86"/>
    <w:rsid w:val="004B124A"/>
    <w:rsid w:val="004B3095"/>
    <w:rsid w:val="004D2749"/>
    <w:rsid w:val="004D2C7C"/>
    <w:rsid w:val="004E6638"/>
    <w:rsid w:val="005133B5"/>
    <w:rsid w:val="00524392"/>
    <w:rsid w:val="00532097"/>
    <w:rsid w:val="005825A0"/>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504C2"/>
    <w:rsid w:val="00866AE6"/>
    <w:rsid w:val="008750A8"/>
    <w:rsid w:val="008D3316"/>
    <w:rsid w:val="008E5A30"/>
    <w:rsid w:val="008E5AF2"/>
    <w:rsid w:val="008E6E82"/>
    <w:rsid w:val="008F733B"/>
    <w:rsid w:val="0090121B"/>
    <w:rsid w:val="009144C9"/>
    <w:rsid w:val="0094091F"/>
    <w:rsid w:val="00962171"/>
    <w:rsid w:val="00973754"/>
    <w:rsid w:val="009C0BED"/>
    <w:rsid w:val="009C1D28"/>
    <w:rsid w:val="009E11EC"/>
    <w:rsid w:val="00A021CC"/>
    <w:rsid w:val="00A03C80"/>
    <w:rsid w:val="00A118DB"/>
    <w:rsid w:val="00A4450C"/>
    <w:rsid w:val="00AA5E6C"/>
    <w:rsid w:val="00AC49B1"/>
    <w:rsid w:val="00AE5677"/>
    <w:rsid w:val="00AE658F"/>
    <w:rsid w:val="00AF2F78"/>
    <w:rsid w:val="00B239FA"/>
    <w:rsid w:val="00B372AB"/>
    <w:rsid w:val="00B47331"/>
    <w:rsid w:val="00B52D55"/>
    <w:rsid w:val="00B8288C"/>
    <w:rsid w:val="00B86034"/>
    <w:rsid w:val="00BE2E80"/>
    <w:rsid w:val="00BE5EDD"/>
    <w:rsid w:val="00BE6A1F"/>
    <w:rsid w:val="00C126C4"/>
    <w:rsid w:val="00C44E9E"/>
    <w:rsid w:val="00C63EB5"/>
    <w:rsid w:val="00C87DA7"/>
    <w:rsid w:val="00CA4945"/>
    <w:rsid w:val="00CC01E0"/>
    <w:rsid w:val="00CD5FEE"/>
    <w:rsid w:val="00CE60D2"/>
    <w:rsid w:val="00CE7431"/>
    <w:rsid w:val="00D00CA8"/>
    <w:rsid w:val="00D0288A"/>
    <w:rsid w:val="00D142F6"/>
    <w:rsid w:val="00D72A5D"/>
    <w:rsid w:val="00DA71A3"/>
    <w:rsid w:val="00DC1922"/>
    <w:rsid w:val="00DC629B"/>
    <w:rsid w:val="00DE1C31"/>
    <w:rsid w:val="00E05BFF"/>
    <w:rsid w:val="00E262F1"/>
    <w:rsid w:val="00E3176A"/>
    <w:rsid w:val="00E36CE4"/>
    <w:rsid w:val="00E54754"/>
    <w:rsid w:val="00E56BD3"/>
    <w:rsid w:val="00E71D14"/>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D0F44"/>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DD5F56"/>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R23-WRC23-C-0142!A27-A4!MSW-S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Props1.xml><?xml version="1.0" encoding="utf-8"?>
<ds:datastoreItem xmlns:ds="http://schemas.openxmlformats.org/officeDocument/2006/customXml" ds:itemID="{65C377FD-0F68-4CD3-A366-884F2273B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B6C43F-ADBD-42A5-B14D-F9249E2488E7}">
  <ds:schemaRefs>
    <ds:schemaRef ds:uri="http://schemas.openxmlformats.org/officeDocument/2006/bibliography"/>
  </ds:schemaRefs>
</ds:datastoreItem>
</file>

<file path=customXml/itemProps3.xml><?xml version="1.0" encoding="utf-8"?>
<ds:datastoreItem xmlns:ds="http://schemas.openxmlformats.org/officeDocument/2006/customXml" ds:itemID="{71260E45-29A7-4D61-8E93-21D8A2FCBC12}">
  <ds:schemaRefs>
    <ds:schemaRef ds:uri="http://schemas.microsoft.com/sharepoint/events"/>
  </ds:schemaRefs>
</ds:datastoreItem>
</file>

<file path=customXml/itemProps4.xml><?xml version="1.0" encoding="utf-8"?>
<ds:datastoreItem xmlns:ds="http://schemas.openxmlformats.org/officeDocument/2006/customXml" ds:itemID="{6C79F99B-DF0A-453A-AC60-693F2A6E47F4}">
  <ds:schemaRefs>
    <ds:schemaRef ds:uri="http://schemas.microsoft.com/sharepoint/v3/contenttype/forms"/>
  </ds:schemaRefs>
</ds:datastoreItem>
</file>

<file path=customXml/itemProps5.xml><?xml version="1.0" encoding="utf-8"?>
<ds:datastoreItem xmlns:ds="http://schemas.openxmlformats.org/officeDocument/2006/customXml" ds:itemID="{B03B48B0-3AE0-4663-9E02-200ADBD4DE96}">
  <ds:schemaRefs>
    <ds:schemaRef ds:uri="http://schemas.microsoft.com/office/2006/metadata/properties"/>
    <ds:schemaRef ds:uri="http://schemas.openxmlformats.org/package/2006/metadata/core-properties"/>
    <ds:schemaRef ds:uri="http://schemas.microsoft.com/office/2006/documentManagement/types"/>
    <ds:schemaRef ds:uri="http://purl.org/dc/terms/"/>
    <ds:schemaRef ds:uri="996b2e75-67fd-4955-a3b0-5ab9934cb50b"/>
    <ds:schemaRef ds:uri="http://schemas.microsoft.com/office/infopath/2007/PartnerControls"/>
    <ds:schemaRef ds:uri="http://purl.org/dc/dcmitype/"/>
    <ds:schemaRef ds:uri="32a1a8c5-2265-4ebc-b7a0-2071e2c5c9bb"/>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303</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R23-WRC23-C-0142!A27-A4!MSW-S</vt:lpstr>
    </vt:vector>
  </TitlesOfParts>
  <Manager>Secretaría General - Pool</Manager>
  <Company>Unión Internacional de Telecomunicaciones (UIT)</Company>
  <LinksUpToDate>false</LinksUpToDate>
  <CharactersWithSpaces>1870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R23-WRC23-C-0142!A27-A4!MSW-S</dc:title>
  <dc:subject>Conferencia Mundial de Radiocomunicaciones - 2019</dc:subject>
  <dc:creator>Documents Proposals Manager (DPM)</dc:creator>
  <cp:keywords>DPM_v2023.8.1.1_prod</cp:keywords>
  <dc:description/>
  <cp:lastModifiedBy>Spanish</cp:lastModifiedBy>
  <cp:revision>4</cp:revision>
  <cp:lastPrinted>2003-02-19T20:20:00Z</cp:lastPrinted>
  <dcterms:created xsi:type="dcterms:W3CDTF">2023-11-06T13:46:00Z</dcterms:created>
  <dcterms:modified xsi:type="dcterms:W3CDTF">2023-11-06T13:55:00Z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