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0D1EE4" w14:paraId="5CE10015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77BD4FF5" w14:textId="77777777" w:rsidR="00752552" w:rsidRPr="000D1EE4" w:rsidRDefault="00752552" w:rsidP="00AA62DB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727295F8" wp14:editId="30F03D49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34B15E38" w14:textId="77777777" w:rsidR="00752552" w:rsidRPr="000D1EE4" w:rsidRDefault="00752552" w:rsidP="00AA62DB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137859B2" w14:textId="77777777" w:rsidR="00752552" w:rsidRPr="000D1EE4" w:rsidRDefault="00752552" w:rsidP="00AA62DB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0B15C2DB" w14:textId="77777777" w:rsidR="00752552" w:rsidRPr="000D1EE4" w:rsidRDefault="00752552" w:rsidP="00AA62DB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B6BEC78" wp14:editId="465B6DFE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3C68A19D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3ECD0C22" w14:textId="77777777" w:rsidR="000D1EE4" w:rsidRPr="000D1EE4" w:rsidRDefault="000D1EE4" w:rsidP="00AA62DB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5B573A68" w14:textId="77777777" w:rsidR="000D1EE4" w:rsidRPr="000D1EE4" w:rsidRDefault="000D1EE4" w:rsidP="00AA62DB">
            <w:pPr>
              <w:rPr>
                <w:lang w:val="en-GB" w:bidi="ar-EG"/>
              </w:rPr>
            </w:pPr>
          </w:p>
        </w:tc>
      </w:tr>
      <w:tr w:rsidR="000D1EE4" w:rsidRPr="000D1EE4" w14:paraId="73D2C249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150CEB37" w14:textId="77777777" w:rsidR="000D1EE4" w:rsidRPr="000D1EE4" w:rsidRDefault="000D1EE4" w:rsidP="00AA62DB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2BA85507" w14:textId="77777777" w:rsidR="000D1EE4" w:rsidRPr="000D1EE4" w:rsidRDefault="000D1EE4" w:rsidP="00AA62DB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5296228B" w14:textId="77777777" w:rsidTr="00752552">
        <w:trPr>
          <w:cantSplit/>
        </w:trPr>
        <w:tc>
          <w:tcPr>
            <w:tcW w:w="6696" w:type="dxa"/>
            <w:gridSpan w:val="2"/>
          </w:tcPr>
          <w:p w14:paraId="77745511" w14:textId="77777777" w:rsidR="000D1EE4" w:rsidRPr="000D3BB5" w:rsidRDefault="00E50850" w:rsidP="00AA62DB">
            <w:pPr>
              <w:pStyle w:val="Committee"/>
              <w:bidi/>
              <w:rPr>
                <w:rStyle w:val="CommentReference"/>
                <w:rFonts w:ascii="Dubai" w:hAnsi="Dubai" w:cs="Dubai" w:hint="cs"/>
                <w:sz w:val="22"/>
                <w:szCs w:val="22"/>
                <w:rtl/>
                <w:lang w:val="en-US" w:bidi="ar-EG"/>
              </w:rPr>
            </w:pPr>
            <w:r w:rsidRPr="000D3BB5">
              <w:rPr>
                <w:rStyle w:val="CommentReference"/>
                <w:rFonts w:ascii="Dubai" w:hAnsi="Dubai" w:cs="Dubai"/>
                <w:sz w:val="22"/>
                <w:szCs w:val="22"/>
                <w:rtl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44F05267" w14:textId="77777777" w:rsidR="000D1EE4" w:rsidRPr="000D3BB5" w:rsidRDefault="00E50850" w:rsidP="00AA62DB">
            <w:pPr>
              <w:jc w:val="left"/>
              <w:rPr>
                <w:b/>
                <w:bCs/>
                <w:rtl/>
                <w:lang w:bidi="ar-EG"/>
              </w:rPr>
            </w:pPr>
            <w:r w:rsidRPr="000D3BB5">
              <w:rPr>
                <w:rFonts w:eastAsia="SimSun"/>
                <w:b/>
                <w:bCs/>
                <w:rtl/>
                <w:lang w:bidi="ar-EG"/>
              </w:rPr>
              <w:t>الإضافة 2</w:t>
            </w:r>
            <w:r w:rsidRPr="000D3BB5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0D3BB5">
              <w:rPr>
                <w:rFonts w:eastAsia="SimSun"/>
                <w:b/>
                <w:bCs/>
              </w:rPr>
              <w:t>142(Add.27)-A</w:t>
            </w:r>
          </w:p>
        </w:tc>
      </w:tr>
      <w:tr w:rsidR="000D1EE4" w:rsidRPr="000D1EE4" w14:paraId="4A5D1541" w14:textId="77777777" w:rsidTr="00752552">
        <w:trPr>
          <w:cantSplit/>
        </w:trPr>
        <w:tc>
          <w:tcPr>
            <w:tcW w:w="6696" w:type="dxa"/>
            <w:gridSpan w:val="2"/>
          </w:tcPr>
          <w:p w14:paraId="64B80244" w14:textId="77777777" w:rsidR="000D1EE4" w:rsidRPr="000D3BB5" w:rsidRDefault="000D1EE4" w:rsidP="00AA62DB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23BC765" w14:textId="77777777" w:rsidR="000D1EE4" w:rsidRPr="000D3BB5" w:rsidRDefault="00E50850" w:rsidP="00AA62DB">
            <w:pPr>
              <w:jc w:val="left"/>
              <w:rPr>
                <w:b/>
                <w:bCs/>
                <w:rtl/>
                <w:lang w:bidi="ar-EG"/>
              </w:rPr>
            </w:pPr>
            <w:r w:rsidRPr="000D3BB5">
              <w:rPr>
                <w:rFonts w:eastAsia="SimSun"/>
                <w:b/>
                <w:bCs/>
              </w:rPr>
              <w:t>29</w:t>
            </w:r>
            <w:r w:rsidRPr="000D3BB5">
              <w:rPr>
                <w:rFonts w:eastAsia="SimSun"/>
                <w:b/>
                <w:bCs/>
                <w:rtl/>
              </w:rPr>
              <w:t xml:space="preserve"> أكتوبر </w:t>
            </w:r>
            <w:r w:rsidRPr="000D3BB5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5D662192" w14:textId="77777777" w:rsidTr="00752552">
        <w:trPr>
          <w:cantSplit/>
        </w:trPr>
        <w:tc>
          <w:tcPr>
            <w:tcW w:w="6696" w:type="dxa"/>
            <w:gridSpan w:val="2"/>
          </w:tcPr>
          <w:p w14:paraId="700534DB" w14:textId="77777777" w:rsidR="000D1EE4" w:rsidRPr="000D3BB5" w:rsidRDefault="000D1EE4" w:rsidP="00AA62DB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2C9A907" w14:textId="77777777" w:rsidR="000D1EE4" w:rsidRPr="000D3BB5" w:rsidRDefault="00E50850" w:rsidP="00AA62DB">
            <w:pPr>
              <w:jc w:val="left"/>
              <w:rPr>
                <w:b/>
                <w:bCs/>
                <w:lang w:bidi="ar-EG"/>
              </w:rPr>
            </w:pPr>
            <w:r w:rsidRPr="000D3BB5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7B7047D3" w14:textId="77777777" w:rsidTr="00752552">
        <w:trPr>
          <w:cantSplit/>
        </w:trPr>
        <w:tc>
          <w:tcPr>
            <w:tcW w:w="9666" w:type="dxa"/>
            <w:gridSpan w:val="4"/>
          </w:tcPr>
          <w:p w14:paraId="3222C870" w14:textId="77777777" w:rsidR="000D1EE4" w:rsidRPr="000D1EE4" w:rsidRDefault="000D1EE4" w:rsidP="00AA62DB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3D6D7F4" w14:textId="77777777" w:rsidTr="00752552">
        <w:trPr>
          <w:cantSplit/>
        </w:trPr>
        <w:tc>
          <w:tcPr>
            <w:tcW w:w="9666" w:type="dxa"/>
            <w:gridSpan w:val="4"/>
          </w:tcPr>
          <w:p w14:paraId="1D80735F" w14:textId="77777777" w:rsidR="000D1EE4" w:rsidRPr="000D1EE4" w:rsidRDefault="000D1EE4" w:rsidP="00AA62DB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الولايات المتحدة الأمريكية</w:t>
            </w:r>
          </w:p>
        </w:tc>
      </w:tr>
      <w:tr w:rsidR="000D1EE4" w:rsidRPr="000D1EE4" w14:paraId="3F4C0269" w14:textId="77777777" w:rsidTr="00752552">
        <w:trPr>
          <w:cantSplit/>
        </w:trPr>
        <w:tc>
          <w:tcPr>
            <w:tcW w:w="9666" w:type="dxa"/>
            <w:gridSpan w:val="4"/>
          </w:tcPr>
          <w:p w14:paraId="4427A0AE" w14:textId="44551990" w:rsidR="000D1EE4" w:rsidRPr="000D1EE4" w:rsidRDefault="00C55DC8" w:rsidP="00AA62DB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00D1A89C" w14:textId="77777777" w:rsidTr="00752552">
        <w:trPr>
          <w:cantSplit/>
        </w:trPr>
        <w:tc>
          <w:tcPr>
            <w:tcW w:w="9666" w:type="dxa"/>
            <w:gridSpan w:val="4"/>
          </w:tcPr>
          <w:p w14:paraId="62054FC2" w14:textId="77777777" w:rsidR="000D1EE4" w:rsidRPr="000D1EE4" w:rsidRDefault="000D1EE4" w:rsidP="00AA62DB">
            <w:pPr>
              <w:pStyle w:val="Title2"/>
              <w:rPr>
                <w:rtl/>
              </w:rPr>
            </w:pPr>
          </w:p>
        </w:tc>
      </w:tr>
      <w:tr w:rsidR="00E50850" w:rsidRPr="000D1EE4" w14:paraId="1993BAEB" w14:textId="77777777" w:rsidTr="00752552">
        <w:trPr>
          <w:cantSplit/>
        </w:trPr>
        <w:tc>
          <w:tcPr>
            <w:tcW w:w="9666" w:type="dxa"/>
            <w:gridSpan w:val="4"/>
          </w:tcPr>
          <w:p w14:paraId="063E2811" w14:textId="1F8CD173" w:rsidR="00E50850" w:rsidRPr="000D1EE4" w:rsidRDefault="00E50850" w:rsidP="00AA62DB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C55DC8">
              <w:rPr>
                <w:rFonts w:hint="cs"/>
                <w:rtl/>
              </w:rPr>
              <w:t xml:space="preserve"> </w:t>
            </w:r>
            <w:r w:rsidR="00C55DC8">
              <w:rPr>
                <w:rtl/>
              </w:rPr>
              <w:t>10</w:t>
            </w:r>
          </w:p>
        </w:tc>
      </w:tr>
    </w:tbl>
    <w:p w14:paraId="537684D2" w14:textId="77777777" w:rsidR="004C1555" w:rsidRPr="00387E34" w:rsidRDefault="00EF333F" w:rsidP="00AA62DB">
      <w:pPr>
        <w:rPr>
          <w:rtl/>
        </w:rPr>
      </w:pPr>
      <w:r w:rsidRPr="00387E34">
        <w:rPr>
          <w:lang w:bidi="ar-EG"/>
        </w:rPr>
        <w:t>10</w:t>
      </w:r>
      <w:r w:rsidRPr="00387E34">
        <w:rPr>
          <w:rFonts w:hint="cs"/>
          <w:rtl/>
        </w:rPr>
        <w:tab/>
      </w:r>
      <w:r w:rsidRPr="00FE2CFF">
        <w:rPr>
          <w:rFonts w:hint="eastAsia"/>
          <w:rtl/>
        </w:rPr>
        <w:t>تقديم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توصيات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إلى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مجلس الاتحاد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بالبنود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التي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يلزم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إدراجها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في جدول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أعمال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المؤتمر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العالمي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التالي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للاتصالات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الراديوية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و</w:t>
      </w:r>
      <w:r w:rsidRPr="00FE2CFF">
        <w:rPr>
          <w:rFonts w:hint="cs"/>
          <w:rtl/>
        </w:rPr>
        <w:t>ب</w:t>
      </w:r>
      <w:r w:rsidRPr="00FE2CFF">
        <w:rPr>
          <w:rFonts w:hint="eastAsia"/>
          <w:rtl/>
        </w:rPr>
        <w:t>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جداول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الأعمال</w:t>
      </w:r>
      <w:r w:rsidRPr="00FE2CFF">
        <w:rPr>
          <w:rtl/>
        </w:rPr>
        <w:t xml:space="preserve"> الأولية للمؤتمرات </w:t>
      </w:r>
      <w:r w:rsidRPr="00FE2CFF">
        <w:rPr>
          <w:rFonts w:hint="cs"/>
          <w:rtl/>
        </w:rPr>
        <w:t>اللاحقة</w:t>
      </w:r>
      <w:r w:rsidRPr="00FE2CFF">
        <w:rPr>
          <w:rtl/>
        </w:rPr>
        <w:t xml:space="preserve">، وفقاً للمادة </w:t>
      </w:r>
      <w:r w:rsidRPr="00FE2CFF">
        <w:t>7</w:t>
      </w:r>
      <w:r w:rsidRPr="00FE2CFF">
        <w:rPr>
          <w:rtl/>
        </w:rPr>
        <w:t xml:space="preserve"> من </w:t>
      </w:r>
      <w:r w:rsidRPr="00FE2CFF">
        <w:rPr>
          <w:rFonts w:hint="cs"/>
          <w:rtl/>
        </w:rPr>
        <w:t>اتفاقية الاتحاد</w:t>
      </w:r>
      <w:r w:rsidRPr="00FE2CFF">
        <w:rPr>
          <w:rtl/>
        </w:rPr>
        <w:t xml:space="preserve"> والقرار </w:t>
      </w:r>
      <w:r w:rsidRPr="00FE2CFF">
        <w:rPr>
          <w:b/>
          <w:bCs/>
          <w:iCs/>
        </w:rPr>
        <w:t>(Rev.WRC-19)</w:t>
      </w:r>
      <w:r w:rsidRPr="00FE2CFF">
        <w:rPr>
          <w:b/>
          <w:bCs/>
          <w:iCs/>
          <w:rtl/>
        </w:rPr>
        <w:t xml:space="preserve"> </w:t>
      </w:r>
      <w:r w:rsidRPr="00FE2CFF">
        <w:rPr>
          <w:b/>
          <w:bCs/>
          <w:iCs/>
          <w:lang w:val="en-GB"/>
        </w:rPr>
        <w:t>804</w:t>
      </w:r>
      <w:r w:rsidRPr="00FE2CFF">
        <w:rPr>
          <w:rFonts w:hint="eastAsia"/>
          <w:rtl/>
        </w:rPr>
        <w:t>،</w:t>
      </w:r>
    </w:p>
    <w:p w14:paraId="04D256BF" w14:textId="59E6942C" w:rsidR="00417E14" w:rsidRDefault="00AA62DB" w:rsidP="00AA62DB">
      <w:pPr>
        <w:pStyle w:val="Headingb"/>
        <w:rPr>
          <w:rtl/>
        </w:rPr>
      </w:pPr>
      <w:r>
        <w:rPr>
          <w:rFonts w:hint="cs"/>
          <w:rtl/>
        </w:rPr>
        <w:t>خلفية</w:t>
      </w:r>
    </w:p>
    <w:p w14:paraId="663CD7D6" w14:textId="0348AE21" w:rsidR="00AB3519" w:rsidRDefault="00AB3519" w:rsidP="00AA62DB">
      <w:pPr>
        <w:rPr>
          <w:rtl/>
          <w:lang w:bidi="ar-LB"/>
        </w:rPr>
      </w:pPr>
      <w:r>
        <w:rPr>
          <w:rFonts w:hint="cs"/>
          <w:rtl/>
        </w:rPr>
        <w:t xml:space="preserve">كان الهدف من الدراسات المتوخاة في إطار البند </w:t>
      </w:r>
      <w:r>
        <w:t>3.2</w:t>
      </w:r>
      <w:r>
        <w:rPr>
          <w:rFonts w:hint="cs"/>
          <w:rtl/>
          <w:lang w:bidi="ar-LB"/>
        </w:rPr>
        <w:t xml:space="preserve"> من جدول أعمال المؤتمر </w:t>
      </w:r>
      <w:r>
        <w:rPr>
          <w:lang w:bidi="ar-LB"/>
        </w:rPr>
        <w:t>WRC-27</w:t>
      </w:r>
      <w:r>
        <w:rPr>
          <w:rFonts w:hint="cs"/>
          <w:rtl/>
          <w:lang w:bidi="ar-LB"/>
        </w:rPr>
        <w:t xml:space="preserve"> هو إجراء دراسات لتحديد الاحتياجات من الطيف، ومدى ملاءمة التوزيعات الأولية الجديدة للخدمة الثابتة الساتلية في نطاق التردد </w:t>
      </w:r>
      <w:r>
        <w:rPr>
          <w:lang w:bidi="ar-LB"/>
        </w:rPr>
        <w:t>GHz 45,5-43,5</w:t>
      </w:r>
      <w:r>
        <w:rPr>
          <w:rFonts w:hint="cs"/>
          <w:rtl/>
          <w:lang w:bidi="ar-LB"/>
        </w:rPr>
        <w:t xml:space="preserve">.  وبما أنه لم تجرِ حتى اليوم دراسات أولية في قطاع الاتصالات الأولية، فإن الولايات المتحدة تقترح الكفّ عن النظر في البند </w:t>
      </w:r>
      <w:r>
        <w:rPr>
          <w:lang w:bidi="ar-LB"/>
        </w:rPr>
        <w:t>3.2</w:t>
      </w:r>
      <w:r w:rsidR="005042CA">
        <w:rPr>
          <w:rFonts w:hint="cs"/>
          <w:rtl/>
          <w:lang w:bidi="ar-LB"/>
        </w:rPr>
        <w:t xml:space="preserve"> </w:t>
      </w:r>
      <w:r>
        <w:rPr>
          <w:rFonts w:hint="cs"/>
          <w:rtl/>
          <w:lang w:bidi="ar-LB"/>
        </w:rPr>
        <w:t xml:space="preserve">من جدول اعمال المؤتمر </w:t>
      </w:r>
      <w:r>
        <w:rPr>
          <w:lang w:bidi="ar-LB"/>
        </w:rPr>
        <w:t>WRC-27</w:t>
      </w:r>
      <w:r>
        <w:rPr>
          <w:rFonts w:hint="cs"/>
          <w:rtl/>
          <w:lang w:bidi="ar-LB"/>
        </w:rPr>
        <w:t xml:space="preserve">. </w:t>
      </w:r>
    </w:p>
    <w:p w14:paraId="59D1EB01" w14:textId="640DF90A" w:rsidR="00C45930" w:rsidRPr="007579F6" w:rsidRDefault="00AA62DB" w:rsidP="00AA62DB">
      <w:pPr>
        <w:pStyle w:val="Headingb"/>
      </w:pPr>
      <w:r>
        <w:rPr>
          <w:rFonts w:hint="cs"/>
          <w:rtl/>
        </w:rPr>
        <w:t>المقترح</w:t>
      </w:r>
    </w:p>
    <w:p w14:paraId="653175AE" w14:textId="77777777" w:rsidR="004C67F1" w:rsidRDefault="004C67F1" w:rsidP="00AA62DB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3FED56DA" w14:textId="77777777" w:rsidR="0011396D" w:rsidRDefault="00EF333F" w:rsidP="00AA62DB">
      <w:pPr>
        <w:pStyle w:val="Proposal"/>
      </w:pPr>
      <w:r>
        <w:lastRenderedPageBreak/>
        <w:t>SUP</w:t>
      </w:r>
      <w:r>
        <w:tab/>
        <w:t>USA/142A27A2/1</w:t>
      </w:r>
    </w:p>
    <w:p w14:paraId="0F29C715" w14:textId="77777777" w:rsidR="004C1555" w:rsidRPr="00FE2CFF" w:rsidRDefault="00EF333F" w:rsidP="00AA62DB">
      <w:pPr>
        <w:pStyle w:val="ResNo"/>
      </w:pPr>
      <w:bookmarkStart w:id="1" w:name="_Toc36038335"/>
      <w:bookmarkStart w:id="2" w:name="_Toc40075774"/>
      <w:r w:rsidRPr="00FE2CFF">
        <w:rPr>
          <w:rFonts w:hint="cs"/>
          <w:rtl/>
        </w:rPr>
        <w:t xml:space="preserve">القرار </w:t>
      </w:r>
      <w:r w:rsidRPr="00FE2CFF">
        <w:rPr>
          <w:rStyle w:val="href"/>
        </w:rPr>
        <w:t>17</w:t>
      </w:r>
      <w:r>
        <w:rPr>
          <w:rStyle w:val="href"/>
        </w:rPr>
        <w:t>7</w:t>
      </w:r>
      <w:r w:rsidRPr="00FE2CFF">
        <w:rPr>
          <w:lang w:val="en-GB"/>
        </w:rPr>
        <w:t xml:space="preserve"> (WRC-19)</w:t>
      </w:r>
      <w:bookmarkEnd w:id="1"/>
      <w:bookmarkEnd w:id="2"/>
    </w:p>
    <w:p w14:paraId="50C73AF5" w14:textId="77777777" w:rsidR="004C1555" w:rsidRPr="00FE2CFF" w:rsidRDefault="00EF333F" w:rsidP="00AA62DB">
      <w:pPr>
        <w:pStyle w:val="Restitle"/>
        <w:rPr>
          <w:b w:val="0"/>
          <w:bCs w:val="0"/>
          <w:rtl/>
        </w:rPr>
      </w:pPr>
      <w:bookmarkStart w:id="3" w:name="_Toc36038336"/>
      <w:bookmarkStart w:id="4" w:name="_Toc40075775"/>
      <w:r w:rsidRPr="00FE2CFF">
        <w:rPr>
          <w:rtl/>
        </w:rPr>
        <w:t xml:space="preserve">دراسات متعلقة </w:t>
      </w:r>
      <w:r w:rsidRPr="00FE2CFF">
        <w:rPr>
          <w:rFonts w:hint="eastAsia"/>
          <w:rtl/>
        </w:rPr>
        <w:t>بالاحتياجات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من</w:t>
      </w:r>
      <w:r w:rsidRPr="00FE2CFF">
        <w:rPr>
          <w:rtl/>
        </w:rPr>
        <w:t xml:space="preserve"> الطيف</w:t>
      </w:r>
      <w:r w:rsidRPr="00FE2CFF">
        <w:rPr>
          <w:rtl/>
        </w:rPr>
        <w:br/>
        <w:t>و</w:t>
      </w:r>
      <w:r w:rsidRPr="00FE2CFF">
        <w:rPr>
          <w:rFonts w:hint="eastAsia"/>
          <w:rtl/>
        </w:rPr>
        <w:t>إمكانية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توزيع</w:t>
      </w:r>
      <w:r w:rsidRPr="00FE2CFF">
        <w:rPr>
          <w:rFonts w:hint="cs"/>
          <w:rtl/>
        </w:rPr>
        <w:t xml:space="preserve"> </w:t>
      </w:r>
      <w:r w:rsidRPr="00FE2CFF">
        <w:rPr>
          <w:rtl/>
        </w:rPr>
        <w:t xml:space="preserve">نطاق التردد </w:t>
      </w:r>
      <w:r w:rsidRPr="00FE2CFF">
        <w:t>GHz 45,5</w:t>
      </w:r>
      <w:r w:rsidRPr="00FE2CFF">
        <w:noBreakHyphen/>
        <w:t>43,5</w:t>
      </w:r>
      <w:r w:rsidRPr="00FE2CFF">
        <w:rPr>
          <w:rtl/>
        </w:rPr>
        <w:t xml:space="preserve"> للخدمة الثابتة الساتلية</w:t>
      </w:r>
      <w:bookmarkEnd w:id="3"/>
      <w:bookmarkEnd w:id="4"/>
    </w:p>
    <w:p w14:paraId="20D33787" w14:textId="2842AA51" w:rsidR="00AB3519" w:rsidRPr="00AB3519" w:rsidRDefault="00EF333F" w:rsidP="00AA62DB">
      <w:pPr>
        <w:pStyle w:val="Reasons"/>
        <w:rPr>
          <w:b w:val="0"/>
          <w:bCs w:val="0"/>
          <w:rtl/>
          <w:lang w:bidi="ar-LB"/>
        </w:rPr>
      </w:pPr>
      <w:r>
        <w:rPr>
          <w:rtl/>
        </w:rPr>
        <w:t>الأسباب:</w:t>
      </w:r>
      <w:r>
        <w:tab/>
      </w:r>
      <w:r w:rsidR="00AB3519">
        <w:rPr>
          <w:rFonts w:hint="cs"/>
          <w:b w:val="0"/>
          <w:bCs w:val="0"/>
          <w:rtl/>
          <w:lang w:bidi="ar-LB"/>
        </w:rPr>
        <w:t>نتيجة</w:t>
      </w:r>
      <w:r w:rsidR="005042CA">
        <w:rPr>
          <w:rFonts w:hint="cs"/>
          <w:b w:val="0"/>
          <w:bCs w:val="0"/>
          <w:rtl/>
          <w:lang w:bidi="ar-LB"/>
        </w:rPr>
        <w:t>ً</w:t>
      </w:r>
      <w:r w:rsidR="00AB3519">
        <w:rPr>
          <w:rFonts w:hint="cs"/>
          <w:b w:val="0"/>
          <w:bCs w:val="0"/>
          <w:rtl/>
          <w:lang w:bidi="ar-LB"/>
        </w:rPr>
        <w:t xml:space="preserve"> لعدم إدراج الفقرة </w:t>
      </w:r>
      <w:r w:rsidR="00AB3519">
        <w:rPr>
          <w:b w:val="0"/>
          <w:bCs w:val="0"/>
          <w:lang w:bidi="ar-LB"/>
        </w:rPr>
        <w:t>3.2</w:t>
      </w:r>
      <w:r w:rsidR="00AB3519">
        <w:rPr>
          <w:rFonts w:hint="cs"/>
          <w:b w:val="0"/>
          <w:bCs w:val="0"/>
          <w:rtl/>
          <w:lang w:bidi="ar-LB"/>
        </w:rPr>
        <w:t xml:space="preserve"> من "</w:t>
      </w:r>
      <w:r w:rsidR="00AB3519" w:rsidRPr="005042CA">
        <w:rPr>
          <w:rFonts w:hint="cs"/>
          <w:b w:val="0"/>
          <w:bCs w:val="0"/>
          <w:i/>
          <w:iCs/>
          <w:rtl/>
          <w:lang w:bidi="ar-LB"/>
        </w:rPr>
        <w:t>يقرر</w:t>
      </w:r>
      <w:r w:rsidR="00AB3519">
        <w:rPr>
          <w:rFonts w:hint="cs"/>
          <w:b w:val="0"/>
          <w:bCs w:val="0"/>
          <w:rtl/>
          <w:lang w:bidi="ar-LB"/>
        </w:rPr>
        <w:t xml:space="preserve">" من جدول الأعمال التمهيدي للمؤتمر </w:t>
      </w:r>
      <w:r w:rsidR="00AB3519">
        <w:rPr>
          <w:b w:val="0"/>
          <w:bCs w:val="0"/>
          <w:lang w:bidi="ar-LB"/>
        </w:rPr>
        <w:t>WRC-27</w:t>
      </w:r>
      <w:r w:rsidR="004C1555">
        <w:rPr>
          <w:rFonts w:hint="cs"/>
          <w:b w:val="0"/>
          <w:bCs w:val="0"/>
          <w:rtl/>
          <w:lang w:bidi="ar-LB"/>
        </w:rPr>
        <w:t xml:space="preserve"> في جدول اعمال المؤتمر </w:t>
      </w:r>
      <w:r w:rsidR="004C1555">
        <w:rPr>
          <w:b w:val="0"/>
          <w:bCs w:val="0"/>
          <w:lang w:bidi="ar-LB"/>
        </w:rPr>
        <w:t>WRC-27</w:t>
      </w:r>
      <w:r w:rsidR="004C1555">
        <w:rPr>
          <w:rFonts w:hint="cs"/>
          <w:b w:val="0"/>
          <w:bCs w:val="0"/>
          <w:rtl/>
          <w:lang w:bidi="ar-LB"/>
        </w:rPr>
        <w:t xml:space="preserve"> الذي اعتمده المؤتمر </w:t>
      </w:r>
      <w:r w:rsidR="004C1555">
        <w:rPr>
          <w:b w:val="0"/>
          <w:bCs w:val="0"/>
          <w:lang w:bidi="ar-LB"/>
        </w:rPr>
        <w:t>WRC-23</w:t>
      </w:r>
      <w:r w:rsidR="004C1555">
        <w:rPr>
          <w:rFonts w:hint="cs"/>
          <w:b w:val="0"/>
          <w:bCs w:val="0"/>
          <w:rtl/>
          <w:lang w:bidi="ar-LB"/>
        </w:rPr>
        <w:t>.</w:t>
      </w:r>
    </w:p>
    <w:p w14:paraId="20E0FDBA" w14:textId="08C27D04" w:rsidR="0011396D" w:rsidRPr="005042CA" w:rsidRDefault="005042CA" w:rsidP="005042CA">
      <w:pPr>
        <w:spacing w:before="600"/>
        <w:jc w:val="center"/>
        <w:rPr>
          <w:rFonts w:ascii="Traditional Arabic" w:hAnsi="Traditional Arabic" w:cs="Traditional Arabic"/>
          <w:sz w:val="30"/>
          <w:szCs w:val="30"/>
        </w:rPr>
      </w:pPr>
      <w:r w:rsidRPr="005042CA">
        <w:rPr>
          <w:rFonts w:ascii="Traditional Arabic" w:hAnsi="Traditional Arabic" w:cs="Traditional Arabic"/>
          <w:sz w:val="30"/>
          <w:szCs w:val="30"/>
          <w:rtl/>
        </w:rPr>
        <w:t>_________</w:t>
      </w:r>
    </w:p>
    <w:sectPr w:rsidR="0011396D" w:rsidRPr="005042CA">
      <w:headerReference w:type="even" r:id="rId15"/>
      <w:footerReference w:type="even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4DF88" w14:textId="77777777" w:rsidR="001A6F04" w:rsidRDefault="001A6F04" w:rsidP="002919E1">
      <w:r>
        <w:separator/>
      </w:r>
    </w:p>
    <w:p w14:paraId="1F903CF9" w14:textId="77777777" w:rsidR="001A6F04" w:rsidRDefault="001A6F04" w:rsidP="002919E1"/>
    <w:p w14:paraId="7B7FEAC1" w14:textId="77777777" w:rsidR="001A6F04" w:rsidRDefault="001A6F04" w:rsidP="002919E1"/>
    <w:p w14:paraId="755DE732" w14:textId="77777777" w:rsidR="001A6F04" w:rsidRDefault="001A6F04"/>
    <w:p w14:paraId="2E7B5763" w14:textId="77777777" w:rsidR="001A6F04" w:rsidRDefault="001A6F04"/>
  </w:endnote>
  <w:endnote w:type="continuationSeparator" w:id="0">
    <w:p w14:paraId="02A647CB" w14:textId="77777777" w:rsidR="001A6F04" w:rsidRDefault="001A6F04" w:rsidP="002919E1">
      <w:r>
        <w:continuationSeparator/>
      </w:r>
    </w:p>
    <w:p w14:paraId="401CF3AA" w14:textId="77777777" w:rsidR="001A6F04" w:rsidRDefault="001A6F04" w:rsidP="002919E1"/>
    <w:p w14:paraId="31BC8E16" w14:textId="77777777" w:rsidR="001A6F04" w:rsidRDefault="001A6F04" w:rsidP="002919E1"/>
    <w:p w14:paraId="29A3BDDB" w14:textId="77777777" w:rsidR="001A6F04" w:rsidRDefault="001A6F04"/>
    <w:p w14:paraId="09B74890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B438" w14:textId="1F9A383D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0D3BB5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042CA">
      <w:rPr>
        <w:noProof/>
        <w:sz w:val="16"/>
        <w:szCs w:val="16"/>
        <w:lang w:val="en-GB"/>
      </w:rPr>
      <w:t>P:\ARA\ITU-R\CONF-R\CMR23\100\142ADD27ADD02A.docx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0D3BB5">
      <w:rPr>
        <w:sz w:val="16"/>
        <w:szCs w:val="16"/>
        <w:lang w:val="en-GB"/>
      </w:rPr>
      <w:t xml:space="preserve"> (</w:t>
    </w:r>
    <w:proofErr w:type="gramEnd"/>
    <w:r w:rsidR="00C55DC8" w:rsidRPr="000D3BB5">
      <w:rPr>
        <w:sz w:val="16"/>
        <w:szCs w:val="16"/>
        <w:lang w:val="en-GB"/>
      </w:rPr>
      <w:t>530370</w:t>
    </w:r>
    <w:r w:rsidRPr="000D3BB5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D3BC" w14:textId="22D5C2F9" w:rsidR="00C55DC8" w:rsidRDefault="00C55DC8" w:rsidP="00C55DC8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0D3BB5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042CA">
      <w:rPr>
        <w:noProof/>
        <w:sz w:val="16"/>
        <w:szCs w:val="16"/>
        <w:lang w:val="en-GB"/>
      </w:rPr>
      <w:t>P:\ARA\ITU-R\CONF-R\CMR23\100\142ADD27ADD02A.docx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0D3BB5">
      <w:rPr>
        <w:sz w:val="16"/>
        <w:szCs w:val="16"/>
        <w:lang w:val="en-GB"/>
      </w:rPr>
      <w:t xml:space="preserve"> (</w:t>
    </w:r>
    <w:proofErr w:type="gramEnd"/>
    <w:r w:rsidRPr="000D3BB5">
      <w:rPr>
        <w:sz w:val="16"/>
        <w:szCs w:val="16"/>
        <w:lang w:val="en-GB"/>
      </w:rPr>
      <w:t>530370)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7E2B" w14:textId="77777777" w:rsidR="001A6F04" w:rsidRDefault="001A6F04" w:rsidP="00C45930">
      <w:r>
        <w:separator/>
      </w:r>
    </w:p>
  </w:footnote>
  <w:footnote w:type="continuationSeparator" w:id="0">
    <w:p w14:paraId="3A129ADC" w14:textId="77777777" w:rsidR="001A6F04" w:rsidRDefault="001A6F04" w:rsidP="002919E1">
      <w:r>
        <w:continuationSeparator/>
      </w:r>
    </w:p>
    <w:p w14:paraId="76CBC5C8" w14:textId="77777777" w:rsidR="001A6F04" w:rsidRDefault="001A6F04" w:rsidP="002919E1"/>
    <w:p w14:paraId="026F7E06" w14:textId="77777777" w:rsidR="001A6F04" w:rsidRDefault="001A6F04" w:rsidP="002919E1"/>
    <w:p w14:paraId="0A42631B" w14:textId="77777777" w:rsidR="001A6F04" w:rsidRDefault="001A6F04"/>
    <w:p w14:paraId="2FE0BBC2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118F" w14:textId="494FBE94" w:rsidR="00D63A6F" w:rsidRPr="00C55DC8" w:rsidRDefault="005E5F16" w:rsidP="00C55DC8">
    <w:pPr>
      <w:bidi w:val="0"/>
      <w:spacing w:after="360" w:line="240" w:lineRule="auto"/>
      <w:jc w:val="center"/>
    </w:pPr>
    <w:r w:rsidRPr="00C55DC8">
      <w:rPr>
        <w:rStyle w:val="PageNumber"/>
        <w:rFonts w:ascii="Dubai" w:hAnsi="Dubai" w:cs="Dubai"/>
      </w:rPr>
      <w:fldChar w:fldCharType="begin"/>
    </w:r>
    <w:r w:rsidRPr="00C55DC8">
      <w:rPr>
        <w:rStyle w:val="PageNumber"/>
        <w:rFonts w:ascii="Dubai" w:hAnsi="Dubai" w:cs="Dubai"/>
      </w:rPr>
      <w:instrText xml:space="preserve"> PAGE </w:instrText>
    </w:r>
    <w:r w:rsidRPr="00C55DC8">
      <w:rPr>
        <w:rStyle w:val="PageNumber"/>
        <w:rFonts w:ascii="Dubai" w:hAnsi="Dubai" w:cs="Dubai"/>
      </w:rPr>
      <w:fldChar w:fldCharType="separate"/>
    </w:r>
    <w:r w:rsidRPr="00C55DC8">
      <w:rPr>
        <w:rStyle w:val="PageNumber"/>
        <w:rFonts w:ascii="Dubai" w:hAnsi="Dubai" w:cs="Dubai"/>
      </w:rPr>
      <w:t>2</w:t>
    </w:r>
    <w:r w:rsidRPr="00C55DC8">
      <w:rPr>
        <w:rStyle w:val="PageNumber"/>
        <w:rFonts w:ascii="Dubai" w:hAnsi="Dubai" w:cs="Dubai"/>
      </w:rPr>
      <w:fldChar w:fldCharType="end"/>
    </w:r>
    <w:r w:rsidRPr="00C55DC8">
      <w:rPr>
        <w:rStyle w:val="PageNumber"/>
        <w:rFonts w:ascii="Dubai" w:hAnsi="Dubai" w:cs="Dubai"/>
        <w:rtl/>
      </w:rPr>
      <w:br/>
    </w:r>
    <w:r w:rsidR="004F5F29" w:rsidRPr="00C55DC8">
      <w:rPr>
        <w:rStyle w:val="PageNumber"/>
        <w:rFonts w:ascii="Dubai" w:hAnsi="Dubai" w:cs="Dubai"/>
      </w:rPr>
      <w:t>WRC</w:t>
    </w:r>
    <w:r w:rsidRPr="00C55DC8">
      <w:rPr>
        <w:rStyle w:val="PageNumber"/>
        <w:rFonts w:ascii="Dubai" w:hAnsi="Dubai" w:cs="Dubai"/>
      </w:rPr>
      <w:t>23/142(Add.27)(Add.2)-A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28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3EF1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AE6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2C4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80450832">
    <w:abstractNumId w:val="9"/>
  </w:num>
  <w:num w:numId="2" w16cid:durableId="270281851">
    <w:abstractNumId w:val="13"/>
  </w:num>
  <w:num w:numId="3" w16cid:durableId="1766457710">
    <w:abstractNumId w:val="11"/>
  </w:num>
  <w:num w:numId="4" w16cid:durableId="778911835">
    <w:abstractNumId w:val="14"/>
  </w:num>
  <w:num w:numId="5" w16cid:durableId="925843234">
    <w:abstractNumId w:val="7"/>
  </w:num>
  <w:num w:numId="6" w16cid:durableId="1872960989">
    <w:abstractNumId w:val="6"/>
  </w:num>
  <w:num w:numId="7" w16cid:durableId="942877304">
    <w:abstractNumId w:val="5"/>
  </w:num>
  <w:num w:numId="8" w16cid:durableId="570892483">
    <w:abstractNumId w:val="4"/>
  </w:num>
  <w:num w:numId="9" w16cid:durableId="1510674536">
    <w:abstractNumId w:val="8"/>
  </w:num>
  <w:num w:numId="10" w16cid:durableId="192808787">
    <w:abstractNumId w:val="3"/>
  </w:num>
  <w:num w:numId="11" w16cid:durableId="1597597716">
    <w:abstractNumId w:val="2"/>
  </w:num>
  <w:num w:numId="12" w16cid:durableId="2136870946">
    <w:abstractNumId w:val="1"/>
  </w:num>
  <w:num w:numId="13" w16cid:durableId="2009868264">
    <w:abstractNumId w:val="0"/>
  </w:num>
  <w:num w:numId="14" w16cid:durableId="1635017514">
    <w:abstractNumId w:val="10"/>
  </w:num>
  <w:num w:numId="15" w16cid:durableId="1980183301">
    <w:abstractNumId w:val="15"/>
  </w:num>
  <w:num w:numId="16" w16cid:durableId="743455055">
    <w:abstractNumId w:val="12"/>
  </w:num>
  <w:num w:numId="17" w16cid:durableId="1861313049">
    <w:abstractNumId w:val="6"/>
  </w:num>
  <w:num w:numId="18" w16cid:durableId="632830642">
    <w:abstractNumId w:val="5"/>
  </w:num>
  <w:num w:numId="19" w16cid:durableId="1313214058">
    <w:abstractNumId w:val="3"/>
  </w:num>
  <w:num w:numId="20" w16cid:durableId="1705013823">
    <w:abstractNumId w:val="2"/>
  </w:num>
  <w:num w:numId="21" w16cid:durableId="1740907286">
    <w:abstractNumId w:val="6"/>
  </w:num>
  <w:num w:numId="22" w16cid:durableId="1714621611">
    <w:abstractNumId w:val="5"/>
  </w:num>
  <w:num w:numId="23" w16cid:durableId="1018967444">
    <w:abstractNumId w:val="3"/>
  </w:num>
  <w:num w:numId="24" w16cid:durableId="778450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3BB5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396D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1555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42CA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3B44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A62DB"/>
    <w:rsid w:val="00AB2A33"/>
    <w:rsid w:val="00AB3519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B3DA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5DC8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33F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F8E771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65e1635-a1dd-47d3-aff6-33fa58a1c318">DPM</DPM_x0020_Author>
    <DPM_x0020_File_x0020_name xmlns="865e1635-a1dd-47d3-aff6-33fa58a1c318">R23-WRC23-C-0142!A27-A2!MSW-A</DPM_x0020_File_x0020_name>
    <DPM_x0020_Version xmlns="865e1635-a1dd-47d3-aff6-33fa58a1c318">DPM_2022.05.12.01</DPM_x0020_Version>
  </documentManagement>
</p: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65e1635-a1dd-47d3-aff6-33fa58a1c318" targetNamespace="http://schemas.microsoft.com/office/2006/metadata/properties" ma:root="true" ma:fieldsID="d41af5c836d734370eb92e7ee5f83852" ns2:_="" ns3:_="">
    <xsd:import namespace="996b2e75-67fd-4955-a3b0-5ab9934cb50b"/>
    <xsd:import namespace="865e1635-a1dd-47d3-aff6-33fa58a1c31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e1635-a1dd-47d3-aff6-33fa58a1c31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e1635-a1dd-47d3-aff6-33fa58a1c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65e1635-a1dd-47d3-aff6-33fa58a1c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R23-WRC23-C-0142!A27-A2!MSW-A</vt:lpstr>
    </vt:vector>
  </TitlesOfParts>
  <Manager>General Secretariat - Pool</Manager>
  <Company>International Telecommunication Union (ITU)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R23-WRC23-C-0142!A27-A2!MSW-A</dc:title>
  <dc:creator>Documents Proposals Manager (DPM)</dc:creator>
  <cp:keywords>DPM_v2023.11.6.1_prod</cp:keywords>
  <cp:lastModifiedBy>Arabic-IR</cp:lastModifiedBy>
  <cp:revision>3</cp:revision>
  <cp:lastPrinted>2020-08-11T14:28:00Z</cp:lastPrinted>
  <dcterms:created xsi:type="dcterms:W3CDTF">2023-11-18T17:10:00Z</dcterms:created>
  <dcterms:modified xsi:type="dcterms:W3CDTF">2023-11-18T17:12:00Z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