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D2213B" w14:paraId="2FA1E2A3" w14:textId="77777777" w:rsidTr="00C1305F">
        <w:trPr>
          <w:cantSplit/>
        </w:trPr>
        <w:tc>
          <w:tcPr>
            <w:tcW w:w="1418" w:type="dxa"/>
            <w:vAlign w:val="center"/>
          </w:tcPr>
          <w:p w14:paraId="09188C67" w14:textId="77777777" w:rsidR="00C1305F" w:rsidRPr="00D2213B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D2213B">
              <w:rPr>
                <w:noProof/>
                <w:lang w:eastAsia="fr-CH"/>
              </w:rPr>
              <w:drawing>
                <wp:inline distT="0" distB="0" distL="0" distR="0" wp14:anchorId="46C87B03" wp14:editId="1423F14B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DCEEF2A" w14:textId="3D604E68" w:rsidR="00C1305F" w:rsidRPr="00D2213B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D2213B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D2213B">
              <w:rPr>
                <w:rFonts w:ascii="Verdana" w:hAnsi="Verdana"/>
                <w:b/>
                <w:bCs/>
                <w:sz w:val="20"/>
              </w:rPr>
              <w:br/>
            </w:r>
            <w:r w:rsidRPr="00D2213B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602AA3" w:rsidRPr="00D2213B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D2213B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56B9C405" w14:textId="77777777" w:rsidR="00C1305F" w:rsidRPr="00D2213B" w:rsidRDefault="00C1305F" w:rsidP="00C1305F">
            <w:pPr>
              <w:spacing w:before="0" w:line="240" w:lineRule="atLeast"/>
            </w:pPr>
            <w:bookmarkStart w:id="0" w:name="ditulogo"/>
            <w:bookmarkEnd w:id="0"/>
            <w:r w:rsidRPr="00D2213B">
              <w:rPr>
                <w:noProof/>
                <w:lang w:eastAsia="fr-CH"/>
              </w:rPr>
              <w:drawing>
                <wp:inline distT="0" distB="0" distL="0" distR="0" wp14:anchorId="41EC7D7F" wp14:editId="28975445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D2213B" w14:paraId="29F138BC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080537D" w14:textId="77777777" w:rsidR="00BB1D82" w:rsidRPr="00D2213B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60FDF2B" w14:textId="77777777" w:rsidR="00BB1D82" w:rsidRPr="00D2213B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D2213B" w14:paraId="23FF191B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61A3C0C" w14:textId="77777777" w:rsidR="00BB1D82" w:rsidRPr="00D2213B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77E513B" w14:textId="77777777" w:rsidR="00BB1D82" w:rsidRPr="00D2213B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D2213B" w14:paraId="31EFE4FA" w14:textId="77777777" w:rsidTr="00BB1D82">
        <w:trPr>
          <w:cantSplit/>
        </w:trPr>
        <w:tc>
          <w:tcPr>
            <w:tcW w:w="6911" w:type="dxa"/>
            <w:gridSpan w:val="2"/>
          </w:tcPr>
          <w:p w14:paraId="0C72DE07" w14:textId="77777777" w:rsidR="00BB1D82" w:rsidRPr="00D2213B" w:rsidRDefault="006D4724" w:rsidP="00BA5BD0">
            <w:pPr>
              <w:spacing w:before="0"/>
              <w:rPr>
                <w:rFonts w:ascii="Verdana" w:hAnsi="Verdana"/>
                <w:b/>
                <w:sz w:val="20"/>
                <w:highlight w:val="yellow"/>
              </w:rPr>
            </w:pPr>
            <w:r w:rsidRPr="00D2213B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2DBC7561" w14:textId="77777777" w:rsidR="00BB1D82" w:rsidRPr="00D2213B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D2213B">
              <w:rPr>
                <w:rFonts w:ascii="Verdana" w:hAnsi="Verdana"/>
                <w:b/>
                <w:sz w:val="20"/>
              </w:rPr>
              <w:t>Addendum 21 au</w:t>
            </w:r>
            <w:r w:rsidRPr="00D2213B">
              <w:rPr>
                <w:rFonts w:ascii="Verdana" w:hAnsi="Verdana"/>
                <w:b/>
                <w:sz w:val="20"/>
              </w:rPr>
              <w:br/>
              <w:t>Document 142</w:t>
            </w:r>
            <w:r w:rsidR="00BB1D82" w:rsidRPr="00D2213B">
              <w:rPr>
                <w:rFonts w:ascii="Verdana" w:hAnsi="Verdana"/>
                <w:b/>
                <w:sz w:val="20"/>
              </w:rPr>
              <w:t>-</w:t>
            </w:r>
            <w:r w:rsidRPr="00D2213B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D2213B" w14:paraId="4E1C126C" w14:textId="77777777" w:rsidTr="00BB1D82">
        <w:trPr>
          <w:cantSplit/>
        </w:trPr>
        <w:tc>
          <w:tcPr>
            <w:tcW w:w="6911" w:type="dxa"/>
            <w:gridSpan w:val="2"/>
          </w:tcPr>
          <w:p w14:paraId="5B302362" w14:textId="77777777" w:rsidR="00690C7B" w:rsidRPr="00D2213B" w:rsidRDefault="00690C7B" w:rsidP="00BA5BD0">
            <w:pPr>
              <w:spacing w:before="0"/>
              <w:rPr>
                <w:rFonts w:ascii="Verdana" w:hAnsi="Verdana"/>
                <w:b/>
                <w:sz w:val="20"/>
                <w:highlight w:val="yellow"/>
              </w:rPr>
            </w:pPr>
          </w:p>
        </w:tc>
        <w:tc>
          <w:tcPr>
            <w:tcW w:w="3120" w:type="dxa"/>
            <w:gridSpan w:val="2"/>
          </w:tcPr>
          <w:p w14:paraId="60CA5B43" w14:textId="77777777" w:rsidR="00690C7B" w:rsidRPr="00D2213B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2213B">
              <w:rPr>
                <w:rFonts w:ascii="Verdana" w:hAnsi="Verdana"/>
                <w:b/>
                <w:sz w:val="20"/>
              </w:rPr>
              <w:t>29 octobre 2023</w:t>
            </w:r>
          </w:p>
        </w:tc>
      </w:tr>
      <w:tr w:rsidR="00690C7B" w:rsidRPr="00D2213B" w14:paraId="28ED900E" w14:textId="77777777" w:rsidTr="00BB1D82">
        <w:trPr>
          <w:cantSplit/>
        </w:trPr>
        <w:tc>
          <w:tcPr>
            <w:tcW w:w="6911" w:type="dxa"/>
            <w:gridSpan w:val="2"/>
          </w:tcPr>
          <w:p w14:paraId="25FBA775" w14:textId="77777777" w:rsidR="00690C7B" w:rsidRPr="00D2213B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highlight w:val="yellow"/>
              </w:rPr>
            </w:pPr>
          </w:p>
        </w:tc>
        <w:tc>
          <w:tcPr>
            <w:tcW w:w="3120" w:type="dxa"/>
            <w:gridSpan w:val="2"/>
          </w:tcPr>
          <w:p w14:paraId="4253EE66" w14:textId="77777777" w:rsidR="00690C7B" w:rsidRPr="00D2213B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2213B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D2213B" w14:paraId="19A8DA94" w14:textId="77777777" w:rsidTr="00C11970">
        <w:trPr>
          <w:cantSplit/>
        </w:trPr>
        <w:tc>
          <w:tcPr>
            <w:tcW w:w="10031" w:type="dxa"/>
            <w:gridSpan w:val="4"/>
          </w:tcPr>
          <w:p w14:paraId="3CBC2A20" w14:textId="77777777" w:rsidR="00690C7B" w:rsidRPr="00D2213B" w:rsidRDefault="00690C7B" w:rsidP="00BA5BD0">
            <w:pPr>
              <w:spacing w:before="0"/>
              <w:rPr>
                <w:rFonts w:ascii="Verdana" w:hAnsi="Verdana"/>
                <w:b/>
                <w:sz w:val="20"/>
                <w:highlight w:val="yellow"/>
              </w:rPr>
            </w:pPr>
          </w:p>
        </w:tc>
      </w:tr>
      <w:tr w:rsidR="00690C7B" w:rsidRPr="00D2213B" w14:paraId="1BCEFF1E" w14:textId="77777777" w:rsidTr="0050008E">
        <w:trPr>
          <w:cantSplit/>
        </w:trPr>
        <w:tc>
          <w:tcPr>
            <w:tcW w:w="10031" w:type="dxa"/>
            <w:gridSpan w:val="4"/>
          </w:tcPr>
          <w:p w14:paraId="7DD62825" w14:textId="7802F644" w:rsidR="00690C7B" w:rsidRPr="00D2213B" w:rsidRDefault="000B7FE5" w:rsidP="00690C7B">
            <w:pPr>
              <w:pStyle w:val="Source"/>
            </w:pPr>
            <w:bookmarkStart w:id="2" w:name="dsource" w:colFirst="0" w:colLast="0"/>
            <w:r w:rsidRPr="00D2213B">
              <w:t>É</w:t>
            </w:r>
            <w:r w:rsidR="00690C7B" w:rsidRPr="00D2213B">
              <w:t>tats-Unis d'Amérique</w:t>
            </w:r>
          </w:p>
        </w:tc>
      </w:tr>
      <w:tr w:rsidR="00690C7B" w:rsidRPr="00D2213B" w14:paraId="66AC5440" w14:textId="77777777" w:rsidTr="0050008E">
        <w:trPr>
          <w:cantSplit/>
        </w:trPr>
        <w:tc>
          <w:tcPr>
            <w:tcW w:w="10031" w:type="dxa"/>
            <w:gridSpan w:val="4"/>
          </w:tcPr>
          <w:p w14:paraId="6F1DD61F" w14:textId="0D439F6F" w:rsidR="00690C7B" w:rsidRPr="00D2213B" w:rsidRDefault="00602AA3" w:rsidP="00690C7B">
            <w:pPr>
              <w:pStyle w:val="Title1"/>
              <w:rPr>
                <w:highlight w:val="yellow"/>
              </w:rPr>
            </w:pPr>
            <w:bookmarkStart w:id="3" w:name="dtitle1" w:colFirst="0" w:colLast="0"/>
            <w:bookmarkEnd w:id="2"/>
            <w:r w:rsidRPr="00D2213B">
              <w:t>PROPOSITIONS POUR LES TRAVAUX DE LA CONFÉRENCE</w:t>
            </w:r>
          </w:p>
        </w:tc>
      </w:tr>
      <w:tr w:rsidR="00690C7B" w:rsidRPr="00D2213B" w14:paraId="4F908881" w14:textId="77777777" w:rsidTr="0050008E">
        <w:trPr>
          <w:cantSplit/>
        </w:trPr>
        <w:tc>
          <w:tcPr>
            <w:tcW w:w="10031" w:type="dxa"/>
            <w:gridSpan w:val="4"/>
          </w:tcPr>
          <w:p w14:paraId="7C291827" w14:textId="77777777" w:rsidR="00690C7B" w:rsidRPr="00D2213B" w:rsidRDefault="00690C7B" w:rsidP="00690C7B">
            <w:pPr>
              <w:pStyle w:val="Title2"/>
              <w:rPr>
                <w:highlight w:val="yellow"/>
              </w:rPr>
            </w:pPr>
            <w:bookmarkStart w:id="4" w:name="dtitle2" w:colFirst="0" w:colLast="0"/>
            <w:bookmarkEnd w:id="3"/>
          </w:p>
        </w:tc>
      </w:tr>
      <w:tr w:rsidR="00690C7B" w:rsidRPr="00D2213B" w14:paraId="5FF15BAF" w14:textId="77777777" w:rsidTr="0050008E">
        <w:trPr>
          <w:cantSplit/>
        </w:trPr>
        <w:tc>
          <w:tcPr>
            <w:tcW w:w="10031" w:type="dxa"/>
            <w:gridSpan w:val="4"/>
          </w:tcPr>
          <w:p w14:paraId="76D18BE9" w14:textId="77777777" w:rsidR="00690C7B" w:rsidRPr="00D2213B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D2213B">
              <w:rPr>
                <w:lang w:val="fr-FR"/>
              </w:rPr>
              <w:t>Point 4 de l'ordre du jour</w:t>
            </w:r>
          </w:p>
        </w:tc>
      </w:tr>
    </w:tbl>
    <w:bookmarkEnd w:id="5"/>
    <w:p w14:paraId="49573419" w14:textId="77777777" w:rsidR="00602AA3" w:rsidRPr="00D2213B" w:rsidRDefault="00602AA3" w:rsidP="00D87D40">
      <w:r w:rsidRPr="00D2213B">
        <w:t>4</w:t>
      </w:r>
      <w:r w:rsidRPr="00D2213B">
        <w:tab/>
        <w:t xml:space="preserve">conformément à la Résolution </w:t>
      </w:r>
      <w:r w:rsidRPr="00D2213B">
        <w:rPr>
          <w:b/>
          <w:bCs/>
        </w:rPr>
        <w:t>95 (Rév.CMR-19)</w:t>
      </w:r>
      <w:r w:rsidRPr="00D2213B">
        <w:t>, examiner les résolutions et recommandations des conférences précédentes en vue, le cas échéant, de les réviser, de les remplacer ou de les supprimer;</w:t>
      </w:r>
    </w:p>
    <w:p w14:paraId="31766FA9" w14:textId="070E722A" w:rsidR="003A583E" w:rsidRPr="00D2213B" w:rsidRDefault="007F7B38" w:rsidP="00580B83">
      <w:pPr>
        <w:pStyle w:val="Headingb"/>
      </w:pPr>
      <w:r w:rsidRPr="00D2213B">
        <w:t>Informations générales</w:t>
      </w:r>
    </w:p>
    <w:p w14:paraId="5DB92246" w14:textId="0512E5AF" w:rsidR="00580B83" w:rsidRPr="00D2213B" w:rsidRDefault="007F7B38" w:rsidP="00580B83">
      <w:r w:rsidRPr="00D2213B">
        <w:t xml:space="preserve">Dans la présente contribution, les États-Unis font deux propositions au titre du point 4 de l'ordre du jour de la CMR-23 visant à supprimer deux résolutions qui ne sont plus nécessaires. Les États-Unis proposent de supprimer la Résolution </w:t>
      </w:r>
      <w:r w:rsidRPr="00D2213B">
        <w:rPr>
          <w:b/>
        </w:rPr>
        <w:t>75 (Rév.CMR-12)</w:t>
      </w:r>
      <w:r w:rsidRPr="00D2213B">
        <w:t xml:space="preserve"> étant donné que les études ont abouti à des </w:t>
      </w:r>
      <w:r w:rsidR="00321AC8" w:rsidRPr="00D2213B">
        <w:t>r</w:t>
      </w:r>
      <w:r w:rsidRPr="00D2213B">
        <w:t xml:space="preserve">ecommandations UIT-R et qu'aucun </w:t>
      </w:r>
      <w:r w:rsidR="000B7FE5" w:rsidRPr="00D2213B">
        <w:t xml:space="preserve">complément d'étude </w:t>
      </w:r>
      <w:r w:rsidRPr="00D2213B">
        <w:t>n'est nécessaire. De même, les États</w:t>
      </w:r>
      <w:r w:rsidR="0070197B" w:rsidRPr="00D2213B">
        <w:noBreakHyphen/>
      </w:r>
      <w:r w:rsidRPr="00D2213B">
        <w:t xml:space="preserve">Unis proposent de supprimer la Résolution </w:t>
      </w:r>
      <w:r w:rsidRPr="00D2213B">
        <w:rPr>
          <w:b/>
        </w:rPr>
        <w:t>160 (CMR-15</w:t>
      </w:r>
      <w:r w:rsidRPr="00D2213B">
        <w:t xml:space="preserve">) </w:t>
      </w:r>
      <w:r w:rsidR="000B7FE5" w:rsidRPr="00D2213B">
        <w:t>étant donné que</w:t>
      </w:r>
      <w:r w:rsidRPr="00D2213B">
        <w:t xml:space="preserve"> ce</w:t>
      </w:r>
      <w:r w:rsidR="000B7FE5" w:rsidRPr="00D2213B">
        <w:t>s</w:t>
      </w:r>
      <w:r w:rsidRPr="00D2213B">
        <w:t xml:space="preserve"> trava</w:t>
      </w:r>
      <w:r w:rsidR="000B7FE5" w:rsidRPr="00D2213B">
        <w:t>ux</w:t>
      </w:r>
      <w:r w:rsidRPr="00D2213B">
        <w:t xml:space="preserve"> </w:t>
      </w:r>
      <w:r w:rsidR="000B7FE5" w:rsidRPr="00D2213B">
        <w:t>ont</w:t>
      </w:r>
      <w:r w:rsidRPr="00D2213B">
        <w:t xml:space="preserve"> été achevé</w:t>
      </w:r>
      <w:r w:rsidR="000B7FE5" w:rsidRPr="00D2213B">
        <w:t>s</w:t>
      </w:r>
      <w:r w:rsidRPr="00D2213B">
        <w:t xml:space="preserve"> à la CMR-19, mais que la </w:t>
      </w:r>
      <w:r w:rsidR="00321AC8" w:rsidRPr="00D2213B">
        <w:t>R</w:t>
      </w:r>
      <w:r w:rsidRPr="00D2213B">
        <w:t>ésolution</w:t>
      </w:r>
      <w:r w:rsidR="000B7FE5" w:rsidRPr="00D2213B">
        <w:t>, par erreur,</w:t>
      </w:r>
      <w:r w:rsidRPr="00D2213B">
        <w:t xml:space="preserve"> </w:t>
      </w:r>
      <w:r w:rsidR="00D0552F" w:rsidRPr="00D2213B">
        <w:t>n</w:t>
      </w:r>
      <w:r w:rsidR="008537F3" w:rsidRPr="00D2213B">
        <w:t>'</w:t>
      </w:r>
      <w:r w:rsidR="00D0552F" w:rsidRPr="00D2213B">
        <w:t xml:space="preserve">a </w:t>
      </w:r>
      <w:r w:rsidRPr="00D2213B">
        <w:t>pas été supprimée par la conférence</w:t>
      </w:r>
      <w:r w:rsidR="000B7FE5" w:rsidRPr="00D2213B">
        <w:t>.</w:t>
      </w:r>
    </w:p>
    <w:p w14:paraId="4CEA6A81" w14:textId="722FEB16" w:rsidR="00533D2F" w:rsidRPr="00D2213B" w:rsidRDefault="00580B83" w:rsidP="00FD5C66">
      <w:pPr>
        <w:pStyle w:val="Headingb"/>
      </w:pPr>
      <w:r w:rsidRPr="00D2213B">
        <w:t>Propositions</w:t>
      </w:r>
    </w:p>
    <w:p w14:paraId="55C7EF30" w14:textId="051365E2" w:rsidR="00580B83" w:rsidRPr="00D2213B" w:rsidRDefault="00533D2F" w:rsidP="00533D2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</w:rPr>
      </w:pPr>
      <w:r w:rsidRPr="00D2213B">
        <w:br w:type="page"/>
      </w:r>
    </w:p>
    <w:p w14:paraId="377BA786" w14:textId="77777777" w:rsidR="00E26A70" w:rsidRPr="00D2213B" w:rsidRDefault="00602AA3">
      <w:pPr>
        <w:pStyle w:val="Proposal"/>
      </w:pPr>
      <w:r w:rsidRPr="00D2213B">
        <w:lastRenderedPageBreak/>
        <w:t>SUP</w:t>
      </w:r>
      <w:r w:rsidRPr="00D2213B">
        <w:tab/>
        <w:t>USA/142A21/1</w:t>
      </w:r>
    </w:p>
    <w:p w14:paraId="1DD69853" w14:textId="77777777" w:rsidR="00602AA3" w:rsidRPr="00D2213B" w:rsidRDefault="00602AA3" w:rsidP="00C80685">
      <w:pPr>
        <w:pStyle w:val="ResNo"/>
      </w:pPr>
      <w:bookmarkStart w:id="6" w:name="_Toc39829111"/>
      <w:r w:rsidRPr="00D2213B">
        <w:t xml:space="preserve">RÉSOLUTION </w:t>
      </w:r>
      <w:r w:rsidRPr="00D2213B">
        <w:rPr>
          <w:rStyle w:val="href"/>
        </w:rPr>
        <w:t>75</w:t>
      </w:r>
      <w:r w:rsidRPr="00D2213B">
        <w:t xml:space="preserve"> (RÉV.CMR-12)</w:t>
      </w:r>
      <w:bookmarkEnd w:id="6"/>
    </w:p>
    <w:p w14:paraId="4C9E570F" w14:textId="77777777" w:rsidR="00602AA3" w:rsidRPr="00D2213B" w:rsidRDefault="00602AA3" w:rsidP="00C80685">
      <w:pPr>
        <w:pStyle w:val="Restitle"/>
      </w:pPr>
      <w:bookmarkStart w:id="7" w:name="_Toc450208578"/>
      <w:bookmarkStart w:id="8" w:name="_Toc39829112"/>
      <w:r w:rsidRPr="00D2213B">
        <w:t>Élaboration de la base technique permettant de déterminer la zone</w:t>
      </w:r>
      <w:r w:rsidRPr="00D2213B">
        <w:br/>
        <w:t xml:space="preserve">de coordination d'une station terrienne de réception du service </w:t>
      </w:r>
      <w:r w:rsidRPr="00D2213B">
        <w:br/>
        <w:t xml:space="preserve">de recherche spatiale (espace lointain) avec des stations </w:t>
      </w:r>
      <w:r w:rsidRPr="00D2213B">
        <w:br/>
        <w:t xml:space="preserve">d'émission d'applications à haute densité du service fixe </w:t>
      </w:r>
      <w:r w:rsidRPr="00D2213B">
        <w:br/>
        <w:t>dans les bandes 31,8-32,3 GHz et 37-38 GHz</w:t>
      </w:r>
      <w:bookmarkEnd w:id="7"/>
      <w:bookmarkEnd w:id="8"/>
    </w:p>
    <w:p w14:paraId="5253B518" w14:textId="452F55E9" w:rsidR="005A1FD2" w:rsidRPr="00D2213B" w:rsidRDefault="00602AA3" w:rsidP="008537F3">
      <w:pPr>
        <w:pStyle w:val="Reasons"/>
      </w:pPr>
      <w:r w:rsidRPr="00D2213B">
        <w:rPr>
          <w:b/>
        </w:rPr>
        <w:t>Motifs:</w:t>
      </w:r>
      <w:r w:rsidRPr="00D2213B">
        <w:tab/>
      </w:r>
      <w:r w:rsidR="00A3525F" w:rsidRPr="00D2213B">
        <w:t xml:space="preserve">La Résolution </w:t>
      </w:r>
      <w:r w:rsidR="00A3525F" w:rsidRPr="00D2213B">
        <w:rPr>
          <w:b/>
        </w:rPr>
        <w:t>75 (Rév.CMR-12)</w:t>
      </w:r>
      <w:r w:rsidR="00A3525F" w:rsidRPr="00D2213B">
        <w:rPr>
          <w:bCs/>
        </w:rPr>
        <w:t xml:space="preserve"> </w:t>
      </w:r>
      <w:r w:rsidR="00A3525F" w:rsidRPr="00D2213B">
        <w:t>traite de l'é</w:t>
      </w:r>
      <w:r w:rsidRPr="00D2213B">
        <w:t>laboration</w:t>
      </w:r>
      <w:r w:rsidR="005A1FD2" w:rsidRPr="00D2213B">
        <w:t xml:space="preserve"> de la base technique permettant de déterminer la zone de coordination d'une station terrienne de réception du service de recherche spatiale (espace lointain) avec des stations d'émission d'applications à haute densité du service fixe dans les bandes </w:t>
      </w:r>
      <w:r w:rsidR="00A3525F" w:rsidRPr="00D2213B">
        <w:t xml:space="preserve">de fréquences </w:t>
      </w:r>
      <w:r w:rsidR="005A1FD2" w:rsidRPr="00D2213B">
        <w:t>31,8-32,3 GHz et 37-38 GHz</w:t>
      </w:r>
      <w:r w:rsidR="00A3525F" w:rsidRPr="00D2213B">
        <w:t>. Les éléments techniques demandés dans cette Résolution ont été élaborés dans les Recommandations UIT-R F.1760 et UIT-R F.1765 (toutes deux publiées en 2006) et aucune activité supplémentaire n</w:t>
      </w:r>
      <w:r w:rsidR="008537F3" w:rsidRPr="00D2213B">
        <w:t>'</w:t>
      </w:r>
      <w:r w:rsidR="00A3525F" w:rsidRPr="00D2213B">
        <w:t xml:space="preserve">a été menée depuis la publication de ces deux </w:t>
      </w:r>
      <w:r w:rsidR="00713634" w:rsidRPr="00D2213B">
        <w:t>R</w:t>
      </w:r>
      <w:r w:rsidR="00A3525F" w:rsidRPr="00D2213B">
        <w:t xml:space="preserve">ecommandations. Par conséquent, les études demandées dans cette Résolution pourraient être considérées comme achevées et </w:t>
      </w:r>
      <w:r w:rsidR="00713634" w:rsidRPr="00D2213B">
        <w:t>la Résolution pourrait être supprimée</w:t>
      </w:r>
      <w:r w:rsidR="00A3525F" w:rsidRPr="00D2213B">
        <w:t>.</w:t>
      </w:r>
    </w:p>
    <w:p w14:paraId="555EB160" w14:textId="77777777" w:rsidR="00E26A70" w:rsidRPr="00D2213B" w:rsidRDefault="00602AA3">
      <w:pPr>
        <w:pStyle w:val="Proposal"/>
      </w:pPr>
      <w:r w:rsidRPr="00D2213B">
        <w:t>SUP</w:t>
      </w:r>
      <w:r w:rsidRPr="00D2213B">
        <w:tab/>
        <w:t>USA/142A21/2</w:t>
      </w:r>
    </w:p>
    <w:p w14:paraId="2CC792A2" w14:textId="77777777" w:rsidR="00602AA3" w:rsidRPr="00D2213B" w:rsidRDefault="00602AA3" w:rsidP="00C80685">
      <w:pPr>
        <w:pStyle w:val="ResNo"/>
      </w:pPr>
      <w:bookmarkStart w:id="9" w:name="_Toc450207171"/>
      <w:bookmarkStart w:id="10" w:name="_Toc450208628"/>
      <w:bookmarkStart w:id="11" w:name="_Toc39829157"/>
      <w:r w:rsidRPr="00D2213B">
        <w:rPr>
          <w:caps w:val="0"/>
        </w:rPr>
        <w:t xml:space="preserve">RÉSOLUTION </w:t>
      </w:r>
      <w:r w:rsidRPr="00D2213B">
        <w:rPr>
          <w:rStyle w:val="href"/>
          <w:caps w:val="0"/>
        </w:rPr>
        <w:t>160</w:t>
      </w:r>
      <w:r w:rsidRPr="00D2213B">
        <w:rPr>
          <w:caps w:val="0"/>
        </w:rPr>
        <w:t xml:space="preserve"> (CMR-15)</w:t>
      </w:r>
      <w:bookmarkEnd w:id="9"/>
      <w:bookmarkEnd w:id="10"/>
      <w:bookmarkEnd w:id="11"/>
    </w:p>
    <w:p w14:paraId="7F5113C2" w14:textId="77777777" w:rsidR="00602AA3" w:rsidRPr="00D2213B" w:rsidRDefault="00602AA3" w:rsidP="00C80685">
      <w:pPr>
        <w:pStyle w:val="Restitle"/>
      </w:pPr>
      <w:bookmarkStart w:id="12" w:name="_Toc450208629"/>
      <w:bookmarkStart w:id="13" w:name="_Toc39829158"/>
      <w:r w:rsidRPr="00D2213B">
        <w:t xml:space="preserve">Faciliter l'accès aux applications large bande assurées par les stations </w:t>
      </w:r>
      <w:r w:rsidRPr="00D2213B">
        <w:br/>
        <w:t>placées sur des plates-formes à haute altitude</w:t>
      </w:r>
      <w:bookmarkEnd w:id="12"/>
      <w:bookmarkEnd w:id="13"/>
    </w:p>
    <w:p w14:paraId="144831A6" w14:textId="323FEBD0" w:rsidR="005A1FD2" w:rsidRPr="00D2213B" w:rsidRDefault="00602AA3" w:rsidP="00411C49">
      <w:pPr>
        <w:pStyle w:val="Reasons"/>
      </w:pPr>
      <w:r w:rsidRPr="00D2213B">
        <w:rPr>
          <w:b/>
        </w:rPr>
        <w:t>Motifs:</w:t>
      </w:r>
      <w:r w:rsidRPr="00D2213B">
        <w:tab/>
      </w:r>
      <w:r w:rsidR="00516C51" w:rsidRPr="00D2213B">
        <w:t xml:space="preserve">En vertu de la Résolution </w:t>
      </w:r>
      <w:r w:rsidR="00516C51" w:rsidRPr="00D2213B">
        <w:rPr>
          <w:b/>
        </w:rPr>
        <w:t>160 (CMR-15)</w:t>
      </w:r>
      <w:r w:rsidR="00516C51" w:rsidRPr="00D2213B">
        <w:t>, l</w:t>
      </w:r>
      <w:r w:rsidR="008537F3" w:rsidRPr="00D2213B">
        <w:t>'</w:t>
      </w:r>
      <w:r w:rsidR="00516C51" w:rsidRPr="00D2213B">
        <w:t>UIT-R a été invité à étudier les besoins de spectre additionnels pour les liaisons des terminaux passerelles et des terminaux fixes des systèmes</w:t>
      </w:r>
      <w:r w:rsidR="0070197B" w:rsidRPr="00D2213B">
        <w:t> </w:t>
      </w:r>
      <w:r w:rsidR="00516C51" w:rsidRPr="00D2213B">
        <w:t>HAPS afin d'assurer une connectivité large bande dans le service fixe, au titre du point</w:t>
      </w:r>
      <w:r w:rsidR="0070197B" w:rsidRPr="00D2213B">
        <w:t> </w:t>
      </w:r>
      <w:r w:rsidR="00516C51" w:rsidRPr="00D2213B">
        <w:t>1.14 de l</w:t>
      </w:r>
      <w:r w:rsidR="008537F3" w:rsidRPr="00D2213B">
        <w:t>'</w:t>
      </w:r>
      <w:r w:rsidR="00516C51" w:rsidRPr="00D2213B">
        <w:t>ordre du jour de la CMR-19. La CMR-19 a décidé d</w:t>
      </w:r>
      <w:r w:rsidR="008537F3" w:rsidRPr="00D2213B">
        <w:t>'</w:t>
      </w:r>
      <w:r w:rsidR="00516C51" w:rsidRPr="00D2213B">
        <w:t xml:space="preserve">identifier plusieurs bandes du service fixe (compte tenu du numéro </w:t>
      </w:r>
      <w:r w:rsidR="00516C51" w:rsidRPr="00D2213B">
        <w:rPr>
          <w:b/>
        </w:rPr>
        <w:t>4.23</w:t>
      </w:r>
      <w:r w:rsidR="00516C51" w:rsidRPr="00D2213B">
        <w:t xml:space="preserve"> du RR) pour l</w:t>
      </w:r>
      <w:r w:rsidR="008537F3" w:rsidRPr="00D2213B">
        <w:t>'</w:t>
      </w:r>
      <w:r w:rsidR="00516C51" w:rsidRPr="00D2213B">
        <w:t xml:space="preserve">exploitation des stations HAPS, conformément aux </w:t>
      </w:r>
      <w:r w:rsidR="00321AC8" w:rsidRPr="00D2213B">
        <w:t>r</w:t>
      </w:r>
      <w:r w:rsidR="00516C51" w:rsidRPr="00D2213B">
        <w:t xml:space="preserve">ésolutions associées assurant la protection des services existants. Les travaux au titre de la Résolution </w:t>
      </w:r>
      <w:r w:rsidR="00516C51" w:rsidRPr="00D2213B">
        <w:rPr>
          <w:b/>
        </w:rPr>
        <w:t>160 (CMR-15)</w:t>
      </w:r>
      <w:r w:rsidR="00516C51" w:rsidRPr="00D2213B">
        <w:t xml:space="preserve"> ont été achevés à la CMR-19, mais </w:t>
      </w:r>
      <w:r w:rsidR="0009053B" w:rsidRPr="00D2213B">
        <w:t xml:space="preserve">la </w:t>
      </w:r>
      <w:r w:rsidR="00321AC8" w:rsidRPr="00D2213B">
        <w:t>R</w:t>
      </w:r>
      <w:r w:rsidR="0009053B" w:rsidRPr="00D2213B">
        <w:t xml:space="preserve">ésolution, par erreur, </w:t>
      </w:r>
      <w:r w:rsidR="00D0552F" w:rsidRPr="00D2213B">
        <w:t>n</w:t>
      </w:r>
      <w:r w:rsidR="008537F3" w:rsidRPr="00D2213B">
        <w:t>'</w:t>
      </w:r>
      <w:r w:rsidR="00D0552F" w:rsidRPr="00D2213B">
        <w:t xml:space="preserve">a </w:t>
      </w:r>
      <w:r w:rsidR="0009053B" w:rsidRPr="00D2213B">
        <w:t>pas été supprimée par la conférence</w:t>
      </w:r>
      <w:r w:rsidR="00516C51" w:rsidRPr="00D2213B">
        <w:t>.</w:t>
      </w:r>
    </w:p>
    <w:p w14:paraId="30A55FF5" w14:textId="77777777" w:rsidR="005A1FD2" w:rsidRPr="00D2213B" w:rsidRDefault="005A1FD2">
      <w:pPr>
        <w:jc w:val="center"/>
      </w:pPr>
      <w:r w:rsidRPr="00D2213B">
        <w:t>______________</w:t>
      </w:r>
    </w:p>
    <w:sectPr w:rsidR="005A1FD2" w:rsidRPr="00D2213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6DAF" w14:textId="77777777" w:rsidR="00CB685A" w:rsidRDefault="00CB685A">
      <w:r>
        <w:separator/>
      </w:r>
    </w:p>
  </w:endnote>
  <w:endnote w:type="continuationSeparator" w:id="0">
    <w:p w14:paraId="43A97AC9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71EF" w14:textId="49B455DD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5C66">
      <w:rPr>
        <w:noProof/>
      </w:rPr>
      <w:t>13.11.23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07AB" w14:textId="57083181" w:rsidR="00936D25" w:rsidRPr="008537F3" w:rsidRDefault="008537F3" w:rsidP="008537F3">
    <w:pPr>
      <w:pStyle w:val="Footer"/>
      <w:rPr>
        <w:lang w:val="en-GB"/>
      </w:rPr>
    </w:pPr>
    <w:r>
      <w:fldChar w:fldCharType="begin"/>
    </w:r>
    <w:r w:rsidRPr="008537F3">
      <w:rPr>
        <w:lang w:val="en-GB"/>
      </w:rPr>
      <w:instrText xml:space="preserve"> FILENAME \p  \* MERGEFORMAT </w:instrText>
    </w:r>
    <w:r>
      <w:fldChar w:fldCharType="separate"/>
    </w:r>
    <w:r w:rsidRPr="008537F3">
      <w:rPr>
        <w:lang w:val="en-GB"/>
      </w:rPr>
      <w:t>P:\FRA\ITU-R\CONF-R\CMR23\100\142ADD21F.docx</w:t>
    </w:r>
    <w:r>
      <w:fldChar w:fldCharType="end"/>
    </w:r>
    <w:r w:rsidRPr="008537F3">
      <w:rPr>
        <w:lang w:val="en-GB"/>
      </w:rPr>
      <w:t xml:space="preserve"> (</w:t>
    </w:r>
    <w:r>
      <w:rPr>
        <w:lang w:val="en-GB"/>
      </w:rPr>
      <w:t>530356)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1DCF" w14:textId="3C889277" w:rsidR="00936D25" w:rsidRPr="008537F3" w:rsidRDefault="008537F3" w:rsidP="008537F3">
    <w:pPr>
      <w:pStyle w:val="Footer"/>
      <w:rPr>
        <w:lang w:val="en-GB"/>
      </w:rPr>
    </w:pPr>
    <w:r>
      <w:fldChar w:fldCharType="begin"/>
    </w:r>
    <w:r w:rsidRPr="008537F3">
      <w:rPr>
        <w:lang w:val="en-GB"/>
      </w:rPr>
      <w:instrText xml:space="preserve"> FILENAME \p  \* MERGEFORMAT </w:instrText>
    </w:r>
    <w:r>
      <w:fldChar w:fldCharType="separate"/>
    </w:r>
    <w:r w:rsidRPr="008537F3">
      <w:rPr>
        <w:lang w:val="en-GB"/>
      </w:rPr>
      <w:t>P:\FRA\ITU-R\CONF-R\CMR23\100\142ADD21F.docx</w:t>
    </w:r>
    <w:r>
      <w:fldChar w:fldCharType="end"/>
    </w:r>
    <w:r w:rsidRPr="008537F3">
      <w:rPr>
        <w:lang w:val="en-GB"/>
      </w:rPr>
      <w:t xml:space="preserve"> (</w:t>
    </w:r>
    <w:r>
      <w:rPr>
        <w:lang w:val="en-GB"/>
      </w:rPr>
      <w:t>530356)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479B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252B6C8F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B90C" w14:textId="3B737C12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0552F">
      <w:rPr>
        <w:noProof/>
      </w:rPr>
      <w:t>3</w:t>
    </w:r>
    <w:r>
      <w:fldChar w:fldCharType="end"/>
    </w:r>
  </w:p>
  <w:p w14:paraId="5774BAFA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142(Add.21)-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66724269">
    <w:abstractNumId w:val="0"/>
  </w:num>
  <w:num w:numId="2" w16cid:durableId="76854939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9053B"/>
    <w:rsid w:val="000A4755"/>
    <w:rsid w:val="000A55AE"/>
    <w:rsid w:val="000B2E0C"/>
    <w:rsid w:val="000B3D0C"/>
    <w:rsid w:val="000B7FE5"/>
    <w:rsid w:val="001127E2"/>
    <w:rsid w:val="001167B9"/>
    <w:rsid w:val="001267A0"/>
    <w:rsid w:val="0015203F"/>
    <w:rsid w:val="001533E3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21AC8"/>
    <w:rsid w:val="003411F6"/>
    <w:rsid w:val="003606A6"/>
    <w:rsid w:val="0036650C"/>
    <w:rsid w:val="00393ACD"/>
    <w:rsid w:val="00395F81"/>
    <w:rsid w:val="003A583E"/>
    <w:rsid w:val="003E112B"/>
    <w:rsid w:val="003E1D1C"/>
    <w:rsid w:val="003E7B05"/>
    <w:rsid w:val="003F3719"/>
    <w:rsid w:val="003F6F2D"/>
    <w:rsid w:val="004421B5"/>
    <w:rsid w:val="00466211"/>
    <w:rsid w:val="00483196"/>
    <w:rsid w:val="004834A9"/>
    <w:rsid w:val="004D01FC"/>
    <w:rsid w:val="004E28C3"/>
    <w:rsid w:val="004F1F8E"/>
    <w:rsid w:val="00512A32"/>
    <w:rsid w:val="00516C51"/>
    <w:rsid w:val="00533D2F"/>
    <w:rsid w:val="005343DA"/>
    <w:rsid w:val="00560874"/>
    <w:rsid w:val="00580B83"/>
    <w:rsid w:val="00586CF2"/>
    <w:rsid w:val="005A1FD2"/>
    <w:rsid w:val="005A7C75"/>
    <w:rsid w:val="005C3768"/>
    <w:rsid w:val="005C6C3F"/>
    <w:rsid w:val="00602AA3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97B"/>
    <w:rsid w:val="00701BAE"/>
    <w:rsid w:val="00713634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B3696"/>
    <w:rsid w:val="007B455C"/>
    <w:rsid w:val="007F282B"/>
    <w:rsid w:val="007F7B38"/>
    <w:rsid w:val="00830086"/>
    <w:rsid w:val="00851625"/>
    <w:rsid w:val="008537F3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8F7C8F"/>
    <w:rsid w:val="00923064"/>
    <w:rsid w:val="00930FFD"/>
    <w:rsid w:val="00936D25"/>
    <w:rsid w:val="0094088A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525F"/>
    <w:rsid w:val="00A37105"/>
    <w:rsid w:val="00A606C3"/>
    <w:rsid w:val="00A83B09"/>
    <w:rsid w:val="00A84541"/>
    <w:rsid w:val="00AE36A0"/>
    <w:rsid w:val="00B00294"/>
    <w:rsid w:val="00B3749C"/>
    <w:rsid w:val="00B64FD0"/>
    <w:rsid w:val="00B7099E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0552F"/>
    <w:rsid w:val="00D119A7"/>
    <w:rsid w:val="00D2213B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26A70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5C66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C3DD55B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F7C8F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R23-WRC23-C-0142!A21!MSW-F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30BF2-8B13-4D0A-8055-95E650CDF7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842B42-7A14-4649-83E2-9FA70640066A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26A9EEC-3328-4AF5-B15F-1E3A59A7E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455</Words>
  <Characters>2616</Characters>
  <Application>Microsoft Office Word</Application>
  <DocSecurity>0</DocSecurity>
  <Lines>60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R23-WRC23-C-0142!A21!MSW-F</vt:lpstr>
    </vt:vector>
  </TitlesOfParts>
  <Manager>Secrétariat général - Pool</Manager>
  <Company>Union internationale des télécommunications (UIT)</Company>
  <LinksUpToDate>false</LinksUpToDate>
  <CharactersWithSpaces>3047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R23-WRC23-C-0142!A21!MSW-F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10</cp:revision>
  <cp:lastPrinted>2003-06-05T19:34:00Z</cp:lastPrinted>
  <dcterms:created xsi:type="dcterms:W3CDTF">2023-11-13T13:18:00Z</dcterms:created>
  <dcterms:modified xsi:type="dcterms:W3CDTF">2023-11-13T13:58:00Z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