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0D1EE4" w14:paraId="390F4228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1F654E35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7F061E1D" wp14:editId="28BE324D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0C75F81C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24BC0E22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5D76FE86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39C7FE1" wp14:editId="45E28E4A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32612F1A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1969CC74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0AD54267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5ED4D558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5558CF70" w14:textId="77777777" w:rsidR="000D1EE4" w:rsidRPr="000D1EE4" w:rsidRDefault="000D1EE4" w:rsidP="00A56B98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4B1AD11B" w14:textId="77777777" w:rsidR="000D1EE4" w:rsidRPr="000D1EE4" w:rsidRDefault="000D1EE4" w:rsidP="00A56B98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0D1EE4" w:rsidRPr="000D1EE4" w14:paraId="52745024" w14:textId="77777777" w:rsidTr="00752552">
        <w:trPr>
          <w:cantSplit/>
        </w:trPr>
        <w:tc>
          <w:tcPr>
            <w:tcW w:w="6696" w:type="dxa"/>
            <w:gridSpan w:val="2"/>
          </w:tcPr>
          <w:p w14:paraId="26097753" w14:textId="77777777" w:rsidR="000D1EE4" w:rsidRPr="004F1101" w:rsidRDefault="00E50850" w:rsidP="004F1101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4F1101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54336346" w14:textId="77777777" w:rsidR="000D1EE4" w:rsidRPr="004F1101" w:rsidRDefault="00E50850" w:rsidP="004F1101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4F1101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4F1101">
              <w:rPr>
                <w:rFonts w:eastAsia="SimSun"/>
                <w:b/>
                <w:bCs/>
              </w:rPr>
              <w:t>139-A</w:t>
            </w:r>
          </w:p>
        </w:tc>
      </w:tr>
      <w:tr w:rsidR="000D1EE4" w:rsidRPr="000D1EE4" w14:paraId="60EB8004" w14:textId="77777777" w:rsidTr="00752552">
        <w:trPr>
          <w:cantSplit/>
        </w:trPr>
        <w:tc>
          <w:tcPr>
            <w:tcW w:w="6696" w:type="dxa"/>
            <w:gridSpan w:val="2"/>
          </w:tcPr>
          <w:p w14:paraId="53335B81" w14:textId="77777777" w:rsidR="000D1EE4" w:rsidRPr="004F1101" w:rsidRDefault="000D1EE4" w:rsidP="004F1101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44A4950" w14:textId="77777777" w:rsidR="000D1EE4" w:rsidRPr="004F1101" w:rsidRDefault="00E50850" w:rsidP="004F1101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4F1101">
              <w:rPr>
                <w:rFonts w:eastAsia="SimSun"/>
                <w:b/>
                <w:bCs/>
              </w:rPr>
              <w:t>29</w:t>
            </w:r>
            <w:r w:rsidRPr="004F1101">
              <w:rPr>
                <w:rFonts w:eastAsia="SimSun"/>
                <w:b/>
                <w:bCs/>
                <w:rtl/>
              </w:rPr>
              <w:t xml:space="preserve"> أكتوبر </w:t>
            </w:r>
            <w:r w:rsidRPr="004F1101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51ECEABC" w14:textId="77777777" w:rsidTr="00752552">
        <w:trPr>
          <w:cantSplit/>
        </w:trPr>
        <w:tc>
          <w:tcPr>
            <w:tcW w:w="6696" w:type="dxa"/>
            <w:gridSpan w:val="2"/>
          </w:tcPr>
          <w:p w14:paraId="459B0054" w14:textId="77777777" w:rsidR="000D1EE4" w:rsidRPr="004F1101" w:rsidRDefault="000D1EE4" w:rsidP="004F1101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66687F6A" w14:textId="77777777" w:rsidR="000D1EE4" w:rsidRPr="004F1101" w:rsidRDefault="00E50850" w:rsidP="004F1101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4F1101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63EA7E22" w14:textId="77777777" w:rsidTr="00752552">
        <w:trPr>
          <w:cantSplit/>
        </w:trPr>
        <w:tc>
          <w:tcPr>
            <w:tcW w:w="9666" w:type="dxa"/>
            <w:gridSpan w:val="4"/>
          </w:tcPr>
          <w:p w14:paraId="08F6175A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2FB35572" w14:textId="77777777" w:rsidTr="00752552">
        <w:trPr>
          <w:cantSplit/>
        </w:trPr>
        <w:tc>
          <w:tcPr>
            <w:tcW w:w="9666" w:type="dxa"/>
            <w:gridSpan w:val="4"/>
          </w:tcPr>
          <w:p w14:paraId="35F5BF29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كندا/الولايات المتحدة الأمريكية</w:t>
            </w:r>
          </w:p>
        </w:tc>
      </w:tr>
      <w:tr w:rsidR="000D1EE4" w:rsidRPr="000D1EE4" w14:paraId="2AFC3F6B" w14:textId="77777777" w:rsidTr="00752552">
        <w:trPr>
          <w:cantSplit/>
        </w:trPr>
        <w:tc>
          <w:tcPr>
            <w:tcW w:w="9666" w:type="dxa"/>
            <w:gridSpan w:val="4"/>
          </w:tcPr>
          <w:p w14:paraId="0DE1D02E" w14:textId="4752D368" w:rsidR="000D1EE4" w:rsidRPr="000D1EE4" w:rsidRDefault="004F1101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348FC4AB" w14:textId="77777777" w:rsidTr="00752552">
        <w:trPr>
          <w:cantSplit/>
        </w:trPr>
        <w:tc>
          <w:tcPr>
            <w:tcW w:w="9666" w:type="dxa"/>
            <w:gridSpan w:val="4"/>
          </w:tcPr>
          <w:p w14:paraId="2A19A305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51213A46" w14:textId="77777777" w:rsidTr="00752552">
        <w:trPr>
          <w:cantSplit/>
        </w:trPr>
        <w:tc>
          <w:tcPr>
            <w:tcW w:w="9666" w:type="dxa"/>
            <w:gridSpan w:val="4"/>
          </w:tcPr>
          <w:p w14:paraId="0A78A366" w14:textId="64217DC8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4F1101">
              <w:rPr>
                <w:rFonts w:hint="cs"/>
                <w:rtl/>
              </w:rPr>
              <w:t xml:space="preserve"> </w:t>
            </w:r>
            <w:r w:rsidR="004F1101" w:rsidRPr="00387E34">
              <w:rPr>
                <w:szCs w:val="22"/>
              </w:rPr>
              <w:t>10</w:t>
            </w:r>
          </w:p>
        </w:tc>
      </w:tr>
    </w:tbl>
    <w:p w14:paraId="02C56E71" w14:textId="77777777" w:rsidR="00FC0E83" w:rsidRPr="00387E34" w:rsidRDefault="005116A6" w:rsidP="00387E34">
      <w:pPr>
        <w:rPr>
          <w:rtl/>
        </w:rPr>
      </w:pPr>
      <w:r w:rsidRPr="00387E34">
        <w:rPr>
          <w:lang w:bidi="ar-EG"/>
        </w:rPr>
        <w:t>10</w:t>
      </w:r>
      <w:r w:rsidRPr="00387E34">
        <w:rPr>
          <w:rFonts w:hint="cs"/>
          <w:rtl/>
        </w:rPr>
        <w:tab/>
      </w:r>
      <w:r w:rsidRPr="00FE2CFF">
        <w:rPr>
          <w:rFonts w:hint="eastAsia"/>
          <w:rtl/>
        </w:rPr>
        <w:t>تقديم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توصيات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إلى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مجلس الاتحاد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بالبنود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التي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يلزم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إدراجها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في جدول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أعمال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المؤتمر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العالمي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التالي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للاتصالات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الراديوية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و</w:t>
      </w:r>
      <w:r w:rsidRPr="00FE2CFF">
        <w:rPr>
          <w:rFonts w:hint="cs"/>
          <w:rtl/>
        </w:rPr>
        <w:t>ب</w:t>
      </w:r>
      <w:r w:rsidRPr="00FE2CFF">
        <w:rPr>
          <w:rFonts w:hint="eastAsia"/>
          <w:rtl/>
        </w:rPr>
        <w:t>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جداول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الأعمال</w:t>
      </w:r>
      <w:r w:rsidRPr="00FE2CFF">
        <w:rPr>
          <w:rtl/>
        </w:rPr>
        <w:t xml:space="preserve"> الأولية للمؤتمرات </w:t>
      </w:r>
      <w:r w:rsidRPr="00FE2CFF">
        <w:rPr>
          <w:rFonts w:hint="cs"/>
          <w:rtl/>
        </w:rPr>
        <w:t>اللاحقة</w:t>
      </w:r>
      <w:r w:rsidRPr="00FE2CFF">
        <w:rPr>
          <w:rtl/>
        </w:rPr>
        <w:t xml:space="preserve">، وفقاً للمادة </w:t>
      </w:r>
      <w:r w:rsidRPr="00FE2CFF">
        <w:t>7</w:t>
      </w:r>
      <w:r w:rsidRPr="00FE2CFF">
        <w:rPr>
          <w:rtl/>
        </w:rPr>
        <w:t xml:space="preserve"> من </w:t>
      </w:r>
      <w:r w:rsidRPr="00FE2CFF">
        <w:rPr>
          <w:rFonts w:hint="cs"/>
          <w:rtl/>
        </w:rPr>
        <w:t>اتفاقية الاتحاد</w:t>
      </w:r>
      <w:r w:rsidRPr="00FE2CFF">
        <w:rPr>
          <w:rtl/>
        </w:rPr>
        <w:t xml:space="preserve"> والقرار </w:t>
      </w:r>
      <w:r w:rsidRPr="00FE2CFF">
        <w:rPr>
          <w:b/>
          <w:bCs/>
          <w:iCs/>
        </w:rPr>
        <w:t>(Rev.WRC-19)</w:t>
      </w:r>
      <w:r w:rsidRPr="00FE2CFF">
        <w:rPr>
          <w:b/>
          <w:bCs/>
          <w:iCs/>
          <w:rtl/>
        </w:rPr>
        <w:t xml:space="preserve"> </w:t>
      </w:r>
      <w:r w:rsidRPr="00FE2CFF">
        <w:rPr>
          <w:b/>
          <w:bCs/>
          <w:iCs/>
          <w:lang w:val="en-GB"/>
        </w:rPr>
        <w:t>804</w:t>
      </w:r>
      <w:r w:rsidRPr="00FE2CFF">
        <w:rPr>
          <w:rFonts w:hint="eastAsia"/>
          <w:rtl/>
        </w:rPr>
        <w:t>،</w:t>
      </w:r>
    </w:p>
    <w:p w14:paraId="6B2AA4D0" w14:textId="67605B39" w:rsidR="00417E14" w:rsidRDefault="004F1101" w:rsidP="004F1101">
      <w:pPr>
        <w:pStyle w:val="Headingb"/>
        <w:rPr>
          <w:rtl/>
        </w:rPr>
      </w:pPr>
      <w:r>
        <w:rPr>
          <w:rFonts w:hint="cs"/>
          <w:rtl/>
        </w:rPr>
        <w:t>خلفية</w:t>
      </w:r>
    </w:p>
    <w:p w14:paraId="01B6E705" w14:textId="5F631D2E" w:rsidR="00C45930" w:rsidRDefault="00C628C8" w:rsidP="004F1101">
      <w:pPr>
        <w:rPr>
          <w:rtl/>
        </w:rPr>
      </w:pPr>
      <w:r w:rsidRPr="00C628C8">
        <w:rPr>
          <w:rtl/>
        </w:rPr>
        <w:t xml:space="preserve">كان الهدف من الدراسات المتوخاة في إطار البند 1.2 من جدول أعمال المؤتمر </w:t>
      </w:r>
      <w:r w:rsidRPr="00C628C8">
        <w:t>WRC-27</w:t>
      </w:r>
      <w:r w:rsidRPr="00C628C8">
        <w:rPr>
          <w:rtl/>
        </w:rPr>
        <w:t xml:space="preserve"> هو </w:t>
      </w:r>
      <w:r w:rsidR="00983298">
        <w:rPr>
          <w:rFonts w:hint="cs"/>
          <w:rtl/>
        </w:rPr>
        <w:t>الاضطلاع</w:t>
      </w:r>
      <w:r w:rsidRPr="00C628C8">
        <w:rPr>
          <w:rtl/>
        </w:rPr>
        <w:t xml:space="preserve"> </w:t>
      </w:r>
      <w:r w:rsidR="00983298">
        <w:rPr>
          <w:rFonts w:hint="cs"/>
          <w:rtl/>
        </w:rPr>
        <w:t>ب</w:t>
      </w:r>
      <w:r w:rsidRPr="00C628C8">
        <w:rPr>
          <w:rtl/>
        </w:rPr>
        <w:t xml:space="preserve">دراسات لتحديد الاحتياجات من الطيف، </w:t>
      </w:r>
      <w:r w:rsidR="00983298">
        <w:rPr>
          <w:rFonts w:hint="cs"/>
          <w:rtl/>
        </w:rPr>
        <w:t>ووضع</w:t>
      </w:r>
      <w:r w:rsidRPr="00C628C8">
        <w:rPr>
          <w:rtl/>
        </w:rPr>
        <w:t xml:space="preserve"> الخصائص التقنية والتشغيلية المناسبة، وتحديد التقاسم والتوافق مع الأنظمة الأخرى في </w:t>
      </w:r>
      <w:r w:rsidR="00983298">
        <w:rPr>
          <w:rFonts w:hint="cs"/>
          <w:rtl/>
        </w:rPr>
        <w:t>مدى</w:t>
      </w:r>
      <w:r w:rsidRPr="00C628C8">
        <w:rPr>
          <w:rtl/>
        </w:rPr>
        <w:t xml:space="preserve"> </w:t>
      </w:r>
      <w:r w:rsidR="00983298">
        <w:rPr>
          <w:rFonts w:hint="cs"/>
          <w:rtl/>
        </w:rPr>
        <w:t>التردد</w:t>
      </w:r>
      <w:r w:rsidRPr="00C628C8">
        <w:rPr>
          <w:rtl/>
        </w:rPr>
        <w:t xml:space="preserve"> من 231,5 إلى 700</w:t>
      </w:r>
      <w:r w:rsidR="00983298">
        <w:t>GHz </w:t>
      </w:r>
      <w:r w:rsidR="00983298">
        <w:rPr>
          <w:rFonts w:hint="cs"/>
          <w:rtl/>
          <w:lang w:val="fr-CH" w:bidi="ar-SY"/>
        </w:rPr>
        <w:t>.</w:t>
      </w:r>
      <w:r w:rsidRPr="00C628C8">
        <w:rPr>
          <w:rtl/>
        </w:rPr>
        <w:t xml:space="preserve"> </w:t>
      </w:r>
      <w:r w:rsidR="00983298">
        <w:rPr>
          <w:rFonts w:hint="cs"/>
          <w:rtl/>
        </w:rPr>
        <w:t>وبما أنه لم توضع أي</w:t>
      </w:r>
      <w:r w:rsidRPr="00C628C8">
        <w:rPr>
          <w:rtl/>
        </w:rPr>
        <w:t xml:space="preserve"> خصائص تقنية وتشغيلية </w:t>
      </w:r>
      <w:r w:rsidR="00983298">
        <w:rPr>
          <w:rFonts w:hint="cs"/>
          <w:rtl/>
        </w:rPr>
        <w:t>ولم تُجرَ</w:t>
      </w:r>
      <w:r w:rsidRPr="00C628C8">
        <w:rPr>
          <w:rtl/>
        </w:rPr>
        <w:t xml:space="preserve"> أي دراسات أولية لقطاع الاتصالات الراديوية حتى </w:t>
      </w:r>
      <w:r w:rsidR="00983298">
        <w:rPr>
          <w:rFonts w:hint="cs"/>
          <w:rtl/>
        </w:rPr>
        <w:t>هذا اليوم</w:t>
      </w:r>
      <w:r w:rsidRPr="00C628C8">
        <w:rPr>
          <w:rtl/>
        </w:rPr>
        <w:t xml:space="preserve">، </w:t>
      </w:r>
      <w:r w:rsidR="00983298">
        <w:rPr>
          <w:rFonts w:hint="cs"/>
          <w:rtl/>
        </w:rPr>
        <w:t>فإن</w:t>
      </w:r>
      <w:r w:rsidRPr="00C628C8">
        <w:rPr>
          <w:rtl/>
        </w:rPr>
        <w:t xml:space="preserve"> كندا والولايات المتحدة </w:t>
      </w:r>
      <w:r w:rsidR="00983298">
        <w:rPr>
          <w:rFonts w:hint="cs"/>
          <w:rtl/>
        </w:rPr>
        <w:t>تقترح الكفّ عن</w:t>
      </w:r>
      <w:r w:rsidRPr="00C628C8">
        <w:rPr>
          <w:rtl/>
        </w:rPr>
        <w:t xml:space="preserve"> النظر في البند 1.2 من جدول </w:t>
      </w:r>
      <w:r w:rsidR="00983298">
        <w:rPr>
          <w:rFonts w:hint="cs"/>
          <w:rtl/>
        </w:rPr>
        <w:t>ال</w:t>
      </w:r>
      <w:r w:rsidRPr="00C628C8">
        <w:rPr>
          <w:rtl/>
        </w:rPr>
        <w:t xml:space="preserve">أعمال </w:t>
      </w:r>
      <w:r w:rsidR="00983298">
        <w:rPr>
          <w:rFonts w:hint="cs"/>
          <w:rtl/>
        </w:rPr>
        <w:t>التمهيدي ل</w:t>
      </w:r>
      <w:r w:rsidRPr="00C628C8">
        <w:rPr>
          <w:rtl/>
        </w:rPr>
        <w:t xml:space="preserve">لمؤتمر </w:t>
      </w:r>
      <w:r w:rsidRPr="00C628C8">
        <w:t>WRC 27</w:t>
      </w:r>
      <w:r w:rsidRPr="00C628C8">
        <w:rPr>
          <w:rtl/>
        </w:rPr>
        <w:t xml:space="preserve"> على النحو التالي:</w:t>
      </w:r>
    </w:p>
    <w:p w14:paraId="46394621" w14:textId="77777777" w:rsidR="00A56B98" w:rsidRPr="00B269D2" w:rsidRDefault="00A56B98" w:rsidP="00A56B98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60C967A8" w14:textId="77777777" w:rsidR="004C67F1" w:rsidRDefault="004C67F1" w:rsidP="00FD7BB8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1B849C7D" w14:textId="77777777" w:rsidR="00D5017C" w:rsidRDefault="005116A6">
      <w:pPr>
        <w:pStyle w:val="Proposal"/>
      </w:pPr>
      <w:r>
        <w:lastRenderedPageBreak/>
        <w:t>SUP</w:t>
      </w:r>
      <w:r>
        <w:tab/>
        <w:t>CAN/USA/139/1</w:t>
      </w:r>
    </w:p>
    <w:p w14:paraId="49742DFE" w14:textId="77777777" w:rsidR="00FC0E83" w:rsidRPr="00FE2CFF" w:rsidRDefault="005116A6" w:rsidP="008A1801">
      <w:pPr>
        <w:pStyle w:val="ResNo"/>
      </w:pPr>
      <w:bookmarkStart w:id="1" w:name="_Toc36038433"/>
      <w:bookmarkStart w:id="2" w:name="_Toc40075929"/>
      <w:r w:rsidRPr="00FE2CFF">
        <w:rPr>
          <w:rFonts w:hint="cs"/>
          <w:rtl/>
        </w:rPr>
        <w:t xml:space="preserve">القرار </w:t>
      </w:r>
      <w:r w:rsidRPr="00FE2CFF">
        <w:rPr>
          <w:rStyle w:val="href"/>
        </w:rPr>
        <w:t>663</w:t>
      </w:r>
      <w:r w:rsidRPr="00FE2CFF">
        <w:rPr>
          <w:lang w:val="en-GB"/>
        </w:rPr>
        <w:t xml:space="preserve"> (WRC-19)</w:t>
      </w:r>
      <w:bookmarkEnd w:id="1"/>
      <w:bookmarkEnd w:id="2"/>
    </w:p>
    <w:p w14:paraId="0915472A" w14:textId="77777777" w:rsidR="00FC0E83" w:rsidRPr="00CC743F" w:rsidRDefault="005116A6" w:rsidP="008A1801">
      <w:pPr>
        <w:pStyle w:val="Restitle"/>
        <w:rPr>
          <w:lang w:val="fr-FR"/>
        </w:rPr>
      </w:pPr>
      <w:bookmarkStart w:id="3" w:name="_Toc36038434"/>
      <w:bookmarkStart w:id="4" w:name="_Toc40075930"/>
      <w:r w:rsidRPr="00CC743F">
        <w:rPr>
          <w:rFonts w:hint="cs"/>
          <w:rtl/>
        </w:rPr>
        <w:t xml:space="preserve">توزيعات </w:t>
      </w:r>
      <w:r w:rsidRPr="00CC743F">
        <w:rPr>
          <w:rFonts w:hint="cs"/>
          <w:rtl/>
          <w:lang w:bidi="ar"/>
        </w:rPr>
        <w:t xml:space="preserve">جديدة لخدمة التحديد الراديوي للموقع في نطاق التردد </w:t>
      </w:r>
      <w:r w:rsidRPr="00CC743F">
        <w:rPr>
          <w:lang w:bidi="ar"/>
        </w:rPr>
        <w:t>GHz 275-231,5</w:t>
      </w:r>
      <w:r w:rsidRPr="00CC743F">
        <w:rPr>
          <w:rFonts w:hint="cs"/>
          <w:rtl/>
          <w:lang w:bidi="ar"/>
        </w:rPr>
        <w:t xml:space="preserve">، </w:t>
      </w:r>
      <w:r w:rsidRPr="00CC743F">
        <w:rPr>
          <w:lang w:bidi="ar"/>
        </w:rPr>
        <w:br/>
      </w:r>
      <w:r w:rsidRPr="00CC743F">
        <w:rPr>
          <w:rFonts w:hint="cs"/>
          <w:rtl/>
          <w:lang w:bidi="ar"/>
        </w:rPr>
        <w:t>وتحديد جديد لتطبيقات خدمة التحديد الراديوي للموقع في</w:t>
      </w:r>
      <w:r w:rsidRPr="00CC743F">
        <w:rPr>
          <w:rFonts w:hint="eastAsia"/>
          <w:rtl/>
          <w:lang w:bidi="ar"/>
        </w:rPr>
        <w:t> </w:t>
      </w:r>
      <w:r w:rsidRPr="00CC743F">
        <w:rPr>
          <w:rFonts w:hint="cs"/>
          <w:rtl/>
          <w:lang w:bidi="ar"/>
        </w:rPr>
        <w:t>نطاقات التردد</w:t>
      </w:r>
      <w:r w:rsidRPr="00CC743F">
        <w:rPr>
          <w:rtl/>
          <w:lang w:bidi="ar"/>
        </w:rPr>
        <w:br/>
      </w:r>
      <w:r w:rsidRPr="00CC743F">
        <w:rPr>
          <w:rFonts w:hint="cs"/>
          <w:rtl/>
          <w:lang w:bidi="ar"/>
        </w:rPr>
        <w:t xml:space="preserve">في </w:t>
      </w:r>
      <w:r w:rsidRPr="00CC743F">
        <w:rPr>
          <w:rFonts w:hint="eastAsia"/>
          <w:rtl/>
          <w:lang w:bidi="ar"/>
        </w:rPr>
        <w:t>مدى</w:t>
      </w:r>
      <w:r w:rsidRPr="00CC743F">
        <w:rPr>
          <w:rtl/>
          <w:lang w:bidi="ar"/>
        </w:rPr>
        <w:t xml:space="preserve"> </w:t>
      </w:r>
      <w:r w:rsidRPr="00CC743F">
        <w:rPr>
          <w:rFonts w:hint="eastAsia"/>
          <w:rtl/>
          <w:lang w:bidi="ar"/>
        </w:rPr>
        <w:t>التردد</w:t>
      </w:r>
      <w:r w:rsidRPr="00CC743F">
        <w:rPr>
          <w:rFonts w:hint="cs"/>
          <w:rtl/>
          <w:lang w:bidi="ar"/>
        </w:rPr>
        <w:t xml:space="preserve"> </w:t>
      </w:r>
      <w:r w:rsidRPr="00CC743F">
        <w:t>GHz </w:t>
      </w:r>
      <w:r w:rsidRPr="00CC743F">
        <w:rPr>
          <w:rFonts w:hint="cs"/>
          <w:lang w:val="en-GB"/>
        </w:rPr>
        <w:t>700-27</w:t>
      </w:r>
      <w:r w:rsidRPr="00CC743F">
        <w:rPr>
          <w:lang w:val="fr-FR"/>
        </w:rPr>
        <w:t>5</w:t>
      </w:r>
      <w:bookmarkEnd w:id="3"/>
      <w:bookmarkEnd w:id="4"/>
    </w:p>
    <w:p w14:paraId="108FFDBE" w14:textId="26A72406" w:rsidR="00D5017C" w:rsidRDefault="005116A6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C628C8" w:rsidRPr="00C628C8">
        <w:rPr>
          <w:b w:val="0"/>
          <w:bCs w:val="0"/>
          <w:rtl/>
        </w:rPr>
        <w:t xml:space="preserve">نتيجة لعدم إدراج الفقرة 1.2 من </w:t>
      </w:r>
      <w:r w:rsidR="00C628C8" w:rsidRPr="00A56B98">
        <w:rPr>
          <w:b w:val="0"/>
          <w:bCs w:val="0"/>
          <w:rtl/>
        </w:rPr>
        <w:t>"</w:t>
      </w:r>
      <w:r w:rsidR="00C628C8" w:rsidRPr="00C628C8">
        <w:rPr>
          <w:b w:val="0"/>
          <w:bCs w:val="0"/>
          <w:i/>
          <w:iCs/>
          <w:rtl/>
        </w:rPr>
        <w:t>يقرر</w:t>
      </w:r>
      <w:r w:rsidR="00C628C8" w:rsidRPr="00A56B98">
        <w:rPr>
          <w:b w:val="0"/>
          <w:bCs w:val="0"/>
          <w:rtl/>
        </w:rPr>
        <w:t>"</w:t>
      </w:r>
      <w:r w:rsidR="00C628C8" w:rsidRPr="00C628C8">
        <w:rPr>
          <w:b w:val="0"/>
          <w:bCs w:val="0"/>
          <w:rtl/>
        </w:rPr>
        <w:t xml:space="preserve"> من جدول الأعمال </w:t>
      </w:r>
      <w:r w:rsidR="00C628C8">
        <w:rPr>
          <w:rFonts w:hint="cs"/>
          <w:b w:val="0"/>
          <w:bCs w:val="0"/>
          <w:rtl/>
          <w:lang w:bidi="ar-SY"/>
        </w:rPr>
        <w:t>التمهيدي</w:t>
      </w:r>
      <w:r w:rsidR="00C628C8" w:rsidRPr="00C628C8">
        <w:rPr>
          <w:b w:val="0"/>
          <w:bCs w:val="0"/>
          <w:rtl/>
        </w:rPr>
        <w:t xml:space="preserve"> للمؤتمر </w:t>
      </w:r>
      <w:r w:rsidR="00C628C8" w:rsidRPr="00C628C8">
        <w:rPr>
          <w:b w:val="0"/>
          <w:bCs w:val="0"/>
        </w:rPr>
        <w:t>WRC-27</w:t>
      </w:r>
      <w:r w:rsidR="00C628C8" w:rsidRPr="00C628C8">
        <w:rPr>
          <w:b w:val="0"/>
          <w:bCs w:val="0"/>
          <w:rtl/>
        </w:rPr>
        <w:t xml:space="preserve"> في جدول أعمال المؤتمر </w:t>
      </w:r>
      <w:r w:rsidR="00C628C8" w:rsidRPr="00C628C8">
        <w:rPr>
          <w:b w:val="0"/>
          <w:bCs w:val="0"/>
        </w:rPr>
        <w:t>WRC-27</w:t>
      </w:r>
      <w:r w:rsidR="00C628C8" w:rsidRPr="00C628C8">
        <w:rPr>
          <w:b w:val="0"/>
          <w:bCs w:val="0"/>
          <w:rtl/>
        </w:rPr>
        <w:t xml:space="preserve"> الذي اعتمده </w:t>
      </w:r>
      <w:r w:rsidR="00C628C8" w:rsidRPr="00C628C8">
        <w:rPr>
          <w:b w:val="0"/>
          <w:bCs w:val="0"/>
        </w:rPr>
        <w:t>WRC-23</w:t>
      </w:r>
      <w:r w:rsidR="00C628C8" w:rsidRPr="00C628C8">
        <w:rPr>
          <w:b w:val="0"/>
          <w:bCs w:val="0"/>
          <w:rtl/>
        </w:rPr>
        <w:t>.</w:t>
      </w:r>
    </w:p>
    <w:p w14:paraId="39D96858" w14:textId="15F0AE0C" w:rsidR="00744DE9" w:rsidRPr="00744DE9" w:rsidRDefault="00744DE9" w:rsidP="00744DE9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</w:t>
      </w:r>
    </w:p>
    <w:sectPr w:rsidR="00744DE9" w:rsidRPr="00744DE9">
      <w:headerReference w:type="even" r:id="rId15"/>
      <w:footerReference w:type="even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3B2EF" w14:textId="77777777" w:rsidR="00317FE8" w:rsidRDefault="00317FE8" w:rsidP="002919E1">
      <w:r>
        <w:separator/>
      </w:r>
    </w:p>
    <w:p w14:paraId="69344F91" w14:textId="77777777" w:rsidR="00317FE8" w:rsidRDefault="00317FE8" w:rsidP="002919E1"/>
    <w:p w14:paraId="16DD583A" w14:textId="77777777" w:rsidR="00317FE8" w:rsidRDefault="00317FE8" w:rsidP="002919E1"/>
    <w:p w14:paraId="448E67C9" w14:textId="77777777" w:rsidR="00317FE8" w:rsidRDefault="00317FE8"/>
    <w:p w14:paraId="26306522" w14:textId="77777777" w:rsidR="00317FE8" w:rsidRDefault="00317FE8"/>
  </w:endnote>
  <w:endnote w:type="continuationSeparator" w:id="0">
    <w:p w14:paraId="2B5D68C0" w14:textId="77777777" w:rsidR="00317FE8" w:rsidRDefault="00317FE8" w:rsidP="002919E1">
      <w:r>
        <w:continuationSeparator/>
      </w:r>
    </w:p>
    <w:p w14:paraId="39886258" w14:textId="77777777" w:rsidR="00317FE8" w:rsidRDefault="00317FE8" w:rsidP="002919E1"/>
    <w:p w14:paraId="4031A695" w14:textId="77777777" w:rsidR="00317FE8" w:rsidRDefault="00317FE8" w:rsidP="002919E1"/>
    <w:p w14:paraId="4BD06916" w14:textId="77777777" w:rsidR="00317FE8" w:rsidRDefault="00317FE8"/>
    <w:p w14:paraId="155C4B5C" w14:textId="77777777" w:rsidR="00317FE8" w:rsidRDefault="00317F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5BFE" w14:textId="31108A09" w:rsidR="00D63A6F" w:rsidRPr="00C628C8" w:rsidRDefault="00D63A6F" w:rsidP="004F1101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C628C8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53274">
      <w:rPr>
        <w:noProof/>
        <w:sz w:val="16"/>
        <w:szCs w:val="16"/>
        <w:lang w:val="pt-PT"/>
      </w:rPr>
      <w:t>P:\ARA\ITU-R\CONF-R\CMR23\000\139A.docx</w:t>
    </w:r>
    <w:r w:rsidRPr="0026373E">
      <w:rPr>
        <w:sz w:val="16"/>
        <w:szCs w:val="16"/>
      </w:rPr>
      <w:fldChar w:fldCharType="end"/>
    </w:r>
    <w:r w:rsidRPr="00C628C8">
      <w:rPr>
        <w:sz w:val="16"/>
        <w:szCs w:val="16"/>
        <w:lang w:val="pt-PT"/>
      </w:rPr>
      <w:t xml:space="preserve">   (</w:t>
    </w:r>
    <w:r w:rsidR="004F1101" w:rsidRPr="00C628C8">
      <w:rPr>
        <w:sz w:val="16"/>
        <w:szCs w:val="16"/>
        <w:lang w:val="pt-PT"/>
      </w:rPr>
      <w:t>530347</w:t>
    </w:r>
    <w:r w:rsidRPr="00C628C8">
      <w:rPr>
        <w:sz w:val="16"/>
        <w:szCs w:val="16"/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F79B3" w14:textId="4A5EFC3A" w:rsidR="004F1101" w:rsidRPr="00C628C8" w:rsidRDefault="004F1101" w:rsidP="004F1101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C628C8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53274">
      <w:rPr>
        <w:noProof/>
        <w:sz w:val="16"/>
        <w:szCs w:val="16"/>
        <w:lang w:val="pt-PT"/>
      </w:rPr>
      <w:t>P:\ARA\ITU-R\CONF-R\CMR23\000\139A.docx</w:t>
    </w:r>
    <w:r w:rsidRPr="0026373E">
      <w:rPr>
        <w:sz w:val="16"/>
        <w:szCs w:val="16"/>
      </w:rPr>
      <w:fldChar w:fldCharType="end"/>
    </w:r>
    <w:r w:rsidRPr="00C628C8">
      <w:rPr>
        <w:sz w:val="16"/>
        <w:szCs w:val="16"/>
        <w:lang w:val="pt-PT"/>
      </w:rPr>
      <w:t xml:space="preserve">   (530347)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8EB20" w14:textId="77777777" w:rsidR="00317FE8" w:rsidRDefault="00317FE8" w:rsidP="00C45930">
      <w:r>
        <w:separator/>
      </w:r>
    </w:p>
  </w:footnote>
  <w:footnote w:type="continuationSeparator" w:id="0">
    <w:p w14:paraId="1AF2AD03" w14:textId="77777777" w:rsidR="00317FE8" w:rsidRDefault="00317FE8" w:rsidP="002919E1">
      <w:r>
        <w:continuationSeparator/>
      </w:r>
    </w:p>
    <w:p w14:paraId="6AE4009D" w14:textId="77777777" w:rsidR="00317FE8" w:rsidRDefault="00317FE8" w:rsidP="002919E1"/>
    <w:p w14:paraId="47F86D89" w14:textId="77777777" w:rsidR="00317FE8" w:rsidRDefault="00317FE8" w:rsidP="002919E1"/>
    <w:p w14:paraId="208F0D31" w14:textId="77777777" w:rsidR="00317FE8" w:rsidRDefault="00317FE8"/>
    <w:p w14:paraId="2AF9E446" w14:textId="77777777" w:rsidR="00317FE8" w:rsidRDefault="00317F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B8F0" w14:textId="4C330454" w:rsidR="00D63A6F" w:rsidRPr="004F1101" w:rsidRDefault="005E5F16" w:rsidP="004F1101">
    <w:pPr>
      <w:bidi w:val="0"/>
      <w:spacing w:after="360" w:line="240" w:lineRule="auto"/>
      <w:jc w:val="center"/>
      <w:rPr>
        <w:sz w:val="20"/>
        <w:szCs w:val="20"/>
      </w:rPr>
    </w:pPr>
    <w:r w:rsidRPr="004F1101">
      <w:rPr>
        <w:rStyle w:val="PageNumber"/>
        <w:rFonts w:ascii="Dubai" w:hAnsi="Dubai" w:cs="Dubai"/>
      </w:rPr>
      <w:fldChar w:fldCharType="begin"/>
    </w:r>
    <w:r w:rsidRPr="004F1101">
      <w:rPr>
        <w:rStyle w:val="PageNumber"/>
        <w:rFonts w:ascii="Dubai" w:hAnsi="Dubai" w:cs="Dubai"/>
      </w:rPr>
      <w:instrText xml:space="preserve"> PAGE </w:instrText>
    </w:r>
    <w:r w:rsidRPr="004F1101">
      <w:rPr>
        <w:rStyle w:val="PageNumber"/>
        <w:rFonts w:ascii="Dubai" w:hAnsi="Dubai" w:cs="Dubai"/>
      </w:rPr>
      <w:fldChar w:fldCharType="separate"/>
    </w:r>
    <w:r w:rsidRPr="004F1101">
      <w:rPr>
        <w:rStyle w:val="PageNumber"/>
        <w:rFonts w:ascii="Dubai" w:hAnsi="Dubai" w:cs="Dubai"/>
      </w:rPr>
      <w:t>2</w:t>
    </w:r>
    <w:r w:rsidRPr="004F1101">
      <w:rPr>
        <w:rStyle w:val="PageNumber"/>
        <w:rFonts w:ascii="Dubai" w:hAnsi="Dubai" w:cs="Dubai"/>
      </w:rPr>
      <w:fldChar w:fldCharType="end"/>
    </w:r>
    <w:r w:rsidRPr="004F1101">
      <w:rPr>
        <w:rStyle w:val="PageNumber"/>
        <w:rFonts w:ascii="Dubai" w:hAnsi="Dubai" w:cs="Dubai"/>
        <w:rtl/>
      </w:rPr>
      <w:br/>
    </w:r>
    <w:r w:rsidR="004F5F29" w:rsidRPr="004F1101">
      <w:rPr>
        <w:rStyle w:val="PageNumber"/>
        <w:rFonts w:ascii="Dubai" w:hAnsi="Dubai" w:cs="Dubai"/>
      </w:rPr>
      <w:t>WRC</w:t>
    </w:r>
    <w:r w:rsidRPr="004F1101">
      <w:rPr>
        <w:rStyle w:val="PageNumber"/>
        <w:rFonts w:ascii="Dubai" w:hAnsi="Dubai" w:cs="Dubai"/>
      </w:rPr>
      <w:t>23/139-A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5455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DE94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E25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70E5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85739483">
    <w:abstractNumId w:val="9"/>
  </w:num>
  <w:num w:numId="2" w16cid:durableId="1240167733">
    <w:abstractNumId w:val="13"/>
  </w:num>
  <w:num w:numId="3" w16cid:durableId="1064455155">
    <w:abstractNumId w:val="11"/>
  </w:num>
  <w:num w:numId="4" w16cid:durableId="1478498070">
    <w:abstractNumId w:val="14"/>
  </w:num>
  <w:num w:numId="5" w16cid:durableId="1541280674">
    <w:abstractNumId w:val="7"/>
  </w:num>
  <w:num w:numId="6" w16cid:durableId="38090936">
    <w:abstractNumId w:val="6"/>
  </w:num>
  <w:num w:numId="7" w16cid:durableId="1420177919">
    <w:abstractNumId w:val="5"/>
  </w:num>
  <w:num w:numId="8" w16cid:durableId="1119907850">
    <w:abstractNumId w:val="4"/>
  </w:num>
  <w:num w:numId="9" w16cid:durableId="1717385530">
    <w:abstractNumId w:val="8"/>
  </w:num>
  <w:num w:numId="10" w16cid:durableId="1470628405">
    <w:abstractNumId w:val="3"/>
  </w:num>
  <w:num w:numId="11" w16cid:durableId="1094593992">
    <w:abstractNumId w:val="2"/>
  </w:num>
  <w:num w:numId="12" w16cid:durableId="523248815">
    <w:abstractNumId w:val="1"/>
  </w:num>
  <w:num w:numId="13" w16cid:durableId="2111779637">
    <w:abstractNumId w:val="0"/>
  </w:num>
  <w:num w:numId="14" w16cid:durableId="652032295">
    <w:abstractNumId w:val="10"/>
  </w:num>
  <w:num w:numId="15" w16cid:durableId="105076226">
    <w:abstractNumId w:val="15"/>
  </w:num>
  <w:num w:numId="16" w16cid:durableId="55472922">
    <w:abstractNumId w:val="12"/>
  </w:num>
  <w:num w:numId="17" w16cid:durableId="1987389620">
    <w:abstractNumId w:val="6"/>
  </w:num>
  <w:num w:numId="18" w16cid:durableId="1740052035">
    <w:abstractNumId w:val="5"/>
  </w:num>
  <w:num w:numId="19" w16cid:durableId="775751621">
    <w:abstractNumId w:val="3"/>
  </w:num>
  <w:num w:numId="20" w16cid:durableId="1086072181">
    <w:abstractNumId w:val="2"/>
  </w:num>
  <w:num w:numId="21" w16cid:durableId="349379899">
    <w:abstractNumId w:val="6"/>
  </w:num>
  <w:num w:numId="22" w16cid:durableId="683171584">
    <w:abstractNumId w:val="5"/>
  </w:num>
  <w:num w:numId="23" w16cid:durableId="1819347506">
    <w:abstractNumId w:val="3"/>
  </w:num>
  <w:num w:numId="24" w16cid:durableId="697195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17FE8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1101"/>
    <w:rsid w:val="004F4785"/>
    <w:rsid w:val="004F5F29"/>
    <w:rsid w:val="00505B26"/>
    <w:rsid w:val="00505FCA"/>
    <w:rsid w:val="00506CDD"/>
    <w:rsid w:val="00510C2D"/>
    <w:rsid w:val="005113D4"/>
    <w:rsid w:val="005116A6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44DE9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3298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56B98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87F41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4E2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628C8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017C"/>
    <w:rsid w:val="00D51132"/>
    <w:rsid w:val="00D51BB8"/>
    <w:rsid w:val="00D525F5"/>
    <w:rsid w:val="00D53274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0407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0E83"/>
    <w:rsid w:val="00FC17A2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B9E880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5144116-de1f-4b29-8104-e8baed05a3ab">DPM</DPM_x0020_Author>
    <DPM_x0020_File_x0020_name xmlns="25144116-de1f-4b29-8104-e8baed05a3ab">R23-WRC23-C-0139!!MSW-A</DPM_x0020_File_x0020_name>
    <DPM_x0020_Version xmlns="25144116-de1f-4b29-8104-e8baed05a3ab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5144116-de1f-4b29-8104-e8baed05a3ab" targetNamespace="http://schemas.microsoft.com/office/2006/metadata/properties" ma:root="true" ma:fieldsID="d41af5c836d734370eb92e7ee5f83852" ns2:_="" ns3:_="">
    <xsd:import namespace="996b2e75-67fd-4955-a3b0-5ab9934cb50b"/>
    <xsd:import namespace="25144116-de1f-4b29-8104-e8baed05a3a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44116-de1f-4b29-8104-e8baed05a3a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5144116-de1f-4b29-8104-e8baed05a3ab"/>
  </ds:schemaRefs>
</ds:datastoreItem>
</file>

<file path=customXml/itemProps4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5144116-de1f-4b29-8104-e8baed05a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R16-WRC19-C-!MSW-A</vt:lpstr>
    </vt:vector>
  </TitlesOfParts>
  <Manager>General Secretariat - Pool</Manager>
  <Company>International Telecommunication Union (ITU)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R23-WRC23-C-0139!!MSW-A</dc:title>
  <dc:creator>Documents Proposals Manager (DPM)</dc:creator>
  <cp:keywords>DPM_v2023.11.6.1_prod</cp:keywords>
  <cp:lastModifiedBy>Arabic-AAM</cp:lastModifiedBy>
  <cp:revision>4</cp:revision>
  <cp:lastPrinted>2020-08-11T14:28:00Z</cp:lastPrinted>
  <dcterms:created xsi:type="dcterms:W3CDTF">2023-11-17T14:22:00Z</dcterms:created>
  <dcterms:modified xsi:type="dcterms:W3CDTF">2023-11-17T15:19:00Z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