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E49B28F" w14:textId="77777777" w:rsidTr="0080079E">
        <w:trPr>
          <w:cantSplit/>
        </w:trPr>
        <w:tc>
          <w:tcPr>
            <w:tcW w:w="1418" w:type="dxa"/>
            <w:vAlign w:val="center"/>
          </w:tcPr>
          <w:p w14:paraId="37066A43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2A4BAE" wp14:editId="5DA643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C2758C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C853B8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E7B57C9" wp14:editId="6CE39DB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EA56D4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C54163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0E4A54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845BB0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5E50EC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5371E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53FA016" w14:textId="77777777" w:rsidTr="0090121B">
        <w:trPr>
          <w:cantSplit/>
        </w:trPr>
        <w:tc>
          <w:tcPr>
            <w:tcW w:w="6911" w:type="dxa"/>
            <w:gridSpan w:val="2"/>
          </w:tcPr>
          <w:p w14:paraId="0623FA98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D515BE8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135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365A51ED" w14:textId="77777777" w:rsidTr="0090121B">
        <w:trPr>
          <w:cantSplit/>
        </w:trPr>
        <w:tc>
          <w:tcPr>
            <w:tcW w:w="6911" w:type="dxa"/>
            <w:gridSpan w:val="2"/>
          </w:tcPr>
          <w:p w14:paraId="14ED267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8E8643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08B48567" w14:textId="77777777" w:rsidTr="0090121B">
        <w:trPr>
          <w:cantSplit/>
        </w:trPr>
        <w:tc>
          <w:tcPr>
            <w:tcW w:w="6911" w:type="dxa"/>
            <w:gridSpan w:val="2"/>
          </w:tcPr>
          <w:p w14:paraId="4205BBC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10284F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76CE7BF7" w14:textId="77777777" w:rsidTr="006744FC">
        <w:trPr>
          <w:cantSplit/>
        </w:trPr>
        <w:tc>
          <w:tcPr>
            <w:tcW w:w="10031" w:type="dxa"/>
            <w:gridSpan w:val="4"/>
          </w:tcPr>
          <w:p w14:paraId="106E696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6E38AC2" w14:textId="77777777" w:rsidTr="0050008E">
        <w:trPr>
          <w:cantSplit/>
        </w:trPr>
        <w:tc>
          <w:tcPr>
            <w:tcW w:w="10031" w:type="dxa"/>
            <w:gridSpan w:val="4"/>
          </w:tcPr>
          <w:p w14:paraId="6A76B3FB" w14:textId="77777777" w:rsidR="000A5B9A" w:rsidRPr="00FC1C83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C1C83">
              <w:rPr>
                <w:lang w:val="es-ES"/>
              </w:rPr>
              <w:t>Singapur (República de)/Tonga (Reino de)</w:t>
            </w:r>
          </w:p>
        </w:tc>
      </w:tr>
      <w:tr w:rsidR="000A5B9A" w:rsidRPr="00D42D4B" w14:paraId="71B93EFF" w14:textId="77777777" w:rsidTr="0050008E">
        <w:trPr>
          <w:cantSplit/>
        </w:trPr>
        <w:tc>
          <w:tcPr>
            <w:tcW w:w="10031" w:type="dxa"/>
            <w:gridSpan w:val="4"/>
          </w:tcPr>
          <w:p w14:paraId="424F27DE" w14:textId="61F5B731" w:rsidR="000A5B9A" w:rsidRPr="00D42D4B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42D4B">
              <w:rPr>
                <w:lang w:val="es-ES"/>
              </w:rPr>
              <w:t>PROP</w:t>
            </w:r>
            <w:r w:rsidR="00D42D4B" w:rsidRPr="00D42D4B">
              <w:rPr>
                <w:lang w:val="es-ES"/>
              </w:rPr>
              <w:t>uestas para los trabajos de la conferenci</w:t>
            </w:r>
            <w:r w:rsidR="00D42D4B">
              <w:rPr>
                <w:lang w:val="es-ES"/>
              </w:rPr>
              <w:t>a</w:t>
            </w:r>
          </w:p>
        </w:tc>
      </w:tr>
      <w:tr w:rsidR="000A5B9A" w:rsidRPr="00D42D4B" w14:paraId="6251A079" w14:textId="77777777" w:rsidTr="0050008E">
        <w:trPr>
          <w:cantSplit/>
        </w:trPr>
        <w:tc>
          <w:tcPr>
            <w:tcW w:w="10031" w:type="dxa"/>
            <w:gridSpan w:val="4"/>
          </w:tcPr>
          <w:p w14:paraId="6AB2A42F" w14:textId="77777777" w:rsidR="000A5B9A" w:rsidRPr="00D42D4B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67E1A4DE" w14:textId="77777777" w:rsidTr="0050008E">
        <w:trPr>
          <w:cantSplit/>
        </w:trPr>
        <w:tc>
          <w:tcPr>
            <w:tcW w:w="10031" w:type="dxa"/>
            <w:gridSpan w:val="4"/>
          </w:tcPr>
          <w:p w14:paraId="7086366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567ED34E" w14:textId="77777777" w:rsidR="00FC1C83" w:rsidRPr="007E716E" w:rsidRDefault="00FC1C83" w:rsidP="00AF148C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49228F3E" w14:textId="474C319C" w:rsidR="00D42D4B" w:rsidRPr="00AF148C" w:rsidRDefault="00D42D4B" w:rsidP="00E2286F">
      <w:pPr>
        <w:pStyle w:val="Headingb"/>
        <w:rPr>
          <w:rFonts w:eastAsia="SimSun"/>
          <w:lang w:val="es-ES" w:eastAsia="zh-CN"/>
        </w:rPr>
      </w:pPr>
      <w:r w:rsidRPr="00E2286F">
        <w:rPr>
          <w:rFonts w:eastAsia="SimSun"/>
        </w:rPr>
        <w:t>Introducción</w:t>
      </w:r>
    </w:p>
    <w:p w14:paraId="4DDE27B2" w14:textId="30A00778" w:rsidR="00D42D4B" w:rsidRPr="00D42D4B" w:rsidRDefault="00D42D4B" w:rsidP="00D42D4B">
      <w:pPr>
        <w:rPr>
          <w:lang w:val="es-ES"/>
        </w:rPr>
      </w:pPr>
      <w:r w:rsidRPr="00D42D4B">
        <w:rPr>
          <w:lang w:val="es-ES"/>
        </w:rPr>
        <w:t>Singapur (República de) y Tonga (Reino de) están a favor de la inclusión del siguiente punto en el orden del día de la CMR</w:t>
      </w:r>
      <w:r w:rsidR="00E2286F">
        <w:rPr>
          <w:lang w:val="es-ES"/>
        </w:rPr>
        <w:t>-</w:t>
      </w:r>
      <w:r w:rsidRPr="00D42D4B">
        <w:rPr>
          <w:lang w:val="es-ES"/>
        </w:rPr>
        <w:t>27:</w:t>
      </w:r>
    </w:p>
    <w:p w14:paraId="5EA5C043" w14:textId="41B3E19B" w:rsidR="00D42D4B" w:rsidRDefault="00D42D4B" w:rsidP="00D42D4B">
      <w:pPr>
        <w:pStyle w:val="enumlev1"/>
        <w:numPr>
          <w:ilvl w:val="0"/>
          <w:numId w:val="12"/>
        </w:numPr>
        <w:rPr>
          <w:lang w:val="es-ES"/>
        </w:rPr>
      </w:pPr>
      <w:r w:rsidRPr="00D42D4B">
        <w:rPr>
          <w:lang w:val="es-ES"/>
        </w:rPr>
        <w:t>Estudios relacionados con el uso de la banda de frecuencias 51,4-52,4 GHz p</w:t>
      </w:r>
      <w:r>
        <w:rPr>
          <w:lang w:val="es-ES"/>
        </w:rPr>
        <w:t>ara habilitar el uso de estaciones terrenas de pasarela que comunican con sistemas no geoestacionarios del SFS (Tierra-espacio)</w:t>
      </w:r>
    </w:p>
    <w:p w14:paraId="7A0CA0C3" w14:textId="173B4BF3" w:rsidR="00D42D4B" w:rsidRPr="00D42D4B" w:rsidRDefault="00D42D4B" w:rsidP="00AF148C">
      <w:pPr>
        <w:pStyle w:val="Headingb"/>
        <w:rPr>
          <w:lang w:val="es-ES"/>
        </w:rPr>
      </w:pPr>
      <w:r>
        <w:rPr>
          <w:lang w:val="es-ES"/>
        </w:rPr>
        <w:t>Propuestas</w:t>
      </w:r>
    </w:p>
    <w:p w14:paraId="11D12622" w14:textId="77777777" w:rsidR="008750A8" w:rsidRPr="00D42D4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42D4B">
        <w:rPr>
          <w:lang w:val="es-ES"/>
        </w:rPr>
        <w:br w:type="page"/>
      </w:r>
    </w:p>
    <w:p w14:paraId="1FB098DB" w14:textId="77777777" w:rsidR="00C571B7" w:rsidRPr="00AF148C" w:rsidRDefault="00FC1C83">
      <w:pPr>
        <w:pStyle w:val="Proposal"/>
        <w:rPr>
          <w:lang w:val="es-ES"/>
        </w:rPr>
      </w:pPr>
      <w:r w:rsidRPr="00AF148C">
        <w:rPr>
          <w:lang w:val="es-ES"/>
        </w:rPr>
        <w:lastRenderedPageBreak/>
        <w:t>ADD</w:t>
      </w:r>
      <w:r w:rsidRPr="00AF148C">
        <w:rPr>
          <w:lang w:val="es-ES"/>
        </w:rPr>
        <w:tab/>
        <w:t>SNG/TON/135/1</w:t>
      </w:r>
    </w:p>
    <w:p w14:paraId="5874768B" w14:textId="25D916BC" w:rsidR="00D42D4B" w:rsidRPr="00D42D4B" w:rsidRDefault="00D42D4B" w:rsidP="00D42D4B">
      <w:pPr>
        <w:pStyle w:val="ResNo"/>
        <w:rPr>
          <w:lang w:val="es-ES"/>
        </w:rPr>
      </w:pPr>
      <w:bookmarkStart w:id="6" w:name="_Toc450048854"/>
      <w:r w:rsidRPr="00D42D4B">
        <w:rPr>
          <w:lang w:val="es-ES"/>
        </w:rPr>
        <w:t>RESOLUción [SNG/TON/AI 10_WRC-27_Agenda] (cmr</w:t>
      </w:r>
      <w:r w:rsidRPr="00D42D4B">
        <w:rPr>
          <w:lang w:val="es-ES"/>
        </w:rPr>
        <w:noBreakHyphen/>
        <w:t>23)</w:t>
      </w:r>
      <w:bookmarkEnd w:id="6"/>
    </w:p>
    <w:p w14:paraId="06F4A4D7" w14:textId="46ED062B" w:rsidR="00D42D4B" w:rsidRPr="00D42D4B" w:rsidRDefault="00D42D4B" w:rsidP="00D42D4B">
      <w:pPr>
        <w:pStyle w:val="Restitle"/>
        <w:rPr>
          <w:lang w:val="es-ES"/>
        </w:rPr>
      </w:pPr>
      <w:bookmarkStart w:id="7" w:name="_Toc319401924"/>
      <w:bookmarkStart w:id="8" w:name="_Toc450048855"/>
      <w:r w:rsidRPr="00D42D4B">
        <w:rPr>
          <w:lang w:val="es-ES"/>
        </w:rPr>
        <w:t xml:space="preserve">Orden del día de la </w:t>
      </w:r>
      <w:r>
        <w:rPr>
          <w:lang w:val="es-ES"/>
        </w:rPr>
        <w:t>Conferencia Mundial de Radiocomunicaciones de</w:t>
      </w:r>
      <w:r w:rsidRPr="00D42D4B">
        <w:rPr>
          <w:lang w:val="es-ES"/>
        </w:rPr>
        <w:t xml:space="preserve"> 2027</w:t>
      </w:r>
      <w:bookmarkEnd w:id="7"/>
      <w:bookmarkEnd w:id="8"/>
    </w:p>
    <w:p w14:paraId="7264869F" w14:textId="17C166F2" w:rsidR="00D42D4B" w:rsidRPr="00D42D4B" w:rsidRDefault="00D42D4B" w:rsidP="00D42D4B">
      <w:pPr>
        <w:pStyle w:val="Normalaftertitle"/>
        <w:rPr>
          <w:lang w:val="es-ES"/>
        </w:rPr>
      </w:pPr>
      <w:r w:rsidRPr="00D42D4B">
        <w:rPr>
          <w:lang w:val="es-ES"/>
        </w:rPr>
        <w:t>La Conferencia Mundial de Radiocomunicacio</w:t>
      </w:r>
      <w:r>
        <w:rPr>
          <w:lang w:val="es-ES"/>
        </w:rPr>
        <w:t>nes (Dubái</w:t>
      </w:r>
      <w:r w:rsidRPr="00D42D4B">
        <w:rPr>
          <w:lang w:val="es-ES"/>
        </w:rPr>
        <w:t>, 2023),</w:t>
      </w:r>
    </w:p>
    <w:p w14:paraId="158D7CA6" w14:textId="77777777" w:rsidR="00D42D4B" w:rsidRPr="00AF148C" w:rsidRDefault="00D42D4B" w:rsidP="00D42D4B">
      <w:pPr>
        <w:rPr>
          <w:lang w:val="es-ES"/>
        </w:rPr>
      </w:pPr>
      <w:r w:rsidRPr="00AF148C">
        <w:rPr>
          <w:lang w:val="es-ES"/>
        </w:rPr>
        <w:t>…</w:t>
      </w:r>
    </w:p>
    <w:p w14:paraId="6FF39B95" w14:textId="127AEBD4" w:rsidR="00D42D4B" w:rsidRPr="00AF148C" w:rsidRDefault="00D42D4B" w:rsidP="00D42D4B">
      <w:pPr>
        <w:pStyle w:val="Call"/>
        <w:rPr>
          <w:lang w:val="es-ES"/>
        </w:rPr>
      </w:pPr>
      <w:r w:rsidRPr="00AF148C">
        <w:rPr>
          <w:lang w:val="es-ES"/>
        </w:rPr>
        <w:t>resuelve</w:t>
      </w:r>
    </w:p>
    <w:p w14:paraId="6FA49491" w14:textId="0FA0AA87" w:rsidR="00D42D4B" w:rsidRPr="00D42D4B" w:rsidRDefault="00D42D4B" w:rsidP="00D42D4B">
      <w:pPr>
        <w:rPr>
          <w:lang w:val="es-ES"/>
        </w:rPr>
      </w:pPr>
      <w:r w:rsidRPr="00D42D4B">
        <w:rPr>
          <w:lang w:val="es-ES"/>
        </w:rPr>
        <w:t>recomendar al Consejo la celebración de una CMR en 2027 con una duración de cuatro semanas, con el siguiente orden del día:</w:t>
      </w:r>
    </w:p>
    <w:p w14:paraId="17E47F2E" w14:textId="46148C28" w:rsidR="00D42D4B" w:rsidRPr="00D42D4B" w:rsidRDefault="00D42D4B" w:rsidP="00D42D4B">
      <w:pPr>
        <w:rPr>
          <w:lang w:val="es-ES"/>
        </w:rPr>
      </w:pPr>
      <w:r w:rsidRPr="00D42D4B">
        <w:rPr>
          <w:lang w:val="es-ES"/>
        </w:rPr>
        <w:t>1</w:t>
      </w:r>
      <w:r w:rsidRPr="00D42D4B">
        <w:rPr>
          <w:lang w:val="es-ES"/>
        </w:rPr>
        <w:tab/>
        <w:t>sobre la base de las propuestas de</w:t>
      </w:r>
      <w:r>
        <w:rPr>
          <w:lang w:val="es-ES"/>
        </w:rPr>
        <w:t xml:space="preserve"> </w:t>
      </w:r>
      <w:r w:rsidRPr="00D42D4B">
        <w:rPr>
          <w:lang w:val="es-ES"/>
        </w:rPr>
        <w:t>las administraciones, teniendo en cuenta los re</w:t>
      </w:r>
      <w:r>
        <w:rPr>
          <w:lang w:val="es-ES"/>
        </w:rPr>
        <w:t>s</w:t>
      </w:r>
      <w:r w:rsidRPr="00D42D4B">
        <w:rPr>
          <w:lang w:val="es-ES"/>
        </w:rPr>
        <w:t>ultados de la CMR-23 y del Informe de la Reunión Preparatoria de la Conferencia, y con la debida consideración a las necesidades de servicios existentes y futuros en</w:t>
      </w:r>
      <w:r>
        <w:rPr>
          <w:lang w:val="es-ES"/>
        </w:rPr>
        <w:t xml:space="preserve"> las bandas de frecuencias en cuestión, considerar y tomar las medidas adecuadas con respecto a los siguientes temas</w:t>
      </w:r>
      <w:r w:rsidRPr="00D42D4B">
        <w:rPr>
          <w:lang w:val="es-ES"/>
        </w:rPr>
        <w:t>:</w:t>
      </w:r>
    </w:p>
    <w:p w14:paraId="33EFCEF8" w14:textId="77777777" w:rsidR="00D42D4B" w:rsidRPr="00AF148C" w:rsidRDefault="00D42D4B" w:rsidP="00D42D4B">
      <w:pPr>
        <w:rPr>
          <w:lang w:val="es-ES"/>
        </w:rPr>
      </w:pPr>
      <w:r w:rsidRPr="00AF148C">
        <w:rPr>
          <w:lang w:val="es-ES"/>
        </w:rPr>
        <w:t>...</w:t>
      </w:r>
    </w:p>
    <w:p w14:paraId="11E3CFF8" w14:textId="68F1D120" w:rsidR="00D42D4B" w:rsidRPr="00D42D4B" w:rsidRDefault="00D42D4B" w:rsidP="00D42D4B">
      <w:pPr>
        <w:rPr>
          <w:rFonts w:eastAsia="SimSun"/>
          <w:lang w:val="es-ES" w:eastAsia="zh-CN"/>
        </w:rPr>
      </w:pPr>
      <w:r w:rsidRPr="00D42D4B">
        <w:rPr>
          <w:szCs w:val="24"/>
          <w:lang w:val="es-ES" w:eastAsia="ko-KR"/>
        </w:rPr>
        <w:t>1.y</w:t>
      </w:r>
      <w:r w:rsidRPr="00D42D4B">
        <w:rPr>
          <w:szCs w:val="24"/>
          <w:lang w:val="es-ES" w:eastAsia="ko-KR"/>
        </w:rPr>
        <w:tab/>
        <w:t>estudios sobre la utilización de la banda de frecuencias</w:t>
      </w:r>
      <w:r w:rsidRPr="00D42D4B">
        <w:rPr>
          <w:rFonts w:eastAsia="SimSun"/>
          <w:lang w:val="es-ES" w:eastAsia="zh-CN"/>
        </w:rPr>
        <w:t xml:space="preserve"> 51,4-52,4 GHz para permitir el empleo de estaciones terrenas de pasarela que comunican con sistemas no </w:t>
      </w:r>
      <w:r>
        <w:rPr>
          <w:rFonts w:eastAsia="SimSun"/>
          <w:lang w:val="es-ES" w:eastAsia="zh-CN"/>
        </w:rPr>
        <w:t>geoestacionarios del SFS (Tierra-espacio) de conformidad con la Resolución</w:t>
      </w:r>
      <w:r w:rsidRPr="00D42D4B">
        <w:rPr>
          <w:rFonts w:eastAsia="SimSun"/>
          <w:lang w:val="es-ES" w:eastAsia="zh-CN"/>
        </w:rPr>
        <w:t xml:space="preserve"> </w:t>
      </w:r>
      <w:r w:rsidRPr="00D42D4B">
        <w:rPr>
          <w:rFonts w:eastAsia="SimSun"/>
          <w:b/>
          <w:bCs/>
          <w:lang w:val="es-ES" w:eastAsia="zh-CN"/>
        </w:rPr>
        <w:t>[SNG/TON/AI10/51.4-52.4 NGSO FSS] (C</w:t>
      </w:r>
      <w:r>
        <w:rPr>
          <w:rFonts w:eastAsia="SimSun"/>
          <w:b/>
          <w:bCs/>
          <w:lang w:val="es-ES" w:eastAsia="zh-CN"/>
        </w:rPr>
        <w:t>MR</w:t>
      </w:r>
      <w:r w:rsidRPr="00D42D4B">
        <w:rPr>
          <w:rFonts w:eastAsia="SimSun"/>
          <w:b/>
          <w:lang w:val="es-ES" w:eastAsia="zh-CN"/>
        </w:rPr>
        <w:t>-23)</w:t>
      </w:r>
      <w:r w:rsidRPr="00D42D4B">
        <w:rPr>
          <w:rFonts w:eastAsia="SimSun"/>
          <w:lang w:val="es-ES" w:eastAsia="zh-CN"/>
        </w:rPr>
        <w:t>;</w:t>
      </w:r>
    </w:p>
    <w:p w14:paraId="68A777BF" w14:textId="77777777" w:rsidR="00C571B7" w:rsidRPr="00D42D4B" w:rsidRDefault="00C571B7">
      <w:pPr>
        <w:pStyle w:val="Reasons"/>
        <w:rPr>
          <w:lang w:val="es-ES"/>
        </w:rPr>
      </w:pPr>
    </w:p>
    <w:p w14:paraId="7BA9CA1A" w14:textId="77777777" w:rsidR="00C571B7" w:rsidRPr="00AF148C" w:rsidRDefault="00FC1C83">
      <w:pPr>
        <w:pStyle w:val="Proposal"/>
        <w:rPr>
          <w:lang w:val="es-ES"/>
        </w:rPr>
      </w:pPr>
      <w:r w:rsidRPr="00AF148C">
        <w:rPr>
          <w:lang w:val="es-ES"/>
        </w:rPr>
        <w:t>ADD</w:t>
      </w:r>
      <w:r w:rsidRPr="00AF148C">
        <w:rPr>
          <w:lang w:val="es-ES"/>
        </w:rPr>
        <w:tab/>
        <w:t>SNG/TON/135/2</w:t>
      </w:r>
    </w:p>
    <w:p w14:paraId="3A48DE06" w14:textId="095A373B" w:rsidR="00D42D4B" w:rsidRPr="00BD3DEC" w:rsidRDefault="00D42D4B" w:rsidP="00D42D4B">
      <w:pPr>
        <w:pStyle w:val="ResNo"/>
      </w:pPr>
      <w:r w:rsidRPr="00BD3DEC">
        <w:t>Proyecto de nueva Resolución [</w:t>
      </w:r>
      <w:bookmarkStart w:id="9" w:name="_Hlk149752082"/>
      <w:r w:rsidRPr="00416BFD">
        <w:t>SNG/TON/AI10/</w:t>
      </w:r>
      <w:bookmarkEnd w:id="9"/>
      <w:r w:rsidRPr="00416BFD">
        <w:t>51.4-52.4 NGSO FSS</w:t>
      </w:r>
      <w:r w:rsidRPr="00BD3DEC">
        <w:t>] (CMR-23)</w:t>
      </w:r>
    </w:p>
    <w:p w14:paraId="187A504B" w14:textId="409BF51C" w:rsidR="00D42D4B" w:rsidRPr="00BD3DEC" w:rsidRDefault="00D42D4B" w:rsidP="00D42D4B">
      <w:pPr>
        <w:pStyle w:val="Restitle"/>
      </w:pPr>
      <w:r w:rsidRPr="00BD3DEC">
        <w:rPr>
          <w:rFonts w:ascii="Times New Roman"/>
        </w:rPr>
        <w:t xml:space="preserve">Estudios relacionados con el uso de la banda de frecuencias </w:t>
      </w:r>
      <w:r w:rsidRPr="0037428C">
        <w:rPr>
          <w:rFonts w:ascii="Times New Roman"/>
        </w:rPr>
        <w:t>51,</w:t>
      </w:r>
      <w:r w:rsidR="0037428C">
        <w:rPr>
          <w:rFonts w:ascii="Times New Roman"/>
        </w:rPr>
        <w:t>4</w:t>
      </w:r>
      <w:r w:rsidRPr="00BD3DEC">
        <w:rPr>
          <w:rFonts w:ascii="Times New Roman"/>
        </w:rPr>
        <w:t>-52,4 GHz</w:t>
      </w:r>
      <w:r w:rsidRPr="00BD3DEC">
        <w:rPr>
          <w:rFonts w:ascii="Times New Roman"/>
        </w:rPr>
        <w:br/>
        <w:t xml:space="preserve">para habilitar el uso de estaciones terrenas </w:t>
      </w:r>
      <w:r>
        <w:rPr>
          <w:rFonts w:ascii="Times New Roman"/>
        </w:rPr>
        <w:t>de pasarela que comunican con</w:t>
      </w:r>
      <w:r w:rsidRPr="00BD3DEC">
        <w:rPr>
          <w:rFonts w:ascii="Times New Roman"/>
        </w:rPr>
        <w:t xml:space="preserve"> sistemas no geoestacionarios del SFS (Tierra-espacio)</w:t>
      </w:r>
    </w:p>
    <w:p w14:paraId="276704FF" w14:textId="77777777" w:rsidR="00D42D4B" w:rsidRPr="00BD3DEC" w:rsidRDefault="00D42D4B" w:rsidP="00D42D4B">
      <w:pPr>
        <w:pStyle w:val="Normalaftertitle"/>
      </w:pPr>
      <w:r w:rsidRPr="00BD3DEC">
        <w:t>La Conferencia Mundial de Radiocomunicaciones (Dubái, 2023),</w:t>
      </w:r>
    </w:p>
    <w:p w14:paraId="36376382" w14:textId="77777777" w:rsidR="00D42D4B" w:rsidRPr="00BD3DEC" w:rsidRDefault="00D42D4B" w:rsidP="00D42D4B">
      <w:pPr>
        <w:pStyle w:val="Call"/>
        <w:rPr>
          <w:i w:val="0"/>
          <w:iCs/>
          <w:szCs w:val="24"/>
        </w:rPr>
      </w:pPr>
      <w:r w:rsidRPr="00BD3DEC">
        <w:rPr>
          <w:szCs w:val="24"/>
        </w:rPr>
        <w:t>considerando</w:t>
      </w:r>
    </w:p>
    <w:p w14:paraId="05F146E6" w14:textId="77777777" w:rsidR="00D42D4B" w:rsidRPr="00BD3DEC" w:rsidRDefault="00D42D4B" w:rsidP="00D42D4B">
      <w:pPr>
        <w:rPr>
          <w:szCs w:val="24"/>
        </w:rPr>
      </w:pPr>
      <w:r w:rsidRPr="00BD3DEC">
        <w:rPr>
          <w:i/>
          <w:szCs w:val="24"/>
        </w:rPr>
        <w:t>a)</w:t>
      </w:r>
      <w:r w:rsidRPr="00BD3DEC">
        <w:rPr>
          <w:szCs w:val="24"/>
        </w:rPr>
        <w:tab/>
        <w:t>que los sistemas de satélite se utilizan cada vez más para prestar servicios de banda ancha y pueden ayudar a habilitar el acceso universal a la banda ancha;</w:t>
      </w:r>
    </w:p>
    <w:p w14:paraId="1439A2C6" w14:textId="7A6DE4FA" w:rsidR="00D42D4B" w:rsidRPr="00BD3DEC" w:rsidRDefault="00D42D4B" w:rsidP="00D42D4B">
      <w:pPr>
        <w:rPr>
          <w:szCs w:val="24"/>
        </w:rPr>
      </w:pPr>
      <w:r w:rsidRPr="00BD3DEC">
        <w:rPr>
          <w:i/>
          <w:szCs w:val="24"/>
        </w:rPr>
        <w:t>b)</w:t>
      </w:r>
      <w:r w:rsidRPr="00BD3DEC">
        <w:rPr>
          <w:szCs w:val="24"/>
        </w:rPr>
        <w:tab/>
        <w:t xml:space="preserve">que las tecnologías de servicio fijo por satélite </w:t>
      </w:r>
      <w:r>
        <w:rPr>
          <w:szCs w:val="24"/>
        </w:rPr>
        <w:t xml:space="preserve">(SFS) </w:t>
      </w:r>
      <w:r w:rsidRPr="00BD3DEC">
        <w:rPr>
          <w:szCs w:val="24"/>
        </w:rPr>
        <w:t>de próxima generación para banda ancha aumentarán las velocidades y se esperan velocidades más rápidas en un futuro próximo;</w:t>
      </w:r>
    </w:p>
    <w:p w14:paraId="022648C5" w14:textId="64F6434E" w:rsidR="00D42D4B" w:rsidRDefault="00D42D4B" w:rsidP="00D42D4B">
      <w:pPr>
        <w:rPr>
          <w:szCs w:val="24"/>
        </w:rPr>
      </w:pPr>
      <w:r w:rsidRPr="00BD3DEC">
        <w:rPr>
          <w:i/>
          <w:szCs w:val="24"/>
        </w:rPr>
        <w:t>c)</w:t>
      </w:r>
      <w:r w:rsidRPr="00BD3DEC">
        <w:rPr>
          <w:szCs w:val="24"/>
        </w:rPr>
        <w:tab/>
        <w:t>que los desarrollos tecnológicos, como los avances en las tecnologías de haces puntuales y la reutilización de frecuencias, son utilizados por el (SFS) en el espectro por encima de 30 GHz para aumentar el uso eficiente del espectro;</w:t>
      </w:r>
    </w:p>
    <w:p w14:paraId="20EBCC55" w14:textId="461596FD" w:rsidR="00D42D4B" w:rsidRPr="008844EA" w:rsidRDefault="00D42D4B" w:rsidP="00D42D4B">
      <w:r w:rsidRPr="008844EA">
        <w:rPr>
          <w:i/>
          <w:iCs/>
        </w:rPr>
        <w:lastRenderedPageBreak/>
        <w:t>d)</w:t>
      </w:r>
      <w:r w:rsidRPr="008844EA">
        <w:tab/>
        <w:t>que aplicaciones fijas por satélite en el espectro por encima de 30 GHz, como los enlaces de conexión,</w:t>
      </w:r>
      <w:r>
        <w:t xml:space="preserve"> son más fáciles de compartir con</w:t>
      </w:r>
      <w:r w:rsidRPr="008844EA">
        <w:t xml:space="preserve"> otros servicios de radiocomunicaciones que </w:t>
      </w:r>
      <w:r>
        <w:t xml:space="preserve">las </w:t>
      </w:r>
      <w:r w:rsidRPr="008844EA">
        <w:t xml:space="preserve">aplicaciones </w:t>
      </w:r>
      <w:r>
        <w:t>de alta densidad del servicio fijo por satélite (</w:t>
      </w:r>
      <w:r w:rsidR="00C80471">
        <w:t>ADSFS</w:t>
      </w:r>
      <w:r>
        <w:t>)</w:t>
      </w:r>
      <w:r w:rsidRPr="008844EA">
        <w:t>,</w:t>
      </w:r>
    </w:p>
    <w:p w14:paraId="11C261F2" w14:textId="77777777" w:rsidR="00D42D4B" w:rsidRPr="00BD3DEC" w:rsidRDefault="00D42D4B" w:rsidP="00D42D4B">
      <w:pPr>
        <w:pStyle w:val="Call"/>
        <w:rPr>
          <w:i w:val="0"/>
          <w:iCs/>
          <w:szCs w:val="24"/>
        </w:rPr>
      </w:pPr>
      <w:r w:rsidRPr="00BD3DEC">
        <w:rPr>
          <w:szCs w:val="24"/>
        </w:rPr>
        <w:t>reconociendo</w:t>
      </w:r>
    </w:p>
    <w:p w14:paraId="6934331E" w14:textId="77777777" w:rsidR="00D42D4B" w:rsidRPr="00BD3DEC" w:rsidRDefault="00D42D4B" w:rsidP="00D42D4B">
      <w:pPr>
        <w:rPr>
          <w:szCs w:val="24"/>
        </w:rPr>
      </w:pPr>
      <w:r w:rsidRPr="00BD3DEC">
        <w:rPr>
          <w:i/>
          <w:szCs w:val="24"/>
        </w:rPr>
        <w:t>a)</w:t>
      </w:r>
      <w:r w:rsidRPr="00BD3DEC">
        <w:rPr>
          <w:szCs w:val="24"/>
        </w:rPr>
        <w:tab/>
        <w:t>la necesidad de proteger los servicios existentes al considerar las bandas de frecuencia para posibles atribuciones adicionales a cualquier servicio;</w:t>
      </w:r>
    </w:p>
    <w:p w14:paraId="1299EB34" w14:textId="77777777" w:rsidR="00D42D4B" w:rsidRPr="00BD3DEC" w:rsidRDefault="00D42D4B" w:rsidP="00D42D4B">
      <w:pPr>
        <w:rPr>
          <w:szCs w:val="24"/>
        </w:rPr>
      </w:pPr>
      <w:r w:rsidRPr="00BD3DEC">
        <w:rPr>
          <w:i/>
          <w:szCs w:val="24"/>
        </w:rPr>
        <w:t>b)</w:t>
      </w:r>
      <w:r w:rsidRPr="00BD3DEC">
        <w:rPr>
          <w:szCs w:val="24"/>
        </w:rPr>
        <w:tab/>
        <w:t xml:space="preserve">que la banda de frecuencias 51,4-52,4 GHz está atribuida a los servicios fijo y móvil, que deberán protegerse, y está disponible para aplicaciones de alta densidad en el servicio fijo como se indica en el número </w:t>
      </w:r>
      <w:r w:rsidRPr="0037428C">
        <w:rPr>
          <w:b/>
          <w:bCs/>
          <w:szCs w:val="24"/>
        </w:rPr>
        <w:t>5.547</w:t>
      </w:r>
      <w:r w:rsidRPr="00BD3DEC">
        <w:rPr>
          <w:szCs w:val="24"/>
        </w:rPr>
        <w:t>;</w:t>
      </w:r>
    </w:p>
    <w:p w14:paraId="3D39BA75" w14:textId="35CCCC0D" w:rsidR="00D42D4B" w:rsidRPr="00BD3DEC" w:rsidRDefault="00D42D4B" w:rsidP="00D42D4B">
      <w:pPr>
        <w:rPr>
          <w:szCs w:val="24"/>
        </w:rPr>
      </w:pPr>
      <w:r w:rsidRPr="00BD3DEC">
        <w:rPr>
          <w:i/>
          <w:szCs w:val="24"/>
        </w:rPr>
        <w:t>c)</w:t>
      </w:r>
      <w:r w:rsidRPr="00BD3DEC">
        <w:rPr>
          <w:i/>
          <w:szCs w:val="24"/>
        </w:rPr>
        <w:tab/>
      </w:r>
      <w:r w:rsidRPr="00BD3DEC">
        <w:rPr>
          <w:szCs w:val="24"/>
        </w:rPr>
        <w:t>que</w:t>
      </w:r>
      <w:r w:rsidR="00C80471">
        <w:rPr>
          <w:szCs w:val="24"/>
        </w:rPr>
        <w:t xml:space="preserve">, si bien la banda de frecuencias no está atribuida al servicio de radioastronomía, en el número </w:t>
      </w:r>
      <w:r w:rsidR="00C80471">
        <w:rPr>
          <w:b/>
          <w:bCs/>
          <w:szCs w:val="24"/>
        </w:rPr>
        <w:t>5.556</w:t>
      </w:r>
      <w:r w:rsidR="00C80471">
        <w:rPr>
          <w:szCs w:val="24"/>
        </w:rPr>
        <w:t xml:space="preserve"> se indica que se llevan a cabo observaciones radioastronómicas en la banda de frecuencias 51,4-54,25 GHz y es posible que hayan de definirse medidas adecuadas para proteger el servicio de radioastronomía</w:t>
      </w:r>
      <w:r w:rsidRPr="00BD3DEC">
        <w:rPr>
          <w:szCs w:val="24"/>
        </w:rPr>
        <w:t>;</w:t>
      </w:r>
    </w:p>
    <w:p w14:paraId="6AB2DFA9" w14:textId="4237379B" w:rsidR="00D42D4B" w:rsidRDefault="00C80471" w:rsidP="00D42D4B">
      <w:pPr>
        <w:rPr>
          <w:szCs w:val="24"/>
        </w:rPr>
      </w:pPr>
      <w:r>
        <w:rPr>
          <w:i/>
          <w:szCs w:val="24"/>
        </w:rPr>
        <w:t>d</w:t>
      </w:r>
      <w:r w:rsidR="00D42D4B" w:rsidRPr="00BD3DEC">
        <w:rPr>
          <w:i/>
          <w:szCs w:val="24"/>
        </w:rPr>
        <w:t>)</w:t>
      </w:r>
      <w:r w:rsidR="00D42D4B" w:rsidRPr="00BD3DEC">
        <w:rPr>
          <w:szCs w:val="24"/>
        </w:rPr>
        <w:tab/>
        <w:t xml:space="preserve">que el Informe UIT-R S.2461 </w:t>
      </w:r>
      <w:r>
        <w:rPr>
          <w:szCs w:val="24"/>
        </w:rPr>
        <w:t>demuestra que se necesita</w:t>
      </w:r>
      <w:r w:rsidR="00D42D4B" w:rsidRPr="00BD3DEC">
        <w:rPr>
          <w:szCs w:val="24"/>
        </w:rPr>
        <w:t xml:space="preserve"> espectro adicional del SFS en el sentido Tierra-espacio para el SFS</w:t>
      </w:r>
      <w:r>
        <w:rPr>
          <w:szCs w:val="24"/>
        </w:rPr>
        <w:t xml:space="preserve"> en sentido Tierra-espacio, tanto para redes del SFS en la órbita de los</w:t>
      </w:r>
      <w:r w:rsidR="00D42D4B" w:rsidRPr="00BD3DEC">
        <w:rPr>
          <w:szCs w:val="24"/>
        </w:rPr>
        <w:t xml:space="preserve"> satélites geoestacionarios (OSG)</w:t>
      </w:r>
      <w:r>
        <w:rPr>
          <w:szCs w:val="24"/>
        </w:rPr>
        <w:t xml:space="preserve"> como para redes no OSG del SFS en la banda de frecuencias</w:t>
      </w:r>
      <w:r w:rsidR="00D42D4B" w:rsidRPr="00BD3DEC">
        <w:rPr>
          <w:szCs w:val="24"/>
        </w:rPr>
        <w:t xml:space="preserve"> 51</w:t>
      </w:r>
      <w:r>
        <w:rPr>
          <w:szCs w:val="24"/>
        </w:rPr>
        <w:t>,</w:t>
      </w:r>
      <w:r w:rsidR="00D42D4B" w:rsidRPr="00BD3DEC">
        <w:rPr>
          <w:szCs w:val="24"/>
        </w:rPr>
        <w:t>4 -52,4 GHz;</w:t>
      </w:r>
    </w:p>
    <w:p w14:paraId="1D2C0A31" w14:textId="3A170A2A" w:rsidR="00C80471" w:rsidRPr="00C80471" w:rsidRDefault="00C80471" w:rsidP="00D42D4B">
      <w:pPr>
        <w:rPr>
          <w:i/>
          <w:iCs/>
          <w:szCs w:val="24"/>
        </w:rPr>
      </w:pPr>
      <w:r w:rsidRPr="00C80471">
        <w:rPr>
          <w:i/>
          <w:iCs/>
          <w:szCs w:val="24"/>
        </w:rPr>
        <w:t>e)</w:t>
      </w:r>
      <w:r>
        <w:rPr>
          <w:szCs w:val="24"/>
        </w:rPr>
        <w:tab/>
        <w:t>que el Informe UIT-R S.2462 contiene los estudios de compartición y compatibilidad entre redes OSG del SFS y sistemas no OSG del SFS en la gama de frecuencias 50/40 GHz;</w:t>
      </w:r>
    </w:p>
    <w:p w14:paraId="6B3B4955" w14:textId="48AA88F9" w:rsidR="00D42D4B" w:rsidRDefault="00C80471" w:rsidP="00D42D4B">
      <w:pPr>
        <w:rPr>
          <w:szCs w:val="24"/>
        </w:rPr>
      </w:pPr>
      <w:r>
        <w:rPr>
          <w:i/>
          <w:szCs w:val="24"/>
        </w:rPr>
        <w:t>f</w:t>
      </w:r>
      <w:r w:rsidR="00D42D4B" w:rsidRPr="00BD3DEC">
        <w:rPr>
          <w:i/>
          <w:szCs w:val="24"/>
        </w:rPr>
        <w:t>)</w:t>
      </w:r>
      <w:r w:rsidR="00D42D4B" w:rsidRPr="00BD3DEC">
        <w:rPr>
          <w:szCs w:val="24"/>
        </w:rPr>
        <w:tab/>
        <w:t xml:space="preserve">que la CMR-19, de conformidad con la Resolución </w:t>
      </w:r>
      <w:r w:rsidR="00D42D4B" w:rsidRPr="00BD3DEC">
        <w:rPr>
          <w:b/>
          <w:bCs/>
          <w:szCs w:val="24"/>
        </w:rPr>
        <w:t>162 (CMR-15)</w:t>
      </w:r>
      <w:r w:rsidR="00D42D4B" w:rsidRPr="00BD3DEC">
        <w:rPr>
          <w:szCs w:val="24"/>
        </w:rPr>
        <w:t xml:space="preserve">, asignó la banda de frecuencias 51,4-52,4 GHz al SFS (Tierra-espacio) a título primario, y también adoptó el número </w:t>
      </w:r>
      <w:r w:rsidR="00D42D4B" w:rsidRPr="00BD3DEC">
        <w:rPr>
          <w:b/>
          <w:bCs/>
          <w:szCs w:val="24"/>
        </w:rPr>
        <w:t>5.555C</w:t>
      </w:r>
      <w:r w:rsidR="00D42D4B" w:rsidRPr="00BD3DEC">
        <w:rPr>
          <w:szCs w:val="24"/>
        </w:rPr>
        <w:t xml:space="preserve"> que limita el uso de</w:t>
      </w:r>
      <w:r>
        <w:rPr>
          <w:szCs w:val="24"/>
        </w:rPr>
        <w:t xml:space="preserve"> </w:t>
      </w:r>
      <w:r w:rsidR="00D42D4B" w:rsidRPr="00BD3DEC">
        <w:rPr>
          <w:szCs w:val="24"/>
        </w:rPr>
        <w:t>l</w:t>
      </w:r>
      <w:r>
        <w:rPr>
          <w:szCs w:val="24"/>
        </w:rPr>
        <w:t xml:space="preserve">a atribución al </w:t>
      </w:r>
      <w:r w:rsidR="00D42D4B" w:rsidRPr="00BD3DEC">
        <w:rPr>
          <w:szCs w:val="24"/>
        </w:rPr>
        <w:t xml:space="preserve">SFS a </w:t>
      </w:r>
      <w:r>
        <w:rPr>
          <w:szCs w:val="24"/>
        </w:rPr>
        <w:t>las redes OSG y las estaciones terrenas de pasarela asociadas con un diámetro de antena mínimo de 2,4 metros</w:t>
      </w:r>
      <w:r w:rsidR="00D42D4B" w:rsidRPr="00BD3DEC">
        <w:rPr>
          <w:szCs w:val="24"/>
        </w:rPr>
        <w:t>;</w:t>
      </w:r>
    </w:p>
    <w:p w14:paraId="5C793425" w14:textId="1CF2F663" w:rsidR="00D42D4B" w:rsidRPr="00BD3DEC" w:rsidRDefault="00C80471" w:rsidP="00C80471">
      <w:pPr>
        <w:rPr>
          <w:szCs w:val="24"/>
        </w:rPr>
      </w:pPr>
      <w:r>
        <w:rPr>
          <w:i/>
          <w:iCs/>
          <w:szCs w:val="24"/>
        </w:rPr>
        <w:t>g)</w:t>
      </w:r>
      <w:r>
        <w:rPr>
          <w:szCs w:val="24"/>
        </w:rPr>
        <w:tab/>
        <w:t>que sigue necesitándose</w:t>
      </w:r>
      <w:r w:rsidR="00D42D4B" w:rsidRPr="00BD3DEC">
        <w:rPr>
          <w:szCs w:val="24"/>
        </w:rPr>
        <w:t xml:space="preserve"> espectro de enlace ascendente adicional en la gama de </w:t>
      </w:r>
      <w:r>
        <w:rPr>
          <w:szCs w:val="24"/>
        </w:rPr>
        <w:t xml:space="preserve">frecuencias de </w:t>
      </w:r>
      <w:r w:rsidR="00D42D4B" w:rsidRPr="00BD3DEC">
        <w:rPr>
          <w:szCs w:val="24"/>
        </w:rPr>
        <w:t xml:space="preserve">50 GHz para el uso de estaciones terrenas </w:t>
      </w:r>
      <w:r>
        <w:rPr>
          <w:szCs w:val="24"/>
        </w:rPr>
        <w:t>de pasarela</w:t>
      </w:r>
      <w:r w:rsidR="00D42D4B" w:rsidRPr="00BD3DEC">
        <w:rPr>
          <w:szCs w:val="24"/>
        </w:rPr>
        <w:t xml:space="preserve"> del SFS no OSG,</w:t>
      </w:r>
    </w:p>
    <w:p w14:paraId="0E57E093" w14:textId="77777777" w:rsidR="00D42D4B" w:rsidRPr="00BD3DEC" w:rsidRDefault="00D42D4B" w:rsidP="00D42D4B">
      <w:pPr>
        <w:pStyle w:val="Call"/>
        <w:rPr>
          <w:i w:val="0"/>
          <w:iCs/>
          <w:szCs w:val="24"/>
        </w:rPr>
      </w:pPr>
      <w:r w:rsidRPr="00BD3DEC">
        <w:rPr>
          <w:iCs/>
          <w:szCs w:val="24"/>
        </w:rPr>
        <w:t xml:space="preserve">resuelve invitar </w:t>
      </w:r>
      <w:r w:rsidRPr="00BD3DEC">
        <w:rPr>
          <w:szCs w:val="24"/>
        </w:rPr>
        <w:t>al</w:t>
      </w:r>
      <w:r w:rsidRPr="00BD3DEC">
        <w:rPr>
          <w:iCs/>
          <w:szCs w:val="24"/>
        </w:rPr>
        <w:t xml:space="preserve"> Sector de Radiocomunicaciones de la UIT</w:t>
      </w:r>
    </w:p>
    <w:p w14:paraId="5C4F122F" w14:textId="2EC7F149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 xml:space="preserve">a </w:t>
      </w:r>
      <w:r w:rsidR="00C80471">
        <w:rPr>
          <w:szCs w:val="24"/>
        </w:rPr>
        <w:t>realizar</w:t>
      </w:r>
      <w:r w:rsidRPr="00BD3DEC">
        <w:rPr>
          <w:szCs w:val="24"/>
        </w:rPr>
        <w:t xml:space="preserve"> y completar a tiempo para la CMR-27:</w:t>
      </w:r>
    </w:p>
    <w:p w14:paraId="60798A69" w14:textId="4E826F9B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>1</w:t>
      </w:r>
      <w:r w:rsidRPr="00BD3DEC">
        <w:rPr>
          <w:szCs w:val="24"/>
        </w:rPr>
        <w:tab/>
        <w:t xml:space="preserve">estudios de compartición y compatibilidad con estaciones actuales y previstas de los servicios primarios existentes, incluso en bandas adyacentes, incluida la protección de los servicios fijos y móviles, </w:t>
      </w:r>
      <w:r w:rsidR="00C80471">
        <w:rPr>
          <w:szCs w:val="24"/>
        </w:rPr>
        <w:t>y estudios sobre</w:t>
      </w:r>
      <w:r w:rsidRPr="00BD3DEC">
        <w:rPr>
          <w:szCs w:val="24"/>
        </w:rPr>
        <w:t xml:space="preserve"> la viabilidad de revisar las </w:t>
      </w:r>
      <w:r w:rsidR="00C80471">
        <w:rPr>
          <w:szCs w:val="24"/>
        </w:rPr>
        <w:t xml:space="preserve">condiciones asociadas a las </w:t>
      </w:r>
      <w:r w:rsidRPr="00BD3DEC">
        <w:rPr>
          <w:szCs w:val="24"/>
        </w:rPr>
        <w:t xml:space="preserve">atribuciones primarias al SFS en la banda de frecuencias 51,4-52,4 GHz </w:t>
      </w:r>
      <w:r w:rsidR="00C80471">
        <w:rPr>
          <w:szCs w:val="24"/>
        </w:rPr>
        <w:t xml:space="preserve">(Tierra-espacio) </w:t>
      </w:r>
      <w:r w:rsidRPr="00BD3DEC">
        <w:rPr>
          <w:szCs w:val="24"/>
        </w:rPr>
        <w:t xml:space="preserve">para permitir </w:t>
      </w:r>
      <w:r w:rsidR="00C80471">
        <w:rPr>
          <w:szCs w:val="24"/>
        </w:rPr>
        <w:t>su utilización por estaciones terrenas de pasarela de redes no OSG del SFS (Tierra-espacio), así como los estudios reglamentarios pertinentes</w:t>
      </w:r>
      <w:r w:rsidRPr="00BD3DEC">
        <w:rPr>
          <w:szCs w:val="24"/>
        </w:rPr>
        <w:t>;</w:t>
      </w:r>
    </w:p>
    <w:p w14:paraId="31BFC938" w14:textId="5C5A9603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>2</w:t>
      </w:r>
      <w:r w:rsidRPr="00BD3DEC">
        <w:rPr>
          <w:szCs w:val="24"/>
        </w:rPr>
        <w:tab/>
      </w:r>
      <w:r w:rsidR="00C80471">
        <w:rPr>
          <w:szCs w:val="24"/>
        </w:rPr>
        <w:t>e</w:t>
      </w:r>
      <w:r w:rsidRPr="00BD3DEC">
        <w:rPr>
          <w:szCs w:val="24"/>
        </w:rPr>
        <w:t xml:space="preserve">studios de compatibilidad entre estaciones </w:t>
      </w:r>
      <w:r w:rsidR="00C80471">
        <w:rPr>
          <w:szCs w:val="24"/>
        </w:rPr>
        <w:t>de pasarela del SFS no OSG (Tierra</w:t>
      </w:r>
      <w:r w:rsidR="008B4060">
        <w:rPr>
          <w:szCs w:val="24"/>
        </w:rPr>
        <w:noBreakHyphen/>
      </w:r>
      <w:r w:rsidR="00C80471">
        <w:rPr>
          <w:szCs w:val="24"/>
        </w:rPr>
        <w:t>espacio) y los sistemas que utilizan la banda de frecuencias pasiva</w:t>
      </w:r>
      <w:r w:rsidRPr="00BD3DEC">
        <w:rPr>
          <w:szCs w:val="24"/>
        </w:rPr>
        <w:t xml:space="preserve"> 52,6-54,25 GHz</w:t>
      </w:r>
    </w:p>
    <w:p w14:paraId="2597327A" w14:textId="5FF76F03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>3</w:t>
      </w:r>
      <w:r w:rsidRPr="00BD3DEC">
        <w:rPr>
          <w:szCs w:val="24"/>
        </w:rPr>
        <w:tab/>
        <w:t xml:space="preserve">estudios sobre la protección de las redes del SFS OSG y las estaciones terrenas </w:t>
      </w:r>
      <w:r w:rsidR="00EB7C8F">
        <w:rPr>
          <w:szCs w:val="24"/>
        </w:rPr>
        <w:t xml:space="preserve">de pasarela contra las emisiones de sistemas no OSG del SFS y las pasarelas asociadas, incluida la eventual adopción de medidas reglamentarias conexas y la posible inclusión de la banda de frecuencias 51,4-52,4 GHz en el ámbito de aplicación de las Resoluciones </w:t>
      </w:r>
      <w:r w:rsidR="00EB7C8F">
        <w:rPr>
          <w:b/>
          <w:bCs/>
          <w:szCs w:val="24"/>
        </w:rPr>
        <w:t xml:space="preserve">769 (CMR-19) </w:t>
      </w:r>
      <w:r w:rsidR="00EB7C8F">
        <w:rPr>
          <w:szCs w:val="24"/>
        </w:rPr>
        <w:t xml:space="preserve">y </w:t>
      </w:r>
      <w:r w:rsidR="00EB7C8F">
        <w:rPr>
          <w:b/>
          <w:bCs/>
          <w:szCs w:val="24"/>
        </w:rPr>
        <w:t>770 (CMR-19)</w:t>
      </w:r>
      <w:r w:rsidRPr="00BD3DEC">
        <w:rPr>
          <w:szCs w:val="24"/>
        </w:rPr>
        <w:t>,</w:t>
      </w:r>
    </w:p>
    <w:p w14:paraId="34783096" w14:textId="18DC2A44" w:rsidR="00D42D4B" w:rsidRPr="00BD3DEC" w:rsidRDefault="00EB7C8F" w:rsidP="00D42D4B">
      <w:pPr>
        <w:pStyle w:val="Call"/>
        <w:rPr>
          <w:iCs/>
          <w:szCs w:val="24"/>
        </w:rPr>
      </w:pPr>
      <w:r>
        <w:rPr>
          <w:iCs/>
          <w:szCs w:val="24"/>
        </w:rPr>
        <w:t>encarga</w:t>
      </w:r>
      <w:r w:rsidR="00D42D4B" w:rsidRPr="00BD3DEC">
        <w:rPr>
          <w:iCs/>
          <w:szCs w:val="24"/>
        </w:rPr>
        <w:t xml:space="preserve"> al Director de la Oficina de Radiocomunicaciones</w:t>
      </w:r>
    </w:p>
    <w:p w14:paraId="01ECC22A" w14:textId="05F66C55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 xml:space="preserve">a </w:t>
      </w:r>
      <w:r w:rsidR="00EB7C8F">
        <w:rPr>
          <w:szCs w:val="24"/>
        </w:rPr>
        <w:t>rendir informe sobre</w:t>
      </w:r>
      <w:r w:rsidRPr="00BD3DEC">
        <w:rPr>
          <w:szCs w:val="24"/>
        </w:rPr>
        <w:t xml:space="preserve"> los resultados de los estudios del UIT-R a la CMR-27</w:t>
      </w:r>
    </w:p>
    <w:p w14:paraId="72E1664C" w14:textId="77777777" w:rsidR="00D42D4B" w:rsidRPr="00BD3DEC" w:rsidRDefault="00D42D4B" w:rsidP="00D42D4B">
      <w:pPr>
        <w:pStyle w:val="Call"/>
        <w:rPr>
          <w:i w:val="0"/>
          <w:iCs/>
          <w:szCs w:val="24"/>
        </w:rPr>
      </w:pPr>
      <w:r w:rsidRPr="00BD3DEC">
        <w:rPr>
          <w:iCs/>
          <w:szCs w:val="24"/>
        </w:rPr>
        <w:lastRenderedPageBreak/>
        <w:t>invita a las Administraciones</w:t>
      </w:r>
    </w:p>
    <w:p w14:paraId="4C1E75C9" w14:textId="77777777" w:rsidR="00D42D4B" w:rsidRPr="00BD3DEC" w:rsidRDefault="00D42D4B" w:rsidP="00D42D4B">
      <w:pPr>
        <w:rPr>
          <w:szCs w:val="24"/>
        </w:rPr>
      </w:pPr>
      <w:r w:rsidRPr="00BD3DEC">
        <w:rPr>
          <w:szCs w:val="24"/>
        </w:rPr>
        <w:t>a participar activamente en los estudios enviando contribuciones al UIT-R.</w:t>
      </w:r>
    </w:p>
    <w:p w14:paraId="19B8A8A4" w14:textId="1D70A9B0" w:rsidR="00C571B7" w:rsidRDefault="00FC1C83">
      <w:pPr>
        <w:pStyle w:val="Reasons"/>
      </w:pPr>
      <w:r>
        <w:rPr>
          <w:b/>
        </w:rPr>
        <w:t>Motivos:</w:t>
      </w:r>
      <w:r>
        <w:tab/>
      </w:r>
      <w:r w:rsidR="00EB7C8F">
        <w:t xml:space="preserve">Véase el siguiente cuadro, preparado utilizando la plantilla del Anexo 2 a la Resolución </w:t>
      </w:r>
      <w:r w:rsidR="00EB7C8F">
        <w:rPr>
          <w:b/>
          <w:bCs/>
        </w:rPr>
        <w:t>804 (Rev.CMR-19)</w:t>
      </w:r>
      <w:r w:rsidR="00EB7C8F">
        <w:t>.</w:t>
      </w:r>
    </w:p>
    <w:p w14:paraId="13E60BB8" w14:textId="4B4BD572" w:rsidR="00EB7C8F" w:rsidRPr="00AF148C" w:rsidRDefault="00EB7C8F" w:rsidP="00EB7C8F">
      <w:pPr>
        <w:pStyle w:val="AnnexNo"/>
        <w:rPr>
          <w:lang w:val="es-ES"/>
        </w:rPr>
      </w:pPr>
      <w:bookmarkStart w:id="10" w:name="_Hlk142950049"/>
      <w:r w:rsidRPr="00AF148C">
        <w:rPr>
          <w:lang w:val="es-ES"/>
        </w:rPr>
        <w:t>ANEXO</w:t>
      </w:r>
    </w:p>
    <w:p w14:paraId="7B5C5BA5" w14:textId="7D1F3676" w:rsidR="00EB7C8F" w:rsidRPr="00EB7C8F" w:rsidRDefault="00EB7C8F" w:rsidP="00EB7C8F">
      <w:pPr>
        <w:pStyle w:val="Annextitle"/>
        <w:rPr>
          <w:lang w:val="es-ES"/>
        </w:rPr>
      </w:pPr>
      <w:r w:rsidRPr="00EB7C8F">
        <w:rPr>
          <w:lang w:val="es-ES"/>
        </w:rPr>
        <w:t xml:space="preserve">Presentación de propuestas de puntos </w:t>
      </w:r>
      <w:r>
        <w:rPr>
          <w:lang w:val="es-ES"/>
        </w:rPr>
        <w:t>del orden del día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EB7C8F" w:rsidRPr="00EB7C8F" w14:paraId="0099C7AE" w14:textId="77777777" w:rsidTr="00160976">
        <w:trPr>
          <w:cantSplit/>
        </w:trPr>
        <w:tc>
          <w:tcPr>
            <w:tcW w:w="9723" w:type="dxa"/>
            <w:gridSpan w:val="2"/>
            <w:hideMark/>
          </w:tcPr>
          <w:p w14:paraId="2134C5ED" w14:textId="3490817F" w:rsidR="00EB7C8F" w:rsidRPr="00EB7C8F" w:rsidRDefault="00EB7C8F" w:rsidP="00160976">
            <w:pPr>
              <w:rPr>
                <w:b/>
                <w:bCs/>
                <w:lang w:val="es-ES"/>
              </w:rPr>
            </w:pPr>
            <w:r w:rsidRPr="00EB7C8F">
              <w:rPr>
                <w:b/>
                <w:bCs/>
                <w:lang w:val="es-ES"/>
              </w:rPr>
              <w:t xml:space="preserve">Asunto: </w:t>
            </w:r>
            <w:r w:rsidRPr="00EB7C8F">
              <w:rPr>
                <w:lang w:val="es-ES"/>
              </w:rPr>
              <w:t>Utilización de la banda de frecuencias 51,4 – 52,4 GHz por estaciones terrenas de pa</w:t>
            </w:r>
            <w:r>
              <w:rPr>
                <w:lang w:val="es-ES"/>
              </w:rPr>
              <w:t>sarela que comunican con sistemas no geoestacionarios (no OSG) del SFS (Tierra-espacio</w:t>
            </w:r>
            <w:r w:rsidRPr="00EB7C8F">
              <w:rPr>
                <w:lang w:val="es-ES"/>
              </w:rPr>
              <w:t>)</w:t>
            </w:r>
          </w:p>
        </w:tc>
      </w:tr>
      <w:tr w:rsidR="00EB7C8F" w:rsidRPr="00EB7C8F" w14:paraId="3107989B" w14:textId="77777777" w:rsidTr="00160976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8E02A1" w14:textId="1D13F5DB" w:rsidR="00EB7C8F" w:rsidRPr="00EB7C8F" w:rsidRDefault="00EB7C8F" w:rsidP="00160976">
            <w:pPr>
              <w:rPr>
                <w:lang w:val="es-ES"/>
              </w:rPr>
            </w:pPr>
            <w:r w:rsidRPr="00EB7C8F">
              <w:rPr>
                <w:b/>
                <w:bCs/>
                <w:lang w:val="es-ES"/>
              </w:rPr>
              <w:t>Origen:</w:t>
            </w:r>
            <w:r w:rsidRPr="00EB7C8F">
              <w:rPr>
                <w:lang w:val="es-ES"/>
              </w:rPr>
              <w:t xml:space="preserve"> </w:t>
            </w:r>
            <w:r w:rsidR="00A84C5D" w:rsidRPr="00EB7C8F">
              <w:rPr>
                <w:lang w:val="es-ES"/>
              </w:rPr>
              <w:t>Singapur</w:t>
            </w:r>
            <w:r w:rsidRPr="00EB7C8F">
              <w:rPr>
                <w:lang w:val="es-ES"/>
              </w:rPr>
              <w:t xml:space="preserve"> (República de), Tonga (Reino de)</w:t>
            </w:r>
          </w:p>
        </w:tc>
      </w:tr>
      <w:tr w:rsidR="00EB7C8F" w:rsidRPr="00EB7C8F" w14:paraId="3C5DF46F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478B" w14:textId="07892EC5" w:rsidR="00EB7C8F" w:rsidRPr="00AF148C" w:rsidRDefault="00EB7C8F" w:rsidP="00160976">
            <w:pPr>
              <w:keepNext/>
              <w:rPr>
                <w:b/>
                <w:iCs/>
                <w:color w:val="000000"/>
                <w:lang w:val="es-ES"/>
              </w:rPr>
            </w:pPr>
            <w:r w:rsidRPr="00AF148C">
              <w:rPr>
                <w:b/>
                <w:i/>
                <w:color w:val="000000"/>
                <w:lang w:val="es-ES"/>
              </w:rPr>
              <w:t>Propuesta</w:t>
            </w:r>
            <w:r w:rsidRPr="00AF148C">
              <w:rPr>
                <w:b/>
                <w:iCs/>
                <w:color w:val="000000"/>
                <w:lang w:val="es-ES"/>
              </w:rPr>
              <w:t xml:space="preserve">: </w:t>
            </w:r>
          </w:p>
          <w:p w14:paraId="53A3576E" w14:textId="3C89D14E" w:rsidR="00EB7C8F" w:rsidRPr="00EB7C8F" w:rsidRDefault="00EB7C8F" w:rsidP="00160976">
            <w:pPr>
              <w:keepNext/>
              <w:rPr>
                <w:b/>
                <w:i/>
                <w:lang w:val="es-ES"/>
              </w:rPr>
            </w:pPr>
            <w:r w:rsidRPr="00EB7C8F">
              <w:rPr>
                <w:lang w:val="es-ES"/>
              </w:rPr>
              <w:t xml:space="preserve">Estudiar la utilización de la banda de frecuencias 51,4-52,4 GHz para permitir el empleo de estaciones terrenas de </w:t>
            </w:r>
            <w:r>
              <w:rPr>
                <w:lang w:val="es-ES"/>
              </w:rPr>
              <w:t>pasarela que comunican con sistemas no geoestacionarios del SFS (Tierra</w:t>
            </w:r>
            <w:r w:rsidR="003B465B">
              <w:rPr>
                <w:lang w:val="es-ES"/>
              </w:rPr>
              <w:noBreakHyphen/>
            </w:r>
            <w:r>
              <w:rPr>
                <w:lang w:val="es-ES"/>
              </w:rPr>
              <w:t>espacio</w:t>
            </w:r>
            <w:r w:rsidRPr="00EB7C8F">
              <w:rPr>
                <w:lang w:val="es-ES"/>
              </w:rPr>
              <w:t>)</w:t>
            </w:r>
          </w:p>
        </w:tc>
      </w:tr>
      <w:tr w:rsidR="00EB7C8F" w:rsidRPr="00C85E14" w14:paraId="17D619F6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723D5" w14:textId="59F37ABA" w:rsidR="00EB7C8F" w:rsidRPr="00AF148C" w:rsidRDefault="00EB7C8F" w:rsidP="00160976">
            <w:pPr>
              <w:keepNext/>
              <w:rPr>
                <w:b/>
                <w:i/>
                <w:color w:val="000000"/>
                <w:lang w:val="es-ES"/>
              </w:rPr>
            </w:pPr>
            <w:r w:rsidRPr="00AF148C">
              <w:rPr>
                <w:b/>
                <w:i/>
                <w:color w:val="000000"/>
                <w:lang w:val="es-ES"/>
              </w:rPr>
              <w:t>Antecedentes/motivos</w:t>
            </w:r>
            <w:r w:rsidRPr="00AF148C">
              <w:rPr>
                <w:b/>
                <w:iCs/>
                <w:color w:val="000000"/>
                <w:lang w:val="es-ES"/>
              </w:rPr>
              <w:t>:</w:t>
            </w:r>
          </w:p>
          <w:p w14:paraId="24A69698" w14:textId="38A477FB" w:rsidR="00EB7C8F" w:rsidRPr="00EB7C8F" w:rsidRDefault="00EB7C8F" w:rsidP="00160976">
            <w:pPr>
              <w:rPr>
                <w:lang w:val="es-ES"/>
              </w:rPr>
            </w:pPr>
            <w:r w:rsidRPr="00EB7C8F">
              <w:rPr>
                <w:lang w:val="es-ES"/>
              </w:rPr>
              <w:t>Como respuesta parcial al Tema 9.1.9 del punto 9.1 del orden del día de la CMR-19 se determinó en el Informe UIT-R S.2461 la necesidad de espectro adicional para el</w:t>
            </w:r>
            <w:r>
              <w:rPr>
                <w:lang w:val="es-ES"/>
              </w:rPr>
              <w:t xml:space="preserve"> SFS en la gama de</w:t>
            </w:r>
            <w:r w:rsidRPr="00EB7C8F">
              <w:rPr>
                <w:lang w:val="es-ES"/>
              </w:rPr>
              <w:t xml:space="preserve"> 50 GHz</w:t>
            </w:r>
            <w:r>
              <w:rPr>
                <w:lang w:val="es-ES"/>
              </w:rPr>
              <w:t xml:space="preserve"> destinado a enlaces ascendentes de pasarela del SFS no OSG. </w:t>
            </w:r>
            <w:r w:rsidRPr="00EB7C8F">
              <w:rPr>
                <w:lang w:val="es-ES"/>
              </w:rPr>
              <w:t>Estos estudios consideraron las necesidades de espectro</w:t>
            </w:r>
            <w:r>
              <w:rPr>
                <w:lang w:val="es-ES"/>
              </w:rPr>
              <w:t xml:space="preserve"> de las redes OSG y no OSG del SFS</w:t>
            </w:r>
            <w:r w:rsidRPr="00EB7C8F">
              <w:rPr>
                <w:lang w:val="es-ES"/>
              </w:rPr>
              <w:t xml:space="preserve">. </w:t>
            </w:r>
          </w:p>
          <w:p w14:paraId="25EC1492" w14:textId="76B43B17" w:rsidR="00EB7C8F" w:rsidRPr="00EB7C8F" w:rsidRDefault="00EB7C8F" w:rsidP="00160976">
            <w:pPr>
              <w:rPr>
                <w:lang w:val="es-ES"/>
              </w:rPr>
            </w:pPr>
            <w:r w:rsidRPr="00EB7C8F">
              <w:rPr>
                <w:lang w:val="es-ES"/>
              </w:rPr>
              <w:t>Las necesidades de espectro para las redes OSG se colmaron satisfactoriamente gracias a la atribución otorgada</w:t>
            </w:r>
            <w:r>
              <w:rPr>
                <w:lang w:val="es-ES"/>
              </w:rPr>
              <w:t xml:space="preserve"> por la CMR-19 a los enlaces de conexión OSG. </w:t>
            </w:r>
            <w:r w:rsidRPr="00EB7C8F">
              <w:rPr>
                <w:lang w:val="es-ES"/>
              </w:rPr>
              <w:t>En el marco del Tema 9.1.9 del punto 9.1 de su orden del día, la CMR-19 at</w:t>
            </w:r>
            <w:r>
              <w:rPr>
                <w:lang w:val="es-ES"/>
              </w:rPr>
              <w:t>ribuyó al SFS (Tierra-espacio) la banda de frecuencias</w:t>
            </w:r>
            <w:r w:rsidRPr="00EB7C8F">
              <w:rPr>
                <w:lang w:val="es-ES"/>
              </w:rPr>
              <w:t xml:space="preserve"> 51,4-52</w:t>
            </w:r>
            <w:r>
              <w:rPr>
                <w:lang w:val="es-ES"/>
              </w:rPr>
              <w:t>,</w:t>
            </w:r>
            <w:r w:rsidRPr="00EB7C8F">
              <w:rPr>
                <w:lang w:val="es-ES"/>
              </w:rPr>
              <w:t xml:space="preserve">4 GHz </w:t>
            </w:r>
            <w:r>
              <w:rPr>
                <w:lang w:val="es-ES"/>
              </w:rPr>
              <w:t>a título primario, limitando su utilización a los enlaces de conexión de redes OSG con un diámetro de antena mínimo de estación terrena de</w:t>
            </w:r>
            <w:r w:rsidRPr="00EB7C8F">
              <w:rPr>
                <w:lang w:val="es-ES"/>
              </w:rPr>
              <w:t xml:space="preserve"> 2</w:t>
            </w:r>
            <w:r>
              <w:rPr>
                <w:lang w:val="es-ES"/>
              </w:rPr>
              <w:t>,</w:t>
            </w:r>
            <w:r w:rsidRPr="00EB7C8F">
              <w:rPr>
                <w:lang w:val="es-ES"/>
              </w:rPr>
              <w:t>4 m</w:t>
            </w:r>
            <w:r>
              <w:rPr>
                <w:lang w:val="es-ES"/>
              </w:rPr>
              <w:t>, en virtud del número</w:t>
            </w:r>
            <w:r w:rsidRPr="00EB7C8F">
              <w:rPr>
                <w:lang w:val="es-ES"/>
              </w:rPr>
              <w:t xml:space="preserve"> </w:t>
            </w:r>
            <w:r w:rsidRPr="00EB7C8F">
              <w:rPr>
                <w:b/>
                <w:bCs/>
                <w:lang w:val="es-ES"/>
              </w:rPr>
              <w:t>5.555C</w:t>
            </w:r>
            <w:r>
              <w:rPr>
                <w:b/>
                <w:bCs/>
                <w:lang w:val="es-ES"/>
              </w:rPr>
              <w:t xml:space="preserve"> </w:t>
            </w:r>
            <w:r>
              <w:rPr>
                <w:lang w:val="es-ES"/>
              </w:rPr>
              <w:t>del RR</w:t>
            </w:r>
            <w:r w:rsidRPr="00EB7C8F">
              <w:rPr>
                <w:lang w:val="es-ES"/>
              </w:rPr>
              <w:t>.</w:t>
            </w:r>
          </w:p>
          <w:p w14:paraId="6CDDE639" w14:textId="4F500BFB" w:rsidR="00EB7C8F" w:rsidRPr="00C85E14" w:rsidRDefault="00C85E14" w:rsidP="00160976">
            <w:pPr>
              <w:rPr>
                <w:b/>
                <w:i/>
                <w:lang w:val="es-ES"/>
              </w:rPr>
            </w:pPr>
            <w:r w:rsidRPr="00C85E14">
              <w:rPr>
                <w:lang w:val="es-ES"/>
              </w:rPr>
              <w:t>Ahora el UIT-R debe considerar la ampliación de la utilización de la banda de frecuencias 51,4</w:t>
            </w:r>
            <w:r w:rsidR="003B465B">
              <w:rPr>
                <w:lang w:val="es-ES"/>
              </w:rPr>
              <w:noBreakHyphen/>
            </w:r>
            <w:r w:rsidRPr="00C85E14">
              <w:rPr>
                <w:lang w:val="es-ES"/>
              </w:rPr>
              <w:t xml:space="preserve">52,4 GHz del SFS (Tierra-espacio) para satisfacer las necesidades de espectro de redes no OSG del </w:t>
            </w:r>
            <w:r>
              <w:rPr>
                <w:lang w:val="es-ES"/>
              </w:rPr>
              <w:t>SFS, de acuerdo con las necesidades de espectro identificadas en el Informe UIT</w:t>
            </w:r>
            <w:r w:rsidR="00EB7C8F" w:rsidRPr="00C85E14">
              <w:rPr>
                <w:lang w:val="es-ES"/>
              </w:rPr>
              <w:t xml:space="preserve">-R S.2461. </w:t>
            </w:r>
            <w:r w:rsidRPr="00C85E14">
              <w:rPr>
                <w:lang w:val="es-ES"/>
              </w:rPr>
              <w:t>Debería revisarse el número</w:t>
            </w:r>
            <w:r w:rsidR="00EB7C8F" w:rsidRPr="00C85E14">
              <w:rPr>
                <w:lang w:val="es-ES"/>
              </w:rPr>
              <w:t xml:space="preserve"> </w:t>
            </w:r>
            <w:r w:rsidR="00EB7C8F" w:rsidRPr="00C85E14">
              <w:rPr>
                <w:b/>
                <w:lang w:val="es-ES"/>
              </w:rPr>
              <w:t>5.555C</w:t>
            </w:r>
            <w:r w:rsidR="00EB7C8F" w:rsidRPr="00C85E14">
              <w:rPr>
                <w:lang w:val="es-ES"/>
              </w:rPr>
              <w:t xml:space="preserve"> </w:t>
            </w:r>
            <w:r w:rsidRPr="00C85E14">
              <w:rPr>
                <w:lang w:val="es-ES"/>
              </w:rPr>
              <w:t>del RR para considerar las disposiciones reglamentarias necesarias para acomodar la utilizac</w:t>
            </w:r>
            <w:r>
              <w:rPr>
                <w:lang w:val="es-ES"/>
              </w:rPr>
              <w:t xml:space="preserve">ión de la banda de frecuencias 51,4-52,4 GHz por estaciones terrenas de pasarela del SFS no OSG (Tierra-espacio). </w:t>
            </w:r>
            <w:r w:rsidRPr="00C85E14">
              <w:rPr>
                <w:lang w:val="es-ES"/>
              </w:rPr>
              <w:t>Deberán tenerse en cuenta en los estudios otros servicios, incluidos los enlaces ascendentes de pasarela del SFS OSG, y en el an</w:t>
            </w:r>
            <w:r>
              <w:rPr>
                <w:lang w:val="es-ES"/>
              </w:rPr>
              <w:t xml:space="preserve">álisis se considerará la posibilidad de compartición con los usos de la banda existentes. </w:t>
            </w:r>
            <w:r w:rsidRPr="00C85E14">
              <w:rPr>
                <w:lang w:val="es-ES"/>
              </w:rPr>
              <w:t>También podría considerarse la eventual inclusión de la banda de frecuencias</w:t>
            </w:r>
            <w:r w:rsidR="00EB7C8F" w:rsidRPr="00C85E14">
              <w:rPr>
                <w:lang w:val="es-ES"/>
              </w:rPr>
              <w:t xml:space="preserve"> 51</w:t>
            </w:r>
            <w:r w:rsidRPr="00C85E14">
              <w:rPr>
                <w:lang w:val="es-ES"/>
              </w:rPr>
              <w:t>,</w:t>
            </w:r>
            <w:r w:rsidR="00EB7C8F" w:rsidRPr="00C85E14">
              <w:rPr>
                <w:lang w:val="es-ES"/>
              </w:rPr>
              <w:t>4-52</w:t>
            </w:r>
            <w:r w:rsidRPr="00C85E14">
              <w:rPr>
                <w:lang w:val="es-ES"/>
              </w:rPr>
              <w:t>,</w:t>
            </w:r>
            <w:r w:rsidR="00EB7C8F" w:rsidRPr="00C85E14">
              <w:rPr>
                <w:lang w:val="es-ES"/>
              </w:rPr>
              <w:t xml:space="preserve">4 GHz </w:t>
            </w:r>
            <w:r w:rsidRPr="00C85E14">
              <w:rPr>
                <w:lang w:val="es-ES"/>
              </w:rPr>
              <w:t>e</w:t>
            </w:r>
            <w:r>
              <w:rPr>
                <w:lang w:val="es-ES"/>
              </w:rPr>
              <w:t>n el ámbito de competencia de las Resoluciones</w:t>
            </w:r>
            <w:r w:rsidR="00EB7C8F" w:rsidRPr="00C85E14">
              <w:rPr>
                <w:lang w:val="es-ES"/>
              </w:rPr>
              <w:t xml:space="preserve"> </w:t>
            </w:r>
            <w:r w:rsidR="00EB7C8F" w:rsidRPr="00C85E14">
              <w:rPr>
                <w:b/>
                <w:lang w:val="es-ES"/>
              </w:rPr>
              <w:t>769 (C</w:t>
            </w:r>
            <w:r>
              <w:rPr>
                <w:b/>
                <w:lang w:val="es-ES"/>
              </w:rPr>
              <w:t>MR</w:t>
            </w:r>
            <w:r w:rsidR="00EB7C8F" w:rsidRPr="00C85E14">
              <w:rPr>
                <w:b/>
                <w:lang w:val="es-ES"/>
              </w:rPr>
              <w:t>-19)</w:t>
            </w:r>
            <w:r w:rsidR="00EB7C8F" w:rsidRPr="00C85E14">
              <w:rPr>
                <w:lang w:val="es-ES"/>
              </w:rPr>
              <w:t xml:space="preserve"> </w:t>
            </w:r>
            <w:r>
              <w:rPr>
                <w:lang w:val="es-ES"/>
              </w:rPr>
              <w:t>y</w:t>
            </w:r>
            <w:r w:rsidR="00EB7C8F" w:rsidRPr="00C85E14">
              <w:rPr>
                <w:lang w:val="es-ES"/>
              </w:rPr>
              <w:t xml:space="preserve"> </w:t>
            </w:r>
            <w:r w:rsidR="00EB7C8F" w:rsidRPr="00C85E14">
              <w:rPr>
                <w:b/>
                <w:lang w:val="es-ES"/>
              </w:rPr>
              <w:t>770 (C</w:t>
            </w:r>
            <w:r>
              <w:rPr>
                <w:b/>
                <w:lang w:val="es-ES"/>
              </w:rPr>
              <w:t>MR</w:t>
            </w:r>
            <w:r w:rsidR="00EB7C8F" w:rsidRPr="00C85E14">
              <w:rPr>
                <w:b/>
                <w:lang w:val="es-ES"/>
              </w:rPr>
              <w:t>-19)</w:t>
            </w:r>
            <w:r w:rsidR="00EB7C8F" w:rsidRPr="00C85E14">
              <w:rPr>
                <w:lang w:val="es-ES"/>
              </w:rPr>
              <w:t xml:space="preserve"> </w:t>
            </w:r>
            <w:r>
              <w:rPr>
                <w:lang w:val="es-ES"/>
              </w:rPr>
              <w:t>para garantizar la protección de las redes de satélites geoestacionarios</w:t>
            </w:r>
            <w:r w:rsidR="00EB7C8F" w:rsidRPr="00C85E14">
              <w:rPr>
                <w:lang w:val="es-ES"/>
              </w:rPr>
              <w:t>.</w:t>
            </w:r>
          </w:p>
        </w:tc>
      </w:tr>
      <w:tr w:rsidR="00EB7C8F" w:rsidRPr="00C85E14" w14:paraId="214F8CE2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B296" w14:textId="0F477B7B" w:rsidR="00EB7C8F" w:rsidRPr="00C85E14" w:rsidRDefault="00C85E14" w:rsidP="00160976">
            <w:pPr>
              <w:keepNext/>
              <w:rPr>
                <w:b/>
                <w:i/>
                <w:lang w:val="es-ES"/>
              </w:rPr>
            </w:pPr>
            <w:r w:rsidRPr="00C85E14">
              <w:rPr>
                <w:b/>
                <w:i/>
                <w:lang w:val="es-ES"/>
              </w:rPr>
              <w:t>Servicios de radiocomunicacione</w:t>
            </w:r>
            <w:r>
              <w:rPr>
                <w:b/>
                <w:i/>
                <w:lang w:val="es-ES"/>
              </w:rPr>
              <w:t>s en cuestión</w:t>
            </w:r>
            <w:r w:rsidR="00EB7C8F" w:rsidRPr="00C85E14">
              <w:rPr>
                <w:b/>
                <w:iCs/>
                <w:lang w:val="es-ES"/>
              </w:rPr>
              <w:t>:</w:t>
            </w:r>
          </w:p>
          <w:p w14:paraId="4805CB28" w14:textId="5FB5F9A3" w:rsidR="00EB7C8F" w:rsidRPr="00C85E14" w:rsidRDefault="00C85E14" w:rsidP="00160976">
            <w:pPr>
              <w:rPr>
                <w:rFonts w:eastAsia="Malgun Gothic"/>
                <w:kern w:val="2"/>
                <w:szCs w:val="24"/>
                <w:lang w:val="es-ES" w:eastAsia="ko-KR"/>
              </w:rPr>
            </w:pPr>
            <w:r w:rsidRPr="00C85E14">
              <w:rPr>
                <w:lang w:val="es-ES"/>
              </w:rPr>
              <w:t xml:space="preserve">Servicios de radiocomunicaciones concernidos en la banda de </w:t>
            </w:r>
            <w:r>
              <w:rPr>
                <w:lang w:val="es-ES"/>
              </w:rPr>
              <w:t>frecuencias</w:t>
            </w:r>
            <w:r w:rsidR="00EB7C8F" w:rsidRPr="00C85E14">
              <w:rPr>
                <w:lang w:val="es-ES"/>
              </w:rPr>
              <w:t xml:space="preserve"> 51</w:t>
            </w:r>
            <w:r>
              <w:rPr>
                <w:lang w:val="es-ES"/>
              </w:rPr>
              <w:t>,</w:t>
            </w:r>
            <w:r w:rsidR="00EB7C8F" w:rsidRPr="00C85E14">
              <w:rPr>
                <w:lang w:val="es-ES"/>
              </w:rPr>
              <w:t>4-52</w:t>
            </w:r>
            <w:r>
              <w:rPr>
                <w:lang w:val="es-ES"/>
              </w:rPr>
              <w:t>,</w:t>
            </w:r>
            <w:r w:rsidR="00EB7C8F" w:rsidRPr="00C85E14">
              <w:rPr>
                <w:lang w:val="es-ES"/>
              </w:rPr>
              <w:t>4 GHz</w:t>
            </w:r>
            <w:r w:rsidR="00EB7C8F" w:rsidRPr="00C85E14">
              <w:rPr>
                <w:rFonts w:eastAsia="SimSun"/>
                <w:lang w:val="es-ES" w:eastAsia="zh-CN"/>
              </w:rPr>
              <w:t>.</w:t>
            </w:r>
          </w:p>
        </w:tc>
      </w:tr>
      <w:tr w:rsidR="00EB7C8F" w:rsidRPr="00C85E14" w14:paraId="148E8C12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C7B4B" w14:textId="72F9743F" w:rsidR="00EB7C8F" w:rsidRPr="00C85E14" w:rsidRDefault="00C85E14" w:rsidP="00160976">
            <w:pPr>
              <w:keepNext/>
              <w:rPr>
                <w:b/>
                <w:i/>
                <w:lang w:val="es-ES"/>
              </w:rPr>
            </w:pPr>
            <w:r w:rsidRPr="00C85E14">
              <w:rPr>
                <w:b/>
                <w:i/>
                <w:lang w:val="es-ES"/>
              </w:rPr>
              <w:t>Indicación de posibles dificultades</w:t>
            </w:r>
            <w:r w:rsidR="00EB7C8F" w:rsidRPr="00C85E14">
              <w:rPr>
                <w:b/>
                <w:iCs/>
                <w:lang w:val="es-ES"/>
              </w:rPr>
              <w:t>:</w:t>
            </w:r>
          </w:p>
          <w:p w14:paraId="3C72A0C5" w14:textId="05A70FA1" w:rsidR="00EB7C8F" w:rsidRPr="00C85E14" w:rsidRDefault="00C85E14" w:rsidP="00160976">
            <w:pPr>
              <w:rPr>
                <w:iCs/>
                <w:lang w:val="es-ES"/>
              </w:rPr>
            </w:pPr>
            <w:r w:rsidRPr="00C85E14">
              <w:rPr>
                <w:rFonts w:eastAsia="SimSun"/>
                <w:lang w:val="es-ES" w:eastAsia="zh-CN"/>
              </w:rPr>
              <w:t>Por determinar</w:t>
            </w:r>
          </w:p>
        </w:tc>
      </w:tr>
      <w:tr w:rsidR="00EB7C8F" w:rsidRPr="00C85E14" w14:paraId="2097EAE7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5499" w14:textId="1128CA7A" w:rsidR="00EB7C8F" w:rsidRPr="00C85E14" w:rsidRDefault="00C85E14" w:rsidP="00160976">
            <w:pPr>
              <w:keepNext/>
              <w:rPr>
                <w:b/>
                <w:i/>
                <w:lang w:val="es-ES"/>
              </w:rPr>
            </w:pPr>
            <w:r w:rsidRPr="00C85E14">
              <w:rPr>
                <w:b/>
                <w:i/>
                <w:lang w:val="es-ES"/>
              </w:rPr>
              <w:t>Estudios previos o en curso sobre el tema</w:t>
            </w:r>
            <w:r w:rsidR="00EB7C8F" w:rsidRPr="00C85E14">
              <w:rPr>
                <w:b/>
                <w:iCs/>
                <w:lang w:val="es-ES"/>
              </w:rPr>
              <w:t>:</w:t>
            </w:r>
          </w:p>
          <w:p w14:paraId="10DA450E" w14:textId="3DB39762" w:rsidR="00EB7C8F" w:rsidRPr="00C85E14" w:rsidRDefault="00C85E14" w:rsidP="00160976">
            <w:pPr>
              <w:rPr>
                <w:b/>
                <w:iCs/>
                <w:lang w:val="es-ES"/>
              </w:rPr>
            </w:pPr>
            <w:r w:rsidRPr="00C85E14">
              <w:rPr>
                <w:lang w:val="es-ES"/>
              </w:rPr>
              <w:lastRenderedPageBreak/>
              <w:t>Tema 9.1.9 del punto 9.1 del o</w:t>
            </w:r>
            <w:r>
              <w:rPr>
                <w:lang w:val="es-ES"/>
              </w:rPr>
              <w:t>rden del día de la CMR-19</w:t>
            </w:r>
          </w:p>
        </w:tc>
      </w:tr>
      <w:tr w:rsidR="00EB7C8F" w:rsidRPr="00C85E14" w14:paraId="7DEAC28D" w14:textId="77777777" w:rsidTr="0016097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B57F6" w14:textId="70B80BEB" w:rsidR="00EB7C8F" w:rsidRPr="00C85E14" w:rsidRDefault="00C85E14" w:rsidP="00160976">
            <w:pPr>
              <w:keepNext/>
              <w:rPr>
                <w:b/>
                <w:i/>
                <w:color w:val="000000"/>
                <w:lang w:val="es-ES"/>
              </w:rPr>
            </w:pPr>
            <w:r w:rsidRPr="00C85E14">
              <w:rPr>
                <w:b/>
                <w:i/>
                <w:color w:val="000000"/>
                <w:lang w:val="es-ES"/>
              </w:rPr>
              <w:lastRenderedPageBreak/>
              <w:t>Estudios que han de efectuarse a cargo</w:t>
            </w:r>
            <w:r>
              <w:rPr>
                <w:b/>
                <w:i/>
                <w:color w:val="000000"/>
                <w:lang w:val="es-ES"/>
              </w:rPr>
              <w:t xml:space="preserve"> de</w:t>
            </w:r>
            <w:r w:rsidR="00EB7C8F" w:rsidRPr="00C85E14">
              <w:rPr>
                <w:b/>
                <w:iCs/>
                <w:color w:val="000000"/>
                <w:lang w:val="es-ES"/>
              </w:rPr>
              <w:t>:</w:t>
            </w:r>
          </w:p>
          <w:p w14:paraId="570A7379" w14:textId="46618ADB" w:rsidR="00EB7C8F" w:rsidRPr="00C85E14" w:rsidRDefault="00C85E14" w:rsidP="00160976">
            <w:pPr>
              <w:rPr>
                <w:iCs/>
                <w:lang w:val="es-ES" w:eastAsia="ja-JP"/>
              </w:rPr>
            </w:pPr>
            <w:r w:rsidRPr="00C85E14">
              <w:rPr>
                <w:lang w:val="es-ES"/>
              </w:rPr>
              <w:t>GT</w:t>
            </w:r>
            <w:r w:rsidR="00EB7C8F" w:rsidRPr="00C85E14">
              <w:rPr>
                <w:lang w:val="es-ES"/>
              </w:rPr>
              <w:t xml:space="preserve"> 4A </w:t>
            </w:r>
            <w:r w:rsidRPr="00C85E14">
              <w:rPr>
                <w:lang w:val="es-ES"/>
              </w:rPr>
              <w:t>del UIT-R como grupo responsable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FCD394" w14:textId="1943C2CE" w:rsidR="00EB7C8F" w:rsidRPr="00C85E14" w:rsidRDefault="00C85E14" w:rsidP="00160976">
            <w:pPr>
              <w:keepNext/>
              <w:rPr>
                <w:b/>
                <w:iCs/>
                <w:color w:val="000000"/>
                <w:lang w:val="es-ES"/>
              </w:rPr>
            </w:pPr>
            <w:r w:rsidRPr="00C85E14">
              <w:rPr>
                <w:b/>
                <w:i/>
                <w:color w:val="000000"/>
                <w:lang w:val="es-ES"/>
              </w:rPr>
              <w:t>con participación de</w:t>
            </w:r>
            <w:r w:rsidR="00EB7C8F" w:rsidRPr="00C85E14">
              <w:rPr>
                <w:b/>
                <w:iCs/>
                <w:color w:val="000000"/>
                <w:lang w:val="es-ES"/>
              </w:rPr>
              <w:t>:</w:t>
            </w:r>
          </w:p>
          <w:p w14:paraId="6C4DC0CF" w14:textId="002FBE5C" w:rsidR="00EB7C8F" w:rsidRPr="00C85E14" w:rsidRDefault="00C85E14" w:rsidP="00160976">
            <w:pPr>
              <w:rPr>
                <w:lang w:val="es-ES" w:eastAsia="ja-JP"/>
              </w:rPr>
            </w:pPr>
            <w:r w:rsidRPr="00C85E14">
              <w:rPr>
                <w:lang w:val="es-ES"/>
              </w:rPr>
              <w:t xml:space="preserve">Otros GT pertinentes, administraciones, Miembros de </w:t>
            </w:r>
            <w:r>
              <w:rPr>
                <w:lang w:val="es-ES"/>
              </w:rPr>
              <w:t>Sector</w:t>
            </w:r>
          </w:p>
        </w:tc>
      </w:tr>
      <w:tr w:rsidR="00EB7C8F" w:rsidRPr="00416BFD" w14:paraId="2ED5F0AB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69715" w14:textId="2AFE74AF" w:rsidR="00EB7C8F" w:rsidRPr="00C85E14" w:rsidRDefault="00C85E14" w:rsidP="00160976">
            <w:pPr>
              <w:keepNext/>
              <w:rPr>
                <w:b/>
                <w:i/>
                <w:color w:val="000000"/>
                <w:lang w:val="es-ES"/>
              </w:rPr>
            </w:pPr>
            <w:r w:rsidRPr="00C85E14">
              <w:rPr>
                <w:b/>
                <w:i/>
                <w:color w:val="000000"/>
                <w:lang w:val="es-ES"/>
              </w:rPr>
              <w:t>Comisiones de Estudio del UIT-R intere</w:t>
            </w:r>
            <w:r>
              <w:rPr>
                <w:b/>
                <w:i/>
                <w:color w:val="000000"/>
                <w:lang w:val="es-ES"/>
              </w:rPr>
              <w:t>sadas</w:t>
            </w:r>
            <w:r w:rsidR="00EB7C8F" w:rsidRPr="00C85E14">
              <w:rPr>
                <w:b/>
                <w:iCs/>
                <w:color w:val="000000"/>
                <w:lang w:val="es-ES"/>
              </w:rPr>
              <w:t>:</w:t>
            </w:r>
          </w:p>
          <w:p w14:paraId="734EBDD8" w14:textId="59CF24CE" w:rsidR="00EB7C8F" w:rsidRPr="00416BFD" w:rsidRDefault="00C85E14" w:rsidP="00160976">
            <w:pPr>
              <w:rPr>
                <w:iCs/>
                <w:lang w:eastAsia="ja-JP"/>
              </w:rPr>
            </w:pPr>
            <w:r>
              <w:t>CE</w:t>
            </w:r>
            <w:r w:rsidR="00EB7C8F" w:rsidRPr="00416BFD">
              <w:t xml:space="preserve"> 4, </w:t>
            </w:r>
            <w:r>
              <w:t>CE</w:t>
            </w:r>
            <w:r w:rsidR="00EB7C8F" w:rsidRPr="00416BFD">
              <w:t xml:space="preserve"> 5, </w:t>
            </w:r>
            <w:r>
              <w:t>CE</w:t>
            </w:r>
            <w:r w:rsidR="00EB7C8F" w:rsidRPr="00416BFD">
              <w:t xml:space="preserve"> 7</w:t>
            </w:r>
          </w:p>
        </w:tc>
      </w:tr>
      <w:tr w:rsidR="00EB7C8F" w:rsidRPr="00C85E14" w14:paraId="649993B5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AADC" w14:textId="4A9712F2" w:rsidR="00EB7C8F" w:rsidRPr="00C85E14" w:rsidRDefault="00C85E14" w:rsidP="00160976">
            <w:pPr>
              <w:keepNext/>
              <w:rPr>
                <w:b/>
                <w:i/>
                <w:lang w:val="es-ES"/>
              </w:rPr>
            </w:pPr>
            <w:r w:rsidRPr="00C85E14">
              <w:rPr>
                <w:b/>
                <w:i/>
                <w:lang w:val="es-ES"/>
              </w:rPr>
              <w:t xml:space="preserve">Consecuencias en los recursos de </w:t>
            </w:r>
            <w:r>
              <w:rPr>
                <w:b/>
                <w:i/>
                <w:lang w:val="es-ES"/>
              </w:rPr>
              <w:t>la UIT, incluidas las implicaciones financieras (véase el</w:t>
            </w:r>
            <w:r w:rsidR="00EB7C8F" w:rsidRPr="00C85E14">
              <w:rPr>
                <w:b/>
                <w:i/>
                <w:lang w:val="es-ES"/>
              </w:rPr>
              <w:t xml:space="preserve"> CV126)</w:t>
            </w:r>
            <w:r w:rsidR="00EB7C8F" w:rsidRPr="00C85E14">
              <w:rPr>
                <w:b/>
                <w:iCs/>
                <w:lang w:val="es-ES"/>
              </w:rPr>
              <w:t>:</w:t>
            </w:r>
          </w:p>
          <w:p w14:paraId="766D927C" w14:textId="33BA9A7D" w:rsidR="00EB7C8F" w:rsidRPr="00C85E14" w:rsidRDefault="00C85E14" w:rsidP="00160976">
            <w:pPr>
              <w:rPr>
                <w:b/>
                <w:lang w:val="es-ES"/>
              </w:rPr>
            </w:pPr>
            <w:r w:rsidRPr="00C85E14">
              <w:rPr>
                <w:lang w:val="es-ES"/>
              </w:rPr>
              <w:t>No se han identificado hasta la fecha implica</w:t>
            </w:r>
            <w:r>
              <w:rPr>
                <w:lang w:val="es-ES"/>
              </w:rPr>
              <w:t>ciones financieras directas</w:t>
            </w:r>
            <w:r w:rsidR="00EB7C8F" w:rsidRPr="00C85E14">
              <w:rPr>
                <w:lang w:val="es-ES"/>
              </w:rPr>
              <w:t>.</w:t>
            </w:r>
          </w:p>
        </w:tc>
      </w:tr>
      <w:tr w:rsidR="00EB7C8F" w:rsidRPr="00EB7C8F" w14:paraId="4726DAE7" w14:textId="77777777" w:rsidTr="0016097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C47FE9" w14:textId="09BF3847" w:rsidR="00EB7C8F" w:rsidRPr="00416BFD" w:rsidRDefault="00C85E14" w:rsidP="00160976">
            <w:pPr>
              <w:keepNext/>
              <w:rPr>
                <w:b/>
                <w:iCs/>
              </w:rPr>
            </w:pPr>
            <w:r>
              <w:rPr>
                <w:b/>
                <w:i/>
              </w:rPr>
              <w:t>Propuesta regional común</w:t>
            </w:r>
            <w:r w:rsidR="00EB7C8F" w:rsidRPr="00416BFD">
              <w:rPr>
                <w:b/>
                <w:iCs/>
              </w:rPr>
              <w:t xml:space="preserve">: </w:t>
            </w:r>
            <w:r w:rsidR="00EB7C8F" w:rsidRPr="00416BFD">
              <w:rPr>
                <w:bCs/>
                <w:iCs/>
              </w:rPr>
              <w:t>No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C02D4" w14:textId="4CE870C7" w:rsidR="00EB7C8F" w:rsidRPr="00C85E14" w:rsidRDefault="00C85E14" w:rsidP="00160976">
            <w:pPr>
              <w:keepNext/>
              <w:rPr>
                <w:b/>
                <w:iCs/>
                <w:lang w:val="es-ES"/>
              </w:rPr>
            </w:pPr>
            <w:r w:rsidRPr="00C85E14">
              <w:rPr>
                <w:b/>
                <w:i/>
                <w:lang w:val="es-ES"/>
              </w:rPr>
              <w:t>Propuesta presentada por más de un paí</w:t>
            </w:r>
            <w:r>
              <w:rPr>
                <w:b/>
                <w:i/>
                <w:lang w:val="es-ES"/>
              </w:rPr>
              <w:t>s</w:t>
            </w:r>
            <w:r w:rsidR="00EB7C8F" w:rsidRPr="00C85E14">
              <w:rPr>
                <w:b/>
                <w:iCs/>
                <w:lang w:val="es-ES"/>
              </w:rPr>
              <w:t xml:space="preserve">: </w:t>
            </w:r>
            <w:r>
              <w:rPr>
                <w:b/>
                <w:iCs/>
                <w:lang w:val="es-ES"/>
              </w:rPr>
              <w:t>Sí</w:t>
            </w:r>
          </w:p>
          <w:p w14:paraId="05B58285" w14:textId="7FC422AA" w:rsidR="00EB7C8F" w:rsidRPr="00EB7C8F" w:rsidRDefault="00EB7C8F" w:rsidP="00160976">
            <w:pPr>
              <w:keepNext/>
              <w:rPr>
                <w:b/>
                <w:i/>
                <w:lang w:val="en-US"/>
              </w:rPr>
            </w:pPr>
            <w:r w:rsidRPr="00EB7C8F">
              <w:rPr>
                <w:b/>
                <w:i/>
                <w:lang w:val="en-US"/>
              </w:rPr>
              <w:t>N</w:t>
            </w:r>
            <w:r w:rsidR="00C85E14">
              <w:rPr>
                <w:b/>
                <w:i/>
                <w:lang w:val="en-US"/>
              </w:rPr>
              <w:t>úmero de países</w:t>
            </w:r>
            <w:r w:rsidRPr="00EB7C8F">
              <w:rPr>
                <w:b/>
                <w:iCs/>
                <w:lang w:val="en-US"/>
              </w:rPr>
              <w:t xml:space="preserve">: </w:t>
            </w:r>
            <w:r w:rsidRPr="00EB7C8F">
              <w:rPr>
                <w:rFonts w:eastAsia="SimSun"/>
                <w:bCs/>
                <w:iCs/>
                <w:lang w:val="en-US" w:eastAsia="zh-CN"/>
              </w:rPr>
              <w:t>2</w:t>
            </w:r>
          </w:p>
          <w:p w14:paraId="1F5CD367" w14:textId="77777777" w:rsidR="00EB7C8F" w:rsidRPr="00EB7C8F" w:rsidRDefault="00EB7C8F" w:rsidP="00160976">
            <w:pPr>
              <w:keepNext/>
              <w:rPr>
                <w:b/>
                <w:i/>
                <w:lang w:val="en-US"/>
              </w:rPr>
            </w:pPr>
          </w:p>
        </w:tc>
      </w:tr>
      <w:tr w:rsidR="00EB7C8F" w:rsidRPr="00416BFD" w14:paraId="1814331B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8AA82" w14:textId="48C7B244" w:rsidR="00EB7C8F" w:rsidRPr="00416BFD" w:rsidRDefault="00C85E14" w:rsidP="00160976">
            <w:pPr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  <w:p w14:paraId="39A207DB" w14:textId="77777777" w:rsidR="00EB7C8F" w:rsidRPr="00416BFD" w:rsidRDefault="00EB7C8F" w:rsidP="00160976">
            <w:pPr>
              <w:rPr>
                <w:b/>
                <w:i/>
              </w:rPr>
            </w:pPr>
          </w:p>
        </w:tc>
      </w:tr>
      <w:bookmarkEnd w:id="10"/>
    </w:tbl>
    <w:p w14:paraId="62CCA71B" w14:textId="77777777" w:rsidR="003B465B" w:rsidRDefault="003B465B" w:rsidP="007D6E3C"/>
    <w:p w14:paraId="6033B463" w14:textId="77777777" w:rsidR="003B465B" w:rsidRDefault="003B465B">
      <w:pPr>
        <w:jc w:val="center"/>
      </w:pPr>
      <w:r>
        <w:t>______________</w:t>
      </w:r>
    </w:p>
    <w:sectPr w:rsidR="003B465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F19F" w14:textId="77777777" w:rsidR="00666B37" w:rsidRDefault="00666B37">
      <w:r>
        <w:separator/>
      </w:r>
    </w:p>
  </w:endnote>
  <w:endnote w:type="continuationSeparator" w:id="0">
    <w:p w14:paraId="78BEB97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65A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C93DD" w14:textId="642C2DA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6E3C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FCF4" w14:textId="0C6C0AA2" w:rsidR="0077084A" w:rsidRDefault="007D6E3C" w:rsidP="00F242E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42E7">
      <w:t>P:\ESP\ITU-R\CONF-R\CMR23\100\135S.docx</w:t>
    </w:r>
    <w:r>
      <w:fldChar w:fldCharType="end"/>
    </w:r>
    <w:r w:rsidR="00F242E7">
      <w:t xml:space="preserve"> </w:t>
    </w:r>
    <w:r w:rsidR="00FC1C83" w:rsidRPr="00FC1C83">
      <w:rPr>
        <w:lang w:val="en-US"/>
      </w:rPr>
      <w:t>(</w:t>
    </w:r>
    <w:r w:rsidR="00FC1C83">
      <w:rPr>
        <w:lang w:val="en-US"/>
      </w:rPr>
      <w:t>530343)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821" w14:textId="7DF479F4" w:rsidR="0077084A" w:rsidRPr="00FC1C83" w:rsidRDefault="007D6E3C" w:rsidP="00F242E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42E7">
      <w:t>P:\ESP\ITU-R\CONF-R\CMR23\100\135S.docx</w:t>
    </w:r>
    <w:r>
      <w:fldChar w:fldCharType="end"/>
    </w:r>
    <w:r w:rsidR="00F242E7">
      <w:t xml:space="preserve"> </w:t>
    </w:r>
    <w:r w:rsidR="00FC1C83" w:rsidRPr="00FC1C83">
      <w:rPr>
        <w:lang w:val="en-US"/>
      </w:rPr>
      <w:t>(</w:t>
    </w:r>
    <w:r w:rsidR="00FC1C83">
      <w:rPr>
        <w:lang w:val="en-US"/>
      </w:rPr>
      <w:t>530343)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9F8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3D6197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00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3DE12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135-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25662EC"/>
    <w:multiLevelType w:val="hybridMultilevel"/>
    <w:tmpl w:val="F14A574A"/>
    <w:lvl w:ilvl="0" w:tplc="CD9C5BB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5742">
    <w:abstractNumId w:val="8"/>
  </w:num>
  <w:num w:numId="2" w16cid:durableId="7543209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45188195">
    <w:abstractNumId w:val="9"/>
  </w:num>
  <w:num w:numId="4" w16cid:durableId="1767116602">
    <w:abstractNumId w:val="7"/>
  </w:num>
  <w:num w:numId="5" w16cid:durableId="952060002">
    <w:abstractNumId w:val="6"/>
  </w:num>
  <w:num w:numId="6" w16cid:durableId="1829830880">
    <w:abstractNumId w:val="5"/>
  </w:num>
  <w:num w:numId="7" w16cid:durableId="2131702359">
    <w:abstractNumId w:val="4"/>
  </w:num>
  <w:num w:numId="8" w16cid:durableId="1207371358">
    <w:abstractNumId w:val="3"/>
  </w:num>
  <w:num w:numId="9" w16cid:durableId="332026259">
    <w:abstractNumId w:val="2"/>
  </w:num>
  <w:num w:numId="10" w16cid:durableId="1969234768">
    <w:abstractNumId w:val="1"/>
  </w:num>
  <w:num w:numId="11" w16cid:durableId="859322825">
    <w:abstractNumId w:val="0"/>
  </w:num>
  <w:num w:numId="12" w16cid:durableId="1013338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11DE8"/>
    <w:rsid w:val="0011283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7428C"/>
    <w:rsid w:val="003B1E8C"/>
    <w:rsid w:val="003B465B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D6E3C"/>
    <w:rsid w:val="0080079E"/>
    <w:rsid w:val="008504C2"/>
    <w:rsid w:val="00866AE6"/>
    <w:rsid w:val="008750A8"/>
    <w:rsid w:val="0089572B"/>
    <w:rsid w:val="008B4060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22808"/>
    <w:rsid w:val="00A4450C"/>
    <w:rsid w:val="00A84C5D"/>
    <w:rsid w:val="00AA5E6C"/>
    <w:rsid w:val="00AC49B1"/>
    <w:rsid w:val="00AE5677"/>
    <w:rsid w:val="00AE658F"/>
    <w:rsid w:val="00AF148C"/>
    <w:rsid w:val="00AF2F78"/>
    <w:rsid w:val="00B239FA"/>
    <w:rsid w:val="00B372AB"/>
    <w:rsid w:val="00B47331"/>
    <w:rsid w:val="00B52D55"/>
    <w:rsid w:val="00B8288C"/>
    <w:rsid w:val="00B86034"/>
    <w:rsid w:val="00BA2AEA"/>
    <w:rsid w:val="00BE2E80"/>
    <w:rsid w:val="00BE5EDD"/>
    <w:rsid w:val="00BE6A1F"/>
    <w:rsid w:val="00BF53F6"/>
    <w:rsid w:val="00C126C4"/>
    <w:rsid w:val="00C44E9E"/>
    <w:rsid w:val="00C571B7"/>
    <w:rsid w:val="00C63EB5"/>
    <w:rsid w:val="00C80471"/>
    <w:rsid w:val="00C85E14"/>
    <w:rsid w:val="00C87DA7"/>
    <w:rsid w:val="00CA4945"/>
    <w:rsid w:val="00CC01E0"/>
    <w:rsid w:val="00CD5FEE"/>
    <w:rsid w:val="00CE60D2"/>
    <w:rsid w:val="00CE7431"/>
    <w:rsid w:val="00D00CA8"/>
    <w:rsid w:val="00D0288A"/>
    <w:rsid w:val="00D42D4B"/>
    <w:rsid w:val="00D72A5D"/>
    <w:rsid w:val="00DA71A3"/>
    <w:rsid w:val="00DC1922"/>
    <w:rsid w:val="00DC629B"/>
    <w:rsid w:val="00DE1C31"/>
    <w:rsid w:val="00E05BFF"/>
    <w:rsid w:val="00E2286F"/>
    <w:rsid w:val="00E262F1"/>
    <w:rsid w:val="00E3176A"/>
    <w:rsid w:val="00E36CE4"/>
    <w:rsid w:val="00E54754"/>
    <w:rsid w:val="00E56BD3"/>
    <w:rsid w:val="00E71D14"/>
    <w:rsid w:val="00EA77F0"/>
    <w:rsid w:val="00EB7C8F"/>
    <w:rsid w:val="00F242E7"/>
    <w:rsid w:val="00F32316"/>
    <w:rsid w:val="00F66597"/>
    <w:rsid w:val="00F675D0"/>
    <w:rsid w:val="00F8150C"/>
    <w:rsid w:val="00FC1C83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700E1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  <w:qFormat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D42D4B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qFormat/>
    <w:locked/>
    <w:rsid w:val="00D42D4B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qFormat/>
    <w:rsid w:val="00D42D4B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D42D4B"/>
    <w:rPr>
      <w:rFonts w:ascii="Times New Roman" w:hAnsi="Times New Roman"/>
      <w:caps/>
      <w:sz w:val="2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8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537B4733-D5AD-4EC7-A599-B35DFAB50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20D74-DE2D-4B89-9AD6-0D4A4A107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9C18B-271E-4331-BE02-BC06B9E42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68AA15-51E9-49B1-B0DE-2302B2C083B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1493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R23-WRC23-C-0135!!MSW-S</vt:lpstr>
    </vt:vector>
  </TitlesOfParts>
  <Manager>Secretaría General - Pool</Manager>
  <Company>Unión Internacional de Telecomunicaciones (UIT)</Company>
  <LinksUpToDate>false</LinksUpToDate>
  <CharactersWithSpaces>9516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R23-WRC23-C-0135!!MSW-S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12</cp:revision>
  <cp:lastPrinted>2003-02-19T20:20:00Z</cp:lastPrinted>
  <dcterms:created xsi:type="dcterms:W3CDTF">2023-11-08T10:52:00Z</dcterms:created>
  <dcterms:modified xsi:type="dcterms:W3CDTF">2023-11-08T11:41:00Z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