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17203" w14:paraId="3E8AC474" w14:textId="77777777" w:rsidTr="00C1305F">
        <w:trPr>
          <w:cantSplit/>
        </w:trPr>
        <w:tc>
          <w:tcPr>
            <w:tcW w:w="1418" w:type="dxa"/>
            <w:vAlign w:val="center"/>
          </w:tcPr>
          <w:p w14:paraId="1DF6196E" w14:textId="77777777" w:rsidR="00C1305F" w:rsidRPr="00B17203" w:rsidRDefault="00C1305F" w:rsidP="002F10B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17203">
              <w:drawing>
                <wp:inline distT="0" distB="0" distL="0" distR="0" wp14:anchorId="7E1617B2" wp14:editId="3097F30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3A4351" w14:textId="5A663565" w:rsidR="00C1305F" w:rsidRPr="00B17203" w:rsidRDefault="00C1305F" w:rsidP="002F10B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1720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17203">
              <w:rPr>
                <w:rFonts w:ascii="Verdana" w:hAnsi="Verdana"/>
                <w:b/>
                <w:bCs/>
                <w:sz w:val="20"/>
              </w:rPr>
              <w:br/>
            </w:r>
            <w:r w:rsidRPr="00B1720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3357B" w:rsidRPr="00B1720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1720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735304D" w14:textId="77777777" w:rsidR="00C1305F" w:rsidRPr="00B17203" w:rsidRDefault="00C1305F" w:rsidP="002F10B7">
            <w:pPr>
              <w:spacing w:before="0"/>
            </w:pPr>
            <w:bookmarkStart w:id="0" w:name="ditulogo"/>
            <w:bookmarkEnd w:id="0"/>
            <w:r w:rsidRPr="00B17203">
              <w:drawing>
                <wp:inline distT="0" distB="0" distL="0" distR="0" wp14:anchorId="50538559" wp14:editId="2F2F827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17203" w14:paraId="34B1A51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C9F5EBE" w14:textId="77777777" w:rsidR="00BB1D82" w:rsidRPr="00B17203" w:rsidRDefault="00BB1D82" w:rsidP="002F10B7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9029F9A" w14:textId="77777777" w:rsidR="00BB1D82" w:rsidRPr="00B17203" w:rsidRDefault="00BB1D82" w:rsidP="002F10B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17203" w14:paraId="4EECD7E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1774DE" w14:textId="77777777" w:rsidR="00BB1D82" w:rsidRPr="00B17203" w:rsidRDefault="00BB1D82" w:rsidP="002F10B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EB38C0" w14:textId="77777777" w:rsidR="00BB1D82" w:rsidRPr="00B17203" w:rsidRDefault="00BB1D82" w:rsidP="002F10B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17203" w14:paraId="349883EE" w14:textId="77777777" w:rsidTr="00BB1D82">
        <w:trPr>
          <w:cantSplit/>
        </w:trPr>
        <w:tc>
          <w:tcPr>
            <w:tcW w:w="6911" w:type="dxa"/>
            <w:gridSpan w:val="2"/>
          </w:tcPr>
          <w:p w14:paraId="6F23443B" w14:textId="77777777" w:rsidR="00BB1D82" w:rsidRPr="00B17203" w:rsidRDefault="006D4724" w:rsidP="002F10B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720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6FD75AF" w14:textId="77777777" w:rsidR="00BB1D82" w:rsidRPr="00B17203" w:rsidRDefault="006D4724" w:rsidP="002F10B7">
            <w:pPr>
              <w:spacing w:before="0"/>
              <w:rPr>
                <w:rFonts w:ascii="Verdana" w:hAnsi="Verdana"/>
                <w:sz w:val="20"/>
              </w:rPr>
            </w:pPr>
            <w:r w:rsidRPr="00B17203">
              <w:rPr>
                <w:rFonts w:ascii="Verdana" w:hAnsi="Verdana"/>
                <w:b/>
                <w:sz w:val="20"/>
              </w:rPr>
              <w:t>Document 135</w:t>
            </w:r>
            <w:r w:rsidR="00BB1D82" w:rsidRPr="00B17203">
              <w:rPr>
                <w:rFonts w:ascii="Verdana" w:hAnsi="Verdana"/>
                <w:b/>
                <w:sz w:val="20"/>
              </w:rPr>
              <w:t>-</w:t>
            </w:r>
            <w:r w:rsidRPr="00B1720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17203" w14:paraId="06E40511" w14:textId="77777777" w:rsidTr="00BB1D82">
        <w:trPr>
          <w:cantSplit/>
        </w:trPr>
        <w:tc>
          <w:tcPr>
            <w:tcW w:w="6911" w:type="dxa"/>
            <w:gridSpan w:val="2"/>
          </w:tcPr>
          <w:p w14:paraId="5A0A14A1" w14:textId="77777777" w:rsidR="00690C7B" w:rsidRPr="00B17203" w:rsidRDefault="00690C7B" w:rsidP="002F10B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FC65627" w14:textId="77777777" w:rsidR="00690C7B" w:rsidRPr="00B17203" w:rsidRDefault="00690C7B" w:rsidP="002F10B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7203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B17203" w14:paraId="148C84C5" w14:textId="77777777" w:rsidTr="00BB1D82">
        <w:trPr>
          <w:cantSplit/>
        </w:trPr>
        <w:tc>
          <w:tcPr>
            <w:tcW w:w="6911" w:type="dxa"/>
            <w:gridSpan w:val="2"/>
          </w:tcPr>
          <w:p w14:paraId="74A30A0E" w14:textId="77777777" w:rsidR="00690C7B" w:rsidRPr="00B17203" w:rsidRDefault="00690C7B" w:rsidP="002F10B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DC5B3B9" w14:textId="77777777" w:rsidR="00690C7B" w:rsidRPr="00B17203" w:rsidRDefault="00690C7B" w:rsidP="002F10B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720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17203" w14:paraId="1ACAE35A" w14:textId="77777777" w:rsidTr="00C11970">
        <w:trPr>
          <w:cantSplit/>
        </w:trPr>
        <w:tc>
          <w:tcPr>
            <w:tcW w:w="10031" w:type="dxa"/>
            <w:gridSpan w:val="4"/>
          </w:tcPr>
          <w:p w14:paraId="6DCE34C2" w14:textId="77777777" w:rsidR="00690C7B" w:rsidRPr="00B17203" w:rsidRDefault="00690C7B" w:rsidP="002F10B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17203" w14:paraId="062CD993" w14:textId="77777777" w:rsidTr="0050008E">
        <w:trPr>
          <w:cantSplit/>
        </w:trPr>
        <w:tc>
          <w:tcPr>
            <w:tcW w:w="10031" w:type="dxa"/>
            <w:gridSpan w:val="4"/>
          </w:tcPr>
          <w:p w14:paraId="7480A452" w14:textId="77777777" w:rsidR="00690C7B" w:rsidRPr="00B17203" w:rsidRDefault="00690C7B" w:rsidP="002F10B7">
            <w:pPr>
              <w:pStyle w:val="Source"/>
            </w:pPr>
            <w:bookmarkStart w:id="2" w:name="dsource" w:colFirst="0" w:colLast="0"/>
            <w:r w:rsidRPr="00B17203">
              <w:t>Singapour (République de)/Tonga (Royaume des)</w:t>
            </w:r>
          </w:p>
        </w:tc>
      </w:tr>
      <w:tr w:rsidR="00690C7B" w:rsidRPr="00B17203" w14:paraId="7B3AF7C0" w14:textId="77777777" w:rsidTr="0050008E">
        <w:trPr>
          <w:cantSplit/>
        </w:trPr>
        <w:tc>
          <w:tcPr>
            <w:tcW w:w="10031" w:type="dxa"/>
            <w:gridSpan w:val="4"/>
          </w:tcPr>
          <w:p w14:paraId="01A39294" w14:textId="4779DC63" w:rsidR="00690C7B" w:rsidRPr="00B17203" w:rsidRDefault="00D57778" w:rsidP="002F10B7">
            <w:pPr>
              <w:pStyle w:val="Title1"/>
            </w:pPr>
            <w:bookmarkStart w:id="3" w:name="dtitle1" w:colFirst="0" w:colLast="0"/>
            <w:bookmarkEnd w:id="2"/>
            <w:r w:rsidRPr="00B17203">
              <w:rPr>
                <w:rStyle w:val="ui-provider"/>
              </w:rPr>
              <w:t>Propositions pour les travaux de la Conférence</w:t>
            </w:r>
          </w:p>
        </w:tc>
      </w:tr>
      <w:tr w:rsidR="00690C7B" w:rsidRPr="00B17203" w14:paraId="3FF525E9" w14:textId="77777777" w:rsidTr="0050008E">
        <w:trPr>
          <w:cantSplit/>
        </w:trPr>
        <w:tc>
          <w:tcPr>
            <w:tcW w:w="10031" w:type="dxa"/>
            <w:gridSpan w:val="4"/>
          </w:tcPr>
          <w:p w14:paraId="203F859A" w14:textId="77777777" w:rsidR="00690C7B" w:rsidRPr="00B17203" w:rsidRDefault="00690C7B" w:rsidP="002F10B7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17203" w14:paraId="5E62E9FD" w14:textId="77777777" w:rsidTr="0050008E">
        <w:trPr>
          <w:cantSplit/>
        </w:trPr>
        <w:tc>
          <w:tcPr>
            <w:tcW w:w="10031" w:type="dxa"/>
            <w:gridSpan w:val="4"/>
          </w:tcPr>
          <w:p w14:paraId="3ABC21A1" w14:textId="77777777" w:rsidR="00690C7B" w:rsidRPr="00B17203" w:rsidRDefault="00690C7B" w:rsidP="002F10B7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17203">
              <w:rPr>
                <w:lang w:val="fr-FR"/>
              </w:rPr>
              <w:t>Point 10 de l'ordre du jour</w:t>
            </w:r>
          </w:p>
        </w:tc>
      </w:tr>
    </w:tbl>
    <w:bookmarkEnd w:id="5"/>
    <w:p w14:paraId="13B77A36" w14:textId="77777777" w:rsidR="00B05D15" w:rsidRPr="00B17203" w:rsidRDefault="00EE0AA3" w:rsidP="002F10B7">
      <w:r w:rsidRPr="00B17203">
        <w:t>10</w:t>
      </w:r>
      <w:r w:rsidRPr="00B17203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B17203">
        <w:rPr>
          <w:b/>
        </w:rPr>
        <w:t>804 (Rév.CMR-19)</w:t>
      </w:r>
      <w:r w:rsidRPr="00B17203">
        <w:t>,</w:t>
      </w:r>
    </w:p>
    <w:p w14:paraId="00D8214B" w14:textId="15F7B6E1" w:rsidR="003A583E" w:rsidRPr="00B17203" w:rsidRDefault="003230B1" w:rsidP="002F10B7">
      <w:pPr>
        <w:pStyle w:val="Headingb"/>
      </w:pPr>
      <w:r w:rsidRPr="00B17203">
        <w:t>Introduction</w:t>
      </w:r>
    </w:p>
    <w:p w14:paraId="5B2FA217" w14:textId="4B124FF5" w:rsidR="003230B1" w:rsidRPr="00B17203" w:rsidRDefault="00B94224" w:rsidP="002F10B7">
      <w:r w:rsidRPr="00B17203">
        <w:t xml:space="preserve">Singapour (République de) et </w:t>
      </w:r>
      <w:r w:rsidR="007975D0" w:rsidRPr="00B17203">
        <w:t xml:space="preserve">les </w:t>
      </w:r>
      <w:r w:rsidRPr="00B17203">
        <w:t xml:space="preserve">Tonga (Royaume des) </w:t>
      </w:r>
      <w:r w:rsidR="002D2533" w:rsidRPr="00B17203">
        <w:t xml:space="preserve">sont favorables à </w:t>
      </w:r>
      <w:r w:rsidRPr="00B17203">
        <w:t>l'inscription du point ci</w:t>
      </w:r>
      <w:r w:rsidR="002F10B7" w:rsidRPr="00B17203">
        <w:noBreakHyphen/>
      </w:r>
      <w:r w:rsidRPr="00B17203">
        <w:t>après à l'ordre du jour de la CMR-27:</w:t>
      </w:r>
    </w:p>
    <w:p w14:paraId="359C6924" w14:textId="0890F353" w:rsidR="003230B1" w:rsidRPr="00B17203" w:rsidRDefault="003230B1" w:rsidP="002F10B7">
      <w:r w:rsidRPr="00B17203">
        <w:t>1</w:t>
      </w:r>
      <w:r w:rsidRPr="00B17203">
        <w:tab/>
        <w:t xml:space="preserve">Études relatives à l'utilisation de la bande de fréquences 51,4-52,4 GHz </w:t>
      </w:r>
      <w:r w:rsidR="002D2533" w:rsidRPr="00B17203">
        <w:t xml:space="preserve">en vue de permettre son utilisation </w:t>
      </w:r>
      <w:r w:rsidRPr="00B17203">
        <w:t xml:space="preserve">par des stations terriennes passerelles émettant vers des systèmes </w:t>
      </w:r>
      <w:r w:rsidR="007975D0" w:rsidRPr="00B17203">
        <w:t xml:space="preserve">à satellites </w:t>
      </w:r>
      <w:r w:rsidRPr="00B17203">
        <w:t>non géostationnaires du service fixe par satellite (Terre vers espace).</w:t>
      </w:r>
    </w:p>
    <w:p w14:paraId="3A095071" w14:textId="6CBD6EA5" w:rsidR="003230B1" w:rsidRPr="00B17203" w:rsidRDefault="003230B1" w:rsidP="002F10B7">
      <w:pPr>
        <w:pStyle w:val="Headingb"/>
      </w:pPr>
      <w:r w:rsidRPr="00B17203">
        <w:t>Propositions</w:t>
      </w:r>
    </w:p>
    <w:p w14:paraId="7E81EC25" w14:textId="4AA4F6C9" w:rsidR="0015203F" w:rsidRPr="00B17203" w:rsidRDefault="0015203F" w:rsidP="002F10B7">
      <w:r w:rsidRPr="00B17203">
        <w:br w:type="page"/>
      </w:r>
    </w:p>
    <w:p w14:paraId="594D4698" w14:textId="77777777" w:rsidR="005C4874" w:rsidRPr="00B17203" w:rsidRDefault="00EE0AA3" w:rsidP="002F10B7">
      <w:pPr>
        <w:pStyle w:val="Proposal"/>
      </w:pPr>
      <w:r w:rsidRPr="00B17203">
        <w:lastRenderedPageBreak/>
        <w:t>ADD</w:t>
      </w:r>
      <w:r w:rsidRPr="00B17203">
        <w:tab/>
        <w:t>SNG/TON/135/1</w:t>
      </w:r>
    </w:p>
    <w:p w14:paraId="049A240B" w14:textId="4A43E2E6" w:rsidR="005C4874" w:rsidRPr="00B17203" w:rsidRDefault="00D57778" w:rsidP="002F10B7">
      <w:pPr>
        <w:pStyle w:val="ResNo"/>
      </w:pPr>
      <w:r w:rsidRPr="00B17203">
        <w:t>résolution [</w:t>
      </w:r>
      <w:r w:rsidR="00B94224" w:rsidRPr="00B17203">
        <w:t>SNG/TON/AI 10_WRC-27_AGENDA</w:t>
      </w:r>
      <w:r w:rsidRPr="00B17203">
        <w:t>] (crm-23)</w:t>
      </w:r>
    </w:p>
    <w:p w14:paraId="18B5D32D" w14:textId="2990E1A3" w:rsidR="003230B1" w:rsidRPr="00B17203" w:rsidRDefault="00B94224" w:rsidP="002F10B7">
      <w:pPr>
        <w:pStyle w:val="Restitle"/>
      </w:pPr>
      <w:r w:rsidRPr="00B17203">
        <w:t>Ordre du jour de la Conférence mondiale des radiocommunications de 2027</w:t>
      </w:r>
    </w:p>
    <w:p w14:paraId="66525F64" w14:textId="586931F4" w:rsidR="003230B1" w:rsidRPr="00B17203" w:rsidRDefault="003230B1" w:rsidP="002F10B7">
      <w:pPr>
        <w:pStyle w:val="Normalaftertitle"/>
      </w:pPr>
      <w:r w:rsidRPr="00B17203">
        <w:t>La Conférence mondiale des radiocommunications (Dubaï, 2023),</w:t>
      </w:r>
    </w:p>
    <w:p w14:paraId="28655FE9" w14:textId="276FE7E6" w:rsidR="005C4874" w:rsidRPr="00B17203" w:rsidRDefault="003230B1" w:rsidP="00F66C42">
      <w:r w:rsidRPr="00B17203">
        <w:t>...</w:t>
      </w:r>
    </w:p>
    <w:p w14:paraId="6CD9B5F5" w14:textId="77777777" w:rsidR="003230B1" w:rsidRPr="00B17203" w:rsidRDefault="003230B1" w:rsidP="002F10B7">
      <w:pPr>
        <w:pStyle w:val="Call"/>
      </w:pPr>
      <w:r w:rsidRPr="00B17203">
        <w:t>décide</w:t>
      </w:r>
    </w:p>
    <w:p w14:paraId="7726756E" w14:textId="35CC8AB7" w:rsidR="003230B1" w:rsidRPr="00B17203" w:rsidRDefault="003230B1" w:rsidP="002F10B7">
      <w:r w:rsidRPr="00B17203">
        <w:t>de recommander au Conseil de convoquer en 2027 une CMR d'une durée maximale de quatre</w:t>
      </w:r>
      <w:r w:rsidR="002216EC" w:rsidRPr="00B17203">
        <w:t> </w:t>
      </w:r>
      <w:r w:rsidRPr="00B17203">
        <w:t>semaines, dont l'ordre du jour sera le suivant:</w:t>
      </w:r>
    </w:p>
    <w:p w14:paraId="1973FFDD" w14:textId="1A0A31A9" w:rsidR="003230B1" w:rsidRPr="00B17203" w:rsidRDefault="003230B1" w:rsidP="002F10B7">
      <w:r w:rsidRPr="00B17203">
        <w:t>1</w:t>
      </w:r>
      <w:r w:rsidRPr="00B17203">
        <w:tab/>
        <w:t>sur la base des propositions des administrations, compte tenu des résultats de la</w:t>
      </w:r>
      <w:r w:rsidR="002216EC" w:rsidRPr="00B17203">
        <w:t> </w:t>
      </w:r>
      <w:r w:rsidRPr="00B17203">
        <w:t>CMR</w:t>
      </w:r>
      <w:r w:rsidRPr="00B17203">
        <w:noBreakHyphen/>
        <w:t>23 ainsi que du rapport de la Réunion de préparation à la Conférence et compte dûment tenu des besoins des services existants ou futurs dans les bandes de fréquences considérées, examiner les points suivants et prendre les mesures appropriées:</w:t>
      </w:r>
    </w:p>
    <w:p w14:paraId="122B815A" w14:textId="77777777" w:rsidR="003230B1" w:rsidRPr="00B17203" w:rsidRDefault="003230B1" w:rsidP="002F10B7">
      <w:r w:rsidRPr="00B17203">
        <w:t>...</w:t>
      </w:r>
    </w:p>
    <w:p w14:paraId="0B202FE2" w14:textId="42B12F60" w:rsidR="003230B1" w:rsidRPr="00B17203" w:rsidRDefault="003230B1" w:rsidP="002F10B7">
      <w:r w:rsidRPr="00B17203">
        <w:t>1.y</w:t>
      </w:r>
      <w:r w:rsidRPr="00B17203">
        <w:tab/>
      </w:r>
      <w:r w:rsidR="00B94224" w:rsidRPr="00B17203">
        <w:t xml:space="preserve">mener des études relatives à l'utilisation de la bande de fréquences 51,4-52,4 GHz </w:t>
      </w:r>
      <w:r w:rsidR="002D2533" w:rsidRPr="00B17203">
        <w:t xml:space="preserve">en vue de permettre son utilisation </w:t>
      </w:r>
      <w:r w:rsidR="00B94224" w:rsidRPr="00B17203">
        <w:t xml:space="preserve">par des stations terriennes passerelles émettant vers des systèmes </w:t>
      </w:r>
      <w:r w:rsidR="007975D0" w:rsidRPr="00B17203">
        <w:t xml:space="preserve">à satellites </w:t>
      </w:r>
      <w:r w:rsidR="00B94224" w:rsidRPr="00B17203">
        <w:t xml:space="preserve">non géostationnaires du service fixe par satellite (Terre vers espace), conformément à la Résolution </w:t>
      </w:r>
      <w:r w:rsidR="00B94224" w:rsidRPr="00B17203">
        <w:rPr>
          <w:b/>
          <w:bCs/>
        </w:rPr>
        <w:t>[SNG/TON/AI10/51.4-52.4 NGSO FSS] (CMR-23)</w:t>
      </w:r>
      <w:r w:rsidR="00B94224" w:rsidRPr="00B17203">
        <w:t>;</w:t>
      </w:r>
    </w:p>
    <w:p w14:paraId="5C83703B" w14:textId="77777777" w:rsidR="003230B1" w:rsidRPr="00B17203" w:rsidRDefault="003230B1" w:rsidP="002F10B7">
      <w:pPr>
        <w:pStyle w:val="Reasons"/>
      </w:pPr>
    </w:p>
    <w:p w14:paraId="541D4409" w14:textId="77777777" w:rsidR="005C4874" w:rsidRPr="00B17203" w:rsidRDefault="00EE0AA3" w:rsidP="002F10B7">
      <w:pPr>
        <w:pStyle w:val="Proposal"/>
      </w:pPr>
      <w:r w:rsidRPr="00B17203">
        <w:t>ADD</w:t>
      </w:r>
      <w:r w:rsidRPr="00B17203">
        <w:tab/>
        <w:t>SNG/TON/135/2</w:t>
      </w:r>
    </w:p>
    <w:p w14:paraId="703926BD" w14:textId="61F9B7BA" w:rsidR="003230B1" w:rsidRPr="00B17203" w:rsidRDefault="003230B1" w:rsidP="002F10B7">
      <w:pPr>
        <w:pStyle w:val="ResNo"/>
      </w:pPr>
      <w:r w:rsidRPr="00B17203">
        <w:t>Projet de Résolution</w:t>
      </w:r>
      <w:r w:rsidR="002F10B7" w:rsidRPr="00B17203">
        <w:t xml:space="preserve"> </w:t>
      </w:r>
      <w:r w:rsidR="00B94224" w:rsidRPr="00B17203">
        <w:t>[</w:t>
      </w:r>
      <w:bookmarkStart w:id="6" w:name="_Hlk149752082"/>
      <w:r w:rsidR="00B94224" w:rsidRPr="00B17203">
        <w:t>SNG/TON/AI10/</w:t>
      </w:r>
      <w:bookmarkEnd w:id="6"/>
      <w:r w:rsidR="00B94224" w:rsidRPr="00B17203">
        <w:t>51.4-52.4 NGSO FSS]</w:t>
      </w:r>
      <w:r w:rsidRPr="00B17203">
        <w:t xml:space="preserve"> (CMR</w:t>
      </w:r>
      <w:r w:rsidRPr="00B17203">
        <w:noBreakHyphen/>
        <w:t>23)</w:t>
      </w:r>
    </w:p>
    <w:p w14:paraId="5B9002AA" w14:textId="6AB5D73F" w:rsidR="003230B1" w:rsidRPr="00B17203" w:rsidRDefault="003230B1" w:rsidP="002F10B7">
      <w:pPr>
        <w:pStyle w:val="Restitle"/>
      </w:pPr>
      <w:r w:rsidRPr="00B17203">
        <w:rPr>
          <w:rFonts w:ascii="Times New Roman"/>
        </w:rPr>
        <w:t>É</w:t>
      </w:r>
      <w:r w:rsidRPr="00B17203">
        <w:rPr>
          <w:rFonts w:ascii="Times New Roman"/>
        </w:rPr>
        <w:t xml:space="preserve">tudes relatives </w:t>
      </w:r>
      <w:r w:rsidRPr="00B17203">
        <w:rPr>
          <w:rFonts w:ascii="Times New Roman"/>
        </w:rPr>
        <w:t>à</w:t>
      </w:r>
      <w:r w:rsidRPr="00B17203">
        <w:rPr>
          <w:rFonts w:ascii="Times New Roman"/>
        </w:rPr>
        <w:t xml:space="preserve"> l'utilisation de la bande de fr</w:t>
      </w:r>
      <w:r w:rsidRPr="00B17203">
        <w:rPr>
          <w:rFonts w:ascii="Times New Roman"/>
        </w:rPr>
        <w:t>é</w:t>
      </w:r>
      <w:r w:rsidRPr="00B17203">
        <w:rPr>
          <w:rFonts w:ascii="Times New Roman"/>
        </w:rPr>
        <w:t>quences 51,4-52,4 GHz</w:t>
      </w:r>
      <w:r w:rsidR="002F10B7" w:rsidRPr="00B17203">
        <w:rPr>
          <w:rFonts w:ascii="Times New Roman"/>
        </w:rPr>
        <w:t xml:space="preserve"> </w:t>
      </w:r>
      <w:r w:rsidR="002D2533" w:rsidRPr="00B17203">
        <w:t>en vue de permettre son utilisation</w:t>
      </w:r>
      <w:r w:rsidRPr="00B17203">
        <w:rPr>
          <w:rFonts w:ascii="Times New Roman"/>
        </w:rPr>
        <w:t xml:space="preserve"> par des stations terriennes passerelles</w:t>
      </w:r>
      <w:r w:rsidR="002F10B7" w:rsidRPr="00B17203">
        <w:rPr>
          <w:rFonts w:ascii="Times New Roman"/>
        </w:rPr>
        <w:br/>
      </w:r>
      <w:r w:rsidRPr="00B17203">
        <w:rPr>
          <w:rFonts w:ascii="Times New Roman"/>
        </w:rPr>
        <w:t>é</w:t>
      </w:r>
      <w:r w:rsidRPr="00B17203">
        <w:rPr>
          <w:rFonts w:ascii="Times New Roman"/>
        </w:rPr>
        <w:t>mettant</w:t>
      </w:r>
      <w:r w:rsidR="002F10B7" w:rsidRPr="00B17203">
        <w:rPr>
          <w:rFonts w:ascii="Times New Roman"/>
        </w:rPr>
        <w:t xml:space="preserve"> </w:t>
      </w:r>
      <w:r w:rsidRPr="00B17203">
        <w:rPr>
          <w:rFonts w:ascii="Times New Roman"/>
        </w:rPr>
        <w:t>vers des syst</w:t>
      </w:r>
      <w:r w:rsidRPr="00B17203">
        <w:rPr>
          <w:rFonts w:ascii="Times New Roman"/>
        </w:rPr>
        <w:t>è</w:t>
      </w:r>
      <w:r w:rsidRPr="00B17203">
        <w:rPr>
          <w:rFonts w:ascii="Times New Roman"/>
        </w:rPr>
        <w:t xml:space="preserve">mes </w:t>
      </w:r>
      <w:r w:rsidR="00817754" w:rsidRPr="00B17203">
        <w:rPr>
          <w:rFonts w:ascii="Times New Roman"/>
        </w:rPr>
        <w:t>à</w:t>
      </w:r>
      <w:r w:rsidR="00817754" w:rsidRPr="00B17203">
        <w:rPr>
          <w:rFonts w:ascii="Times New Roman"/>
        </w:rPr>
        <w:t xml:space="preserve"> satellites </w:t>
      </w:r>
      <w:r w:rsidRPr="00B17203">
        <w:rPr>
          <w:rFonts w:ascii="Times New Roman"/>
        </w:rPr>
        <w:t>non g</w:t>
      </w:r>
      <w:r w:rsidRPr="00B17203">
        <w:rPr>
          <w:rFonts w:ascii="Times New Roman"/>
        </w:rPr>
        <w:t>é</w:t>
      </w:r>
      <w:r w:rsidRPr="00B17203">
        <w:rPr>
          <w:rFonts w:ascii="Times New Roman"/>
        </w:rPr>
        <w:t>ostationnaires</w:t>
      </w:r>
      <w:r w:rsidR="002F10B7" w:rsidRPr="00B17203">
        <w:rPr>
          <w:rFonts w:ascii="Times New Roman"/>
        </w:rPr>
        <w:br/>
      </w:r>
      <w:r w:rsidRPr="00B17203">
        <w:rPr>
          <w:rFonts w:ascii="Times New Roman"/>
        </w:rPr>
        <w:t>du service fixe par</w:t>
      </w:r>
      <w:r w:rsidR="002F10B7" w:rsidRPr="00B17203">
        <w:rPr>
          <w:rFonts w:ascii="Times New Roman"/>
        </w:rPr>
        <w:t xml:space="preserve"> </w:t>
      </w:r>
      <w:r w:rsidRPr="00B17203">
        <w:rPr>
          <w:rFonts w:ascii="Times New Roman"/>
        </w:rPr>
        <w:t>satellite (Terre vers espace)</w:t>
      </w:r>
    </w:p>
    <w:p w14:paraId="3EC32413" w14:textId="77777777" w:rsidR="003230B1" w:rsidRPr="00B17203" w:rsidRDefault="003230B1" w:rsidP="002F10B7">
      <w:pPr>
        <w:pStyle w:val="Normalaftertitle"/>
      </w:pPr>
      <w:r w:rsidRPr="00B17203">
        <w:t>La Conférence mondiale des radiocommunications (Dubaï, 2023),</w:t>
      </w:r>
    </w:p>
    <w:p w14:paraId="5F4BD174" w14:textId="77777777" w:rsidR="003230B1" w:rsidRPr="00B17203" w:rsidRDefault="003230B1" w:rsidP="002F10B7">
      <w:pPr>
        <w:pStyle w:val="Call"/>
      </w:pPr>
      <w:r w:rsidRPr="00B17203">
        <w:t>considérant</w:t>
      </w:r>
    </w:p>
    <w:p w14:paraId="7AAF4633" w14:textId="35FF3F47" w:rsidR="003230B1" w:rsidRPr="00B17203" w:rsidRDefault="003230B1" w:rsidP="002F10B7">
      <w:r w:rsidRPr="00B17203">
        <w:rPr>
          <w:i/>
          <w:iCs/>
        </w:rPr>
        <w:t>a)</w:t>
      </w:r>
      <w:r w:rsidRPr="00B17203">
        <w:tab/>
        <w:t xml:space="preserve">que les systèmes à satellites sont de plus en plus utilisés pour fournir des services large bande et peuvent contribuer à rendre possible l'accès </w:t>
      </w:r>
      <w:r w:rsidR="00B94224" w:rsidRPr="00B17203">
        <w:t xml:space="preserve">universel </w:t>
      </w:r>
      <w:r w:rsidRPr="00B17203">
        <w:t>au large bande;</w:t>
      </w:r>
    </w:p>
    <w:p w14:paraId="3125046B" w14:textId="77777777" w:rsidR="003230B1" w:rsidRPr="00B17203" w:rsidRDefault="003230B1" w:rsidP="002F10B7">
      <w:r w:rsidRPr="00B17203">
        <w:rPr>
          <w:i/>
          <w:iCs/>
        </w:rPr>
        <w:t>b)</w:t>
      </w:r>
      <w:r w:rsidRPr="00B17203">
        <w:tab/>
        <w:t>que les technologies de prochaine génération du service fixe par satellite (SFS) pour le large bande offriront des débits accrus et que des débits plus élevés sont prévus à court terme;</w:t>
      </w:r>
    </w:p>
    <w:p w14:paraId="74275A4E" w14:textId="4F0C3010" w:rsidR="003230B1" w:rsidRPr="00B17203" w:rsidRDefault="003230B1" w:rsidP="002F10B7">
      <w:r w:rsidRPr="00B17203">
        <w:rPr>
          <w:i/>
          <w:iCs/>
        </w:rPr>
        <w:t>c)</w:t>
      </w:r>
      <w:r w:rsidRPr="00B17203">
        <w:tab/>
        <w:t>que les progrès techniques, par exemple les avancées concernant les technologies des faisceaux ponctuels et la réutilisation des fréquences, sont mis à profit par le SFS dans les fréquences supérieures à 30 GHz</w:t>
      </w:r>
      <w:r w:rsidR="002D2533" w:rsidRPr="00B17203">
        <w:t xml:space="preserve">, </w:t>
      </w:r>
      <w:r w:rsidRPr="00B17203">
        <w:t>afin d'améliorer l'efficacité d'utilisation du spectre</w:t>
      </w:r>
      <w:r w:rsidR="00765807" w:rsidRPr="00B17203">
        <w:t>;</w:t>
      </w:r>
    </w:p>
    <w:p w14:paraId="0732773B" w14:textId="2454EA75" w:rsidR="00765807" w:rsidRPr="00B17203" w:rsidRDefault="00765807" w:rsidP="0067295A">
      <w:pPr>
        <w:keepLines/>
      </w:pPr>
      <w:r w:rsidRPr="00B17203">
        <w:rPr>
          <w:i/>
          <w:iCs/>
        </w:rPr>
        <w:lastRenderedPageBreak/>
        <w:t>d)</w:t>
      </w:r>
      <w:r w:rsidRPr="00B17203">
        <w:tab/>
        <w:t xml:space="preserve">que </w:t>
      </w:r>
      <w:r w:rsidR="002D2533" w:rsidRPr="00B17203">
        <w:t xml:space="preserve">les </w:t>
      </w:r>
      <w:r w:rsidRPr="00B17203">
        <w:t xml:space="preserve">applications du service fixe par satellite </w:t>
      </w:r>
      <w:r w:rsidR="002D2533" w:rsidRPr="00B17203">
        <w:t>aux</w:t>
      </w:r>
      <w:r w:rsidRPr="00B17203">
        <w:t xml:space="preserve"> fréquences supérieures à</w:t>
      </w:r>
      <w:r w:rsidR="002F10B7" w:rsidRPr="00B17203">
        <w:t xml:space="preserve"> </w:t>
      </w:r>
      <w:r w:rsidRPr="00B17203">
        <w:t>30</w:t>
      </w:r>
      <w:r w:rsidR="002F10B7" w:rsidRPr="00B17203">
        <w:t xml:space="preserve"> </w:t>
      </w:r>
      <w:r w:rsidRPr="00B17203">
        <w:t xml:space="preserve">GHz, par exemple les liaisons de connexion, devraient </w:t>
      </w:r>
      <w:r w:rsidR="002D2533" w:rsidRPr="00B17203">
        <w:t xml:space="preserve">se prêter davantage au partage </w:t>
      </w:r>
      <w:r w:rsidRPr="00B17203">
        <w:t>avec d'autres services de radiocommunication que les applications haute densité du service fixe par satellite (HDFSS),</w:t>
      </w:r>
    </w:p>
    <w:p w14:paraId="24C04F95" w14:textId="77777777" w:rsidR="003230B1" w:rsidRPr="00B17203" w:rsidRDefault="003230B1" w:rsidP="002F10B7">
      <w:pPr>
        <w:pStyle w:val="Call"/>
      </w:pPr>
      <w:r w:rsidRPr="00B17203">
        <w:t>reconnaissant</w:t>
      </w:r>
    </w:p>
    <w:p w14:paraId="00B9DAAE" w14:textId="77777777" w:rsidR="003230B1" w:rsidRPr="00B17203" w:rsidRDefault="003230B1" w:rsidP="002F10B7">
      <w:r w:rsidRPr="00B17203">
        <w:rPr>
          <w:i/>
          <w:iCs/>
        </w:rPr>
        <w:t>a)</w:t>
      </w:r>
      <w:r w:rsidRPr="00B17203">
        <w:tab/>
        <w:t>qu'il est nécessaire de protéger les services existants lorsqu'on examine des bandes de fréquences en vue de faire d'éventuelles attributions additionnelles à un service;</w:t>
      </w:r>
    </w:p>
    <w:p w14:paraId="7506E6A0" w14:textId="77777777" w:rsidR="003230B1" w:rsidRPr="00B17203" w:rsidRDefault="003230B1" w:rsidP="002F10B7">
      <w:r w:rsidRPr="00B17203">
        <w:rPr>
          <w:i/>
          <w:iCs/>
        </w:rPr>
        <w:t>b)</w:t>
      </w:r>
      <w:r w:rsidRPr="00B17203">
        <w:rPr>
          <w:i/>
          <w:iCs/>
        </w:rPr>
        <w:tab/>
      </w:r>
      <w:r w:rsidRPr="00B17203">
        <w:t xml:space="preserve">que la bande de fréquences 51,4-52,4 GHz est attribuée aux services fixe et mobile, qui devront bénéficier d'une protection, et est disponible aux fins des applications haute densité dans le service fixe, comme indiqué au numéro </w:t>
      </w:r>
      <w:r w:rsidRPr="00B17203">
        <w:rPr>
          <w:b/>
          <w:bCs/>
        </w:rPr>
        <w:t>5.547</w:t>
      </w:r>
      <w:r w:rsidRPr="00B17203">
        <w:t>;</w:t>
      </w:r>
    </w:p>
    <w:p w14:paraId="6E4B8382" w14:textId="23017F9A" w:rsidR="003230B1" w:rsidRPr="00B17203" w:rsidRDefault="003230B1" w:rsidP="002F10B7">
      <w:pPr>
        <w:rPr>
          <w:i/>
          <w:iCs/>
        </w:rPr>
      </w:pPr>
      <w:r w:rsidRPr="00B17203">
        <w:rPr>
          <w:i/>
          <w:iCs/>
        </w:rPr>
        <w:t>c)</w:t>
      </w:r>
      <w:r w:rsidRPr="00B17203">
        <w:rPr>
          <w:i/>
          <w:iCs/>
        </w:rPr>
        <w:tab/>
      </w:r>
      <w:r w:rsidR="00C407E4" w:rsidRPr="00B17203">
        <w:t xml:space="preserve">que, bien que la bande de fréquences ne soit pas attribuée au service de radioastronomie, le numéro </w:t>
      </w:r>
      <w:r w:rsidR="00C407E4" w:rsidRPr="00B17203">
        <w:rPr>
          <w:b/>
          <w:bCs/>
        </w:rPr>
        <w:t>5.556</w:t>
      </w:r>
      <w:r w:rsidR="00C407E4" w:rsidRPr="00B17203">
        <w:t xml:space="preserve"> indique que des observations de radioastronomie sont effectuées dans la bande de fréquences 51,4-54,25 GHz et qu'il pourrait être nécessaire de définir des mesures appropriées pour protéger le service de radioastronomie;</w:t>
      </w:r>
    </w:p>
    <w:p w14:paraId="620102EB" w14:textId="66715A37" w:rsidR="003230B1" w:rsidRPr="00B17203" w:rsidRDefault="0060711D" w:rsidP="002F10B7">
      <w:r w:rsidRPr="00B17203">
        <w:rPr>
          <w:i/>
          <w:iCs/>
        </w:rPr>
        <w:t>d</w:t>
      </w:r>
      <w:r w:rsidR="003230B1" w:rsidRPr="00B17203">
        <w:rPr>
          <w:i/>
          <w:iCs/>
        </w:rPr>
        <w:t>)</w:t>
      </w:r>
      <w:r w:rsidR="003230B1" w:rsidRPr="00B17203">
        <w:rPr>
          <w:i/>
          <w:iCs/>
        </w:rPr>
        <w:tab/>
      </w:r>
      <w:r w:rsidR="003230B1" w:rsidRPr="00B17203">
        <w:t xml:space="preserve">que le </w:t>
      </w:r>
      <w:r w:rsidR="002216EC" w:rsidRPr="00B17203">
        <w:t>R</w:t>
      </w:r>
      <w:r w:rsidR="002D2533" w:rsidRPr="00B17203">
        <w:t xml:space="preserve">apport </w:t>
      </w:r>
      <w:r w:rsidR="003230B1" w:rsidRPr="00B17203">
        <w:t xml:space="preserve">UIT-R S.2461 </w:t>
      </w:r>
      <w:r w:rsidR="00C407E4" w:rsidRPr="00B17203">
        <w:t xml:space="preserve">a montré qu'il était nécessaire de disposer de fréquences additionnelles pour le </w:t>
      </w:r>
      <w:r w:rsidR="003230B1" w:rsidRPr="00B17203">
        <w:t>SFS dans le sens Terre vers espace</w:t>
      </w:r>
      <w:r w:rsidR="00C407E4" w:rsidRPr="00B17203">
        <w:t xml:space="preserve">, </w:t>
      </w:r>
      <w:r w:rsidR="002D2533" w:rsidRPr="00B17203">
        <w:t>tant</w:t>
      </w:r>
      <w:r w:rsidR="003230B1" w:rsidRPr="00B17203">
        <w:t xml:space="preserve"> pour les réseaux </w:t>
      </w:r>
      <w:r w:rsidR="007975D0" w:rsidRPr="00B17203">
        <w:t xml:space="preserve">à </w:t>
      </w:r>
      <w:r w:rsidR="002D2533" w:rsidRPr="00B17203">
        <w:t xml:space="preserve">satellite géostationnaire </w:t>
      </w:r>
      <w:r w:rsidR="007975D0" w:rsidRPr="00B17203">
        <w:t>(</w:t>
      </w:r>
      <w:r w:rsidR="003230B1" w:rsidRPr="00B17203">
        <w:t>OSG</w:t>
      </w:r>
      <w:r w:rsidR="007975D0" w:rsidRPr="00B17203">
        <w:t xml:space="preserve">) </w:t>
      </w:r>
      <w:r w:rsidR="003230B1" w:rsidRPr="00B17203">
        <w:t xml:space="preserve">du SFS </w:t>
      </w:r>
      <w:r w:rsidR="002D2533" w:rsidRPr="00B17203">
        <w:t xml:space="preserve">que pour </w:t>
      </w:r>
      <w:r w:rsidR="003230B1" w:rsidRPr="00B17203">
        <w:t xml:space="preserve">les </w:t>
      </w:r>
      <w:r w:rsidR="00C407E4" w:rsidRPr="00B17203">
        <w:t xml:space="preserve">réseaux </w:t>
      </w:r>
      <w:r w:rsidR="007975D0" w:rsidRPr="00B17203">
        <w:t xml:space="preserve">à </w:t>
      </w:r>
      <w:r w:rsidR="002D2533" w:rsidRPr="00B17203">
        <w:t xml:space="preserve">satellite </w:t>
      </w:r>
      <w:r w:rsidR="007975D0" w:rsidRPr="00B17203">
        <w:t xml:space="preserve">non </w:t>
      </w:r>
      <w:r w:rsidR="002D2533" w:rsidRPr="00B17203">
        <w:t xml:space="preserve">géostationnaire </w:t>
      </w:r>
      <w:r w:rsidR="007975D0" w:rsidRPr="00B17203">
        <w:t>(</w:t>
      </w:r>
      <w:r w:rsidR="003230B1" w:rsidRPr="00B17203">
        <w:t>non OSG</w:t>
      </w:r>
      <w:r w:rsidR="007975D0" w:rsidRPr="00B17203">
        <w:t>)</w:t>
      </w:r>
      <w:r w:rsidR="003230B1" w:rsidRPr="00B17203">
        <w:t xml:space="preserve"> du</w:t>
      </w:r>
      <w:r w:rsidR="0067295A" w:rsidRPr="00B17203">
        <w:t> </w:t>
      </w:r>
      <w:r w:rsidR="003230B1" w:rsidRPr="00B17203">
        <w:t>SFS dans la bande de fréquences 51,4-52,4 GHz;</w:t>
      </w:r>
    </w:p>
    <w:p w14:paraId="26C6BA4F" w14:textId="5CF2926F" w:rsidR="00D57778" w:rsidRPr="00B17203" w:rsidRDefault="00D57778" w:rsidP="002F10B7">
      <w:r w:rsidRPr="00B17203">
        <w:rPr>
          <w:i/>
          <w:iCs/>
        </w:rPr>
        <w:t>e)</w:t>
      </w:r>
      <w:r w:rsidRPr="00B17203">
        <w:tab/>
      </w:r>
      <w:r w:rsidR="00C407E4" w:rsidRPr="00B17203">
        <w:t xml:space="preserve">que le </w:t>
      </w:r>
      <w:r w:rsidR="002216EC" w:rsidRPr="00B17203">
        <w:t>R</w:t>
      </w:r>
      <w:r w:rsidR="00C407E4" w:rsidRPr="00B17203">
        <w:t xml:space="preserve">apport UIT-R S.2462 présente des études de partage et de compatibilité entre les réseaux OSG du SFS et les systèmes non OSG du SFS dans les bandes de fréquences </w:t>
      </w:r>
      <w:r w:rsidR="002D2533" w:rsidRPr="00B17203">
        <w:t>des</w:t>
      </w:r>
      <w:r w:rsidR="002F10B7" w:rsidRPr="00B17203">
        <w:t> </w:t>
      </w:r>
      <w:r w:rsidR="00C407E4" w:rsidRPr="00B17203">
        <w:t>50/40</w:t>
      </w:r>
      <w:r w:rsidR="002F10B7" w:rsidRPr="00B17203">
        <w:t> </w:t>
      </w:r>
      <w:r w:rsidR="00C407E4" w:rsidRPr="00B17203">
        <w:t>GHz;</w:t>
      </w:r>
    </w:p>
    <w:p w14:paraId="5BD9D267" w14:textId="715A59F9" w:rsidR="003230B1" w:rsidRPr="00B17203" w:rsidRDefault="00D57778" w:rsidP="002F10B7">
      <w:pPr>
        <w:rPr>
          <w:i/>
          <w:iCs/>
        </w:rPr>
      </w:pPr>
      <w:r w:rsidRPr="00B17203">
        <w:rPr>
          <w:i/>
          <w:iCs/>
        </w:rPr>
        <w:t>f</w:t>
      </w:r>
      <w:r w:rsidR="003230B1" w:rsidRPr="00B17203">
        <w:rPr>
          <w:i/>
          <w:iCs/>
        </w:rPr>
        <w:t>)</w:t>
      </w:r>
      <w:r w:rsidR="003230B1" w:rsidRPr="00B17203">
        <w:rPr>
          <w:i/>
          <w:iCs/>
        </w:rPr>
        <w:tab/>
      </w:r>
      <w:r w:rsidR="003230B1" w:rsidRPr="00B17203">
        <w:t xml:space="preserve">que la CMR-19, conformément à la Résolution </w:t>
      </w:r>
      <w:r w:rsidR="003230B1" w:rsidRPr="00B17203">
        <w:rPr>
          <w:b/>
          <w:bCs/>
        </w:rPr>
        <w:t>162 (CMR-15)</w:t>
      </w:r>
      <w:r w:rsidR="003230B1" w:rsidRPr="00B17203">
        <w:t xml:space="preserve">, a attribué la bande de fréquences 51,4-52,4 GHz au SFS (Terre vers espace) à titre primaire et a également adopté le numéro </w:t>
      </w:r>
      <w:r w:rsidR="003230B1" w:rsidRPr="00B17203">
        <w:rPr>
          <w:b/>
          <w:bCs/>
        </w:rPr>
        <w:t>5.555C</w:t>
      </w:r>
      <w:r w:rsidR="003230B1" w:rsidRPr="00B17203">
        <w:t>, qui limite l'utilisation de l'attribution au SFS aux réseaux</w:t>
      </w:r>
      <w:r w:rsidR="00C407E4" w:rsidRPr="00B17203">
        <w:t xml:space="preserve"> OSG et aux stations terriennes passerelles associées dotées d'une antenne d'un diamètre minimal de 2,4 m</w:t>
      </w:r>
      <w:r w:rsidR="003230B1" w:rsidRPr="00B17203">
        <w:t>;</w:t>
      </w:r>
    </w:p>
    <w:p w14:paraId="448DADC7" w14:textId="26BF0848" w:rsidR="003230B1" w:rsidRPr="00B17203" w:rsidRDefault="0060711D" w:rsidP="002F10B7">
      <w:r w:rsidRPr="00B17203">
        <w:rPr>
          <w:i/>
          <w:iCs/>
        </w:rPr>
        <w:t>g</w:t>
      </w:r>
      <w:r w:rsidR="003230B1" w:rsidRPr="00B17203">
        <w:rPr>
          <w:i/>
          <w:iCs/>
        </w:rPr>
        <w:t>)</w:t>
      </w:r>
      <w:r w:rsidR="003230B1" w:rsidRPr="00B17203">
        <w:rPr>
          <w:i/>
          <w:iCs/>
        </w:rPr>
        <w:tab/>
      </w:r>
      <w:r w:rsidR="003230B1" w:rsidRPr="00B17203">
        <w:t xml:space="preserve">que </w:t>
      </w:r>
      <w:r w:rsidR="00AB161B" w:rsidRPr="00B17203">
        <w:t xml:space="preserve">l'on continue d'avoir </w:t>
      </w:r>
      <w:r w:rsidR="003230B1" w:rsidRPr="00B17203">
        <w:t xml:space="preserve">besoin de spectre supplémentaire pour les liaisons montantes dans la gamme des 50 GHz pour les </w:t>
      </w:r>
      <w:r w:rsidR="00FF5A1A" w:rsidRPr="00B17203">
        <w:t xml:space="preserve">stations terriennes </w:t>
      </w:r>
      <w:r w:rsidR="003230B1" w:rsidRPr="00B17203">
        <w:t>passerelles non OSG du SFS</w:t>
      </w:r>
      <w:r w:rsidRPr="00B17203">
        <w:t>,</w:t>
      </w:r>
    </w:p>
    <w:p w14:paraId="4BF6B335" w14:textId="4B260ED9" w:rsidR="003230B1" w:rsidRPr="00B17203" w:rsidRDefault="003230B1" w:rsidP="002F10B7">
      <w:pPr>
        <w:pStyle w:val="Call"/>
      </w:pPr>
      <w:r w:rsidRPr="00B17203">
        <w:t>décide d'inviter le Secteur des radiocommunications de l'UIT</w:t>
      </w:r>
      <w:r w:rsidR="00FF5A1A" w:rsidRPr="00B17203">
        <w:t xml:space="preserve"> </w:t>
      </w:r>
      <w:r w:rsidRPr="00B17203">
        <w:t>à mener</w:t>
      </w:r>
      <w:r w:rsidR="00AB161B" w:rsidRPr="00B17203">
        <w:t>,</w:t>
      </w:r>
      <w:r w:rsidRPr="00B17203">
        <w:t xml:space="preserve"> et à achever à</w:t>
      </w:r>
      <w:r w:rsidR="009F52E7" w:rsidRPr="00B17203">
        <w:t> </w:t>
      </w:r>
      <w:r w:rsidRPr="00B17203">
        <w:t>temps pour la CMR-27</w:t>
      </w:r>
    </w:p>
    <w:p w14:paraId="5245D504" w14:textId="7B928505" w:rsidR="003230B1" w:rsidRPr="00B17203" w:rsidRDefault="003230B1" w:rsidP="002F10B7">
      <w:pPr>
        <w:rPr>
          <w:i/>
          <w:iCs/>
        </w:rPr>
      </w:pPr>
      <w:r w:rsidRPr="00B17203">
        <w:t>1</w:t>
      </w:r>
      <w:r w:rsidRPr="00B17203">
        <w:rPr>
          <w:i/>
          <w:iCs/>
        </w:rPr>
        <w:tab/>
      </w:r>
      <w:r w:rsidRPr="00B17203">
        <w:t xml:space="preserve">des études de partage et de compatibilité avec les stations existantes ou en projet des services primaires existants, y compris dans les bandes </w:t>
      </w:r>
      <w:r w:rsidR="00AB161B" w:rsidRPr="00B17203">
        <w:t xml:space="preserve">de fréquences </w:t>
      </w:r>
      <w:r w:rsidRPr="00B17203">
        <w:t>adjacentes, compte tenu de la</w:t>
      </w:r>
      <w:r w:rsidR="0067295A" w:rsidRPr="00B17203">
        <w:t xml:space="preserve"> </w:t>
      </w:r>
      <w:r w:rsidRPr="00B17203">
        <w:t xml:space="preserve">protection des services fixe et mobile, </w:t>
      </w:r>
      <w:r w:rsidR="00FF5A1A" w:rsidRPr="00B17203">
        <w:t xml:space="preserve">et des études visant à </w:t>
      </w:r>
      <w:r w:rsidRPr="00B17203">
        <w:t xml:space="preserve">déterminer s'il </w:t>
      </w:r>
      <w:r w:rsidR="00EC5792" w:rsidRPr="00B17203">
        <w:t>convient</w:t>
      </w:r>
      <w:r w:rsidR="00AB161B" w:rsidRPr="00B17203">
        <w:t xml:space="preserve"> </w:t>
      </w:r>
      <w:r w:rsidRPr="00B17203">
        <w:t>de réviser</w:t>
      </w:r>
      <w:r w:rsidR="0067295A" w:rsidRPr="00B17203">
        <w:t xml:space="preserve"> </w:t>
      </w:r>
      <w:r w:rsidR="00FF5A1A" w:rsidRPr="00B17203">
        <w:t>les</w:t>
      </w:r>
      <w:r w:rsidR="0067295A" w:rsidRPr="00B17203">
        <w:t xml:space="preserve"> </w:t>
      </w:r>
      <w:r w:rsidR="00FF5A1A" w:rsidRPr="00B17203">
        <w:t xml:space="preserve">conditions associées à </w:t>
      </w:r>
      <w:r w:rsidRPr="00B17203">
        <w:t>l'attribution à titre primaire au SFS dans la bande de fréquences</w:t>
      </w:r>
      <w:r w:rsidR="0067295A" w:rsidRPr="00B17203">
        <w:t xml:space="preserve"> </w:t>
      </w:r>
      <w:r w:rsidRPr="00B17203">
        <w:t>51,4</w:t>
      </w:r>
      <w:r w:rsidR="002F10B7" w:rsidRPr="00B17203">
        <w:noBreakHyphen/>
      </w:r>
      <w:r w:rsidRPr="00B17203">
        <w:t>52,4</w:t>
      </w:r>
      <w:r w:rsidR="002F10B7" w:rsidRPr="00B17203">
        <w:t> </w:t>
      </w:r>
      <w:r w:rsidRPr="00B17203">
        <w:t xml:space="preserve">GHz </w:t>
      </w:r>
      <w:r w:rsidR="00FF5A1A" w:rsidRPr="00B17203">
        <w:t>(Terre vers espace)</w:t>
      </w:r>
      <w:r w:rsidR="00EC5792" w:rsidRPr="00B17203">
        <w:t xml:space="preserve">, </w:t>
      </w:r>
      <w:r w:rsidRPr="00B17203">
        <w:t xml:space="preserve">en vue de permettre </w:t>
      </w:r>
      <w:r w:rsidR="00EC5792" w:rsidRPr="00B17203">
        <w:t xml:space="preserve">son </w:t>
      </w:r>
      <w:r w:rsidRPr="00B17203">
        <w:t>utilisation par des stations</w:t>
      </w:r>
      <w:r w:rsidR="009F52E7" w:rsidRPr="00B17203">
        <w:t xml:space="preserve"> </w:t>
      </w:r>
      <w:r w:rsidRPr="00B17203">
        <w:t xml:space="preserve">terriennes passerelles de </w:t>
      </w:r>
      <w:r w:rsidR="00FF5A1A" w:rsidRPr="00B17203">
        <w:t xml:space="preserve">réseaux </w:t>
      </w:r>
      <w:r w:rsidRPr="00B17203">
        <w:t>non OSG du SFS (Terre vers espace)</w:t>
      </w:r>
      <w:r w:rsidR="00FF5A1A" w:rsidRPr="00B17203">
        <w:t>, ainsi que les études</w:t>
      </w:r>
      <w:r w:rsidR="009F52E7" w:rsidRPr="00B17203">
        <w:t xml:space="preserve"> </w:t>
      </w:r>
      <w:r w:rsidR="00FF5A1A" w:rsidRPr="00B17203">
        <w:t>réglementaires correspondantes</w:t>
      </w:r>
      <w:r w:rsidRPr="00B17203">
        <w:t>;</w:t>
      </w:r>
    </w:p>
    <w:p w14:paraId="5C09CF58" w14:textId="12040B9E" w:rsidR="003230B1" w:rsidRPr="00B17203" w:rsidRDefault="003230B1" w:rsidP="002F10B7">
      <w:pPr>
        <w:rPr>
          <w:i/>
          <w:iCs/>
        </w:rPr>
      </w:pPr>
      <w:r w:rsidRPr="00B17203">
        <w:t>2</w:t>
      </w:r>
      <w:r w:rsidRPr="00B17203">
        <w:rPr>
          <w:i/>
          <w:iCs/>
        </w:rPr>
        <w:tab/>
      </w:r>
      <w:r w:rsidRPr="00B17203">
        <w:t>des études de compatibilité entre les stations passerelles non OSG du SFS (Terre vers espace) et les systèmes fonctionnant dans la bande de fréquences</w:t>
      </w:r>
      <w:r w:rsidR="002F10B7" w:rsidRPr="00B17203">
        <w:t xml:space="preserve"> </w:t>
      </w:r>
      <w:r w:rsidR="00EC70CF" w:rsidRPr="00B17203">
        <w:t xml:space="preserve">passive </w:t>
      </w:r>
      <w:r w:rsidRPr="00B17203">
        <w:t>52,6</w:t>
      </w:r>
      <w:r w:rsidRPr="00B17203">
        <w:noBreakHyphen/>
        <w:t>54,25</w:t>
      </w:r>
      <w:r w:rsidR="002F10B7" w:rsidRPr="00B17203">
        <w:t xml:space="preserve"> </w:t>
      </w:r>
      <w:r w:rsidRPr="00B17203">
        <w:t>GHz;</w:t>
      </w:r>
    </w:p>
    <w:p w14:paraId="7F645B73" w14:textId="4BB28C65" w:rsidR="003230B1" w:rsidRPr="00B17203" w:rsidRDefault="003230B1" w:rsidP="002F10B7">
      <w:pPr>
        <w:rPr>
          <w:i/>
          <w:iCs/>
        </w:rPr>
      </w:pPr>
      <w:r w:rsidRPr="00B17203">
        <w:t>3</w:t>
      </w:r>
      <w:r w:rsidRPr="00B17203">
        <w:rPr>
          <w:i/>
          <w:iCs/>
        </w:rPr>
        <w:tab/>
      </w:r>
      <w:r w:rsidRPr="00B17203">
        <w:t xml:space="preserve">des études relatives à la protection des réseaux OSG du SFS et des stations terriennes passerelles associées </w:t>
      </w:r>
      <w:r w:rsidR="00EC5792" w:rsidRPr="00B17203">
        <w:t>vis-à-vis des</w:t>
      </w:r>
      <w:r w:rsidRPr="00B17203">
        <w:t xml:space="preserve"> émissions des systèmes non OSG du SFS et des passerelles associées</w:t>
      </w:r>
      <w:r w:rsidR="00FF5A1A" w:rsidRPr="00B17203">
        <w:t xml:space="preserve">, y compris les éventuelles mesures réglementaires associées et la possibilité d'inclure les fréquences 51,4-52,4 GHz dans le champ d'application des Résolutions </w:t>
      </w:r>
      <w:r w:rsidR="00FF5A1A" w:rsidRPr="00B17203">
        <w:rPr>
          <w:b/>
          <w:bCs/>
        </w:rPr>
        <w:t>769</w:t>
      </w:r>
      <w:r w:rsidR="00FF5A1A" w:rsidRPr="00B17203">
        <w:t xml:space="preserve"> </w:t>
      </w:r>
      <w:r w:rsidR="00FF5A1A" w:rsidRPr="00B17203">
        <w:rPr>
          <w:b/>
          <w:bCs/>
        </w:rPr>
        <w:t>(CMR-19)</w:t>
      </w:r>
      <w:r w:rsidR="00FF5A1A" w:rsidRPr="00B17203">
        <w:t xml:space="preserve"> et</w:t>
      </w:r>
      <w:r w:rsidR="0067295A" w:rsidRPr="00B17203">
        <w:t> </w:t>
      </w:r>
      <w:r w:rsidR="002F10B7" w:rsidRPr="00B17203">
        <w:rPr>
          <w:b/>
          <w:bCs/>
        </w:rPr>
        <w:t>770</w:t>
      </w:r>
      <w:r w:rsidR="0067295A" w:rsidRPr="00B17203">
        <w:t> </w:t>
      </w:r>
      <w:r w:rsidR="00FF5A1A" w:rsidRPr="00B17203">
        <w:rPr>
          <w:b/>
          <w:bCs/>
        </w:rPr>
        <w:t>(CMR</w:t>
      </w:r>
      <w:r w:rsidR="002F10B7" w:rsidRPr="00B17203">
        <w:rPr>
          <w:b/>
          <w:bCs/>
        </w:rPr>
        <w:noBreakHyphen/>
      </w:r>
      <w:r w:rsidR="00FF5A1A" w:rsidRPr="00B17203">
        <w:rPr>
          <w:b/>
          <w:bCs/>
        </w:rPr>
        <w:t>19)</w:t>
      </w:r>
      <w:r w:rsidR="00FF5A1A" w:rsidRPr="00B17203">
        <w:t>,</w:t>
      </w:r>
    </w:p>
    <w:p w14:paraId="48154DFA" w14:textId="77777777" w:rsidR="003230B1" w:rsidRPr="00B17203" w:rsidRDefault="003230B1" w:rsidP="002F10B7">
      <w:pPr>
        <w:pStyle w:val="Call"/>
      </w:pPr>
      <w:r w:rsidRPr="00B17203">
        <w:lastRenderedPageBreak/>
        <w:t>charge le Directeur du Bureau des radiocommunications</w:t>
      </w:r>
    </w:p>
    <w:p w14:paraId="745D4BC1" w14:textId="77777777" w:rsidR="003230B1" w:rsidRPr="00B17203" w:rsidRDefault="003230B1" w:rsidP="002F10B7">
      <w:r w:rsidRPr="00B17203">
        <w:t>de rendre compte des résultats des études de l'UIT-R à la CMR-27,</w:t>
      </w:r>
    </w:p>
    <w:p w14:paraId="3A302672" w14:textId="77777777" w:rsidR="003230B1" w:rsidRPr="00B17203" w:rsidRDefault="003230B1" w:rsidP="002F10B7">
      <w:pPr>
        <w:pStyle w:val="Call"/>
        <w:rPr>
          <w:lang w:eastAsia="nl-NL"/>
        </w:rPr>
      </w:pPr>
      <w:r w:rsidRPr="00B17203">
        <w:rPr>
          <w:lang w:eastAsia="nl-NL"/>
        </w:rPr>
        <w:t>invite les administrations</w:t>
      </w:r>
    </w:p>
    <w:p w14:paraId="14F79F60" w14:textId="2BEC0D2B" w:rsidR="003230B1" w:rsidRPr="00B17203" w:rsidRDefault="003230B1" w:rsidP="002F10B7">
      <w:pPr>
        <w:rPr>
          <w:lang w:eastAsia="nl-NL"/>
        </w:rPr>
      </w:pPr>
      <w:r w:rsidRPr="00B17203">
        <w:rPr>
          <w:lang w:eastAsia="nl-NL"/>
        </w:rPr>
        <w:t>à participer activement à ces études en soumettant des contributions à l'UIT</w:t>
      </w:r>
      <w:r w:rsidRPr="00B17203">
        <w:rPr>
          <w:lang w:eastAsia="nl-NL"/>
        </w:rPr>
        <w:noBreakHyphen/>
        <w:t>R.</w:t>
      </w:r>
    </w:p>
    <w:p w14:paraId="6F753243" w14:textId="122258E6" w:rsidR="005C4874" w:rsidRPr="00B17203" w:rsidRDefault="00EE0AA3" w:rsidP="002F10B7">
      <w:pPr>
        <w:pStyle w:val="Reasons"/>
      </w:pPr>
      <w:r w:rsidRPr="00B17203">
        <w:rPr>
          <w:b/>
        </w:rPr>
        <w:t>Motifs:</w:t>
      </w:r>
      <w:r w:rsidRPr="00B17203">
        <w:tab/>
      </w:r>
      <w:r w:rsidR="000237B0" w:rsidRPr="00B17203">
        <w:t xml:space="preserve">Voir le tableau ci-après, établi à l'aide du </w:t>
      </w:r>
      <w:r w:rsidR="00EC5792" w:rsidRPr="00B17203">
        <w:t xml:space="preserve">modèle </w:t>
      </w:r>
      <w:r w:rsidR="000237B0" w:rsidRPr="00B17203">
        <w:t xml:space="preserve">figurant dans l'Annexe 2 de la Résolution </w:t>
      </w:r>
      <w:r w:rsidR="000237B0" w:rsidRPr="00B17203">
        <w:rPr>
          <w:b/>
          <w:bCs/>
        </w:rPr>
        <w:t>804 (Rév.CMR-19)</w:t>
      </w:r>
      <w:r w:rsidR="000237B0" w:rsidRPr="00B17203">
        <w:t>.</w:t>
      </w:r>
    </w:p>
    <w:p w14:paraId="7B954255" w14:textId="35CC501D" w:rsidR="000237B0" w:rsidRPr="00B17203" w:rsidRDefault="000237B0" w:rsidP="002F10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7203">
        <w:br w:type="page"/>
      </w:r>
    </w:p>
    <w:p w14:paraId="7A2A393B" w14:textId="4DB67488" w:rsidR="000237B0" w:rsidRPr="00B17203" w:rsidRDefault="000237B0" w:rsidP="002F10B7">
      <w:pPr>
        <w:pStyle w:val="AnnexNo"/>
      </w:pPr>
      <w:r w:rsidRPr="00B17203">
        <w:lastRenderedPageBreak/>
        <w:t>ANNEXE</w:t>
      </w:r>
    </w:p>
    <w:p w14:paraId="3EB1E51B" w14:textId="45367046" w:rsidR="000237B0" w:rsidRPr="00B17203" w:rsidRDefault="00EC5792" w:rsidP="002F10B7">
      <w:pPr>
        <w:pStyle w:val="Annextitle"/>
      </w:pPr>
      <w:r w:rsidRPr="00B17203">
        <w:t>Présentation de propositions de points de l'ordre du jour</w:t>
      </w: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627"/>
        <w:gridCol w:w="5096"/>
      </w:tblGrid>
      <w:tr w:rsidR="000237B0" w:rsidRPr="00B17203" w14:paraId="7D4451AF" w14:textId="77777777" w:rsidTr="00874735"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A7E83" w14:textId="4BFF988B" w:rsidR="000237B0" w:rsidRPr="00B17203" w:rsidRDefault="000237B0" w:rsidP="00F65B3E">
            <w:pPr>
              <w:spacing w:after="40"/>
              <w:rPr>
                <w:b/>
                <w:bCs/>
              </w:rPr>
            </w:pPr>
            <w:r w:rsidRPr="00B17203">
              <w:rPr>
                <w:b/>
                <w:bCs/>
              </w:rPr>
              <w:t>Objet:</w:t>
            </w:r>
            <w:r w:rsidR="00FF5A1A" w:rsidRPr="00B17203">
              <w:t xml:space="preserve"> Utilisation de la bande de fréquences 51,4-52,4 GHz par les stations terriennes passerelles émettant vers des systèmes à satellites non géostationnaires (non OSG) fonctionnant dans le </w:t>
            </w:r>
            <w:r w:rsidR="00EC70CF" w:rsidRPr="00B17203">
              <w:t>service fixe par satellite (SFS)</w:t>
            </w:r>
            <w:r w:rsidR="00FF5A1A" w:rsidRPr="00B17203">
              <w:t xml:space="preserve"> (Terre vers espace).</w:t>
            </w:r>
          </w:p>
        </w:tc>
      </w:tr>
      <w:tr w:rsidR="000237B0" w:rsidRPr="00B17203" w14:paraId="057BE498" w14:textId="77777777" w:rsidTr="00874735"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EAE92" w14:textId="278BD7A7" w:rsidR="000237B0" w:rsidRPr="00B17203" w:rsidRDefault="000237B0" w:rsidP="00F65B3E">
            <w:pPr>
              <w:spacing w:after="40"/>
              <w:rPr>
                <w:b/>
                <w:bCs/>
                <w:i/>
                <w:iCs/>
              </w:rPr>
            </w:pPr>
            <w:r w:rsidRPr="00B17203">
              <w:rPr>
                <w:b/>
                <w:bCs/>
              </w:rPr>
              <w:t>Origine:</w:t>
            </w:r>
            <w:r w:rsidR="00FF5A1A" w:rsidRPr="00B17203">
              <w:t xml:space="preserve"> Singapour (République de), Tonga (Royaume des)</w:t>
            </w:r>
          </w:p>
        </w:tc>
      </w:tr>
      <w:tr w:rsidR="000237B0" w:rsidRPr="00B17203" w14:paraId="3E5856D1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54B9" w14:textId="45FAD1D4" w:rsidR="00EC70CF" w:rsidRPr="00B17203" w:rsidRDefault="000237B0" w:rsidP="0067295A">
            <w:pPr>
              <w:rPr>
                <w:i/>
                <w:iCs/>
              </w:rPr>
            </w:pPr>
            <w:r w:rsidRPr="00B17203">
              <w:rPr>
                <w:b/>
                <w:bCs/>
                <w:i/>
                <w:iCs/>
              </w:rPr>
              <w:t>Proposition</w:t>
            </w:r>
            <w:r w:rsidRPr="00B17203">
              <w:rPr>
                <w:b/>
                <w:bCs/>
              </w:rPr>
              <w:t>:</w:t>
            </w:r>
          </w:p>
          <w:p w14:paraId="1CBDF478" w14:textId="661A4F7C" w:rsidR="000237B0" w:rsidRPr="00B17203" w:rsidRDefault="00817754" w:rsidP="00F65B3E">
            <w:pPr>
              <w:spacing w:after="40"/>
            </w:pPr>
            <w:r w:rsidRPr="00B17203">
              <w:t xml:space="preserve">Mener des études relatives à l'utilisation de la bande de fréquences 51,4-52,4 GHz </w:t>
            </w:r>
            <w:r w:rsidR="00EC5792" w:rsidRPr="00B17203">
              <w:t xml:space="preserve">en vue de permettre son utilisation </w:t>
            </w:r>
            <w:r w:rsidRPr="00B17203">
              <w:t xml:space="preserve">par des stations terriennes passerelles émettant vers des systèmes </w:t>
            </w:r>
            <w:r w:rsidR="00EC70CF" w:rsidRPr="00B17203">
              <w:t>non</w:t>
            </w:r>
            <w:r w:rsidR="002F10B7" w:rsidRPr="00B17203">
              <w:t> </w:t>
            </w:r>
            <w:r w:rsidR="00EC70CF" w:rsidRPr="00B17203">
              <w:t xml:space="preserve">OSG </w:t>
            </w:r>
            <w:r w:rsidRPr="00B17203">
              <w:t>du SFS (Terre vers espace)</w:t>
            </w:r>
            <w:r w:rsidR="007D2E24" w:rsidRPr="00B17203">
              <w:t>.</w:t>
            </w:r>
          </w:p>
        </w:tc>
      </w:tr>
      <w:tr w:rsidR="000237B0" w:rsidRPr="00B17203" w14:paraId="7B1514A2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C3BE3" w14:textId="25E61804" w:rsidR="000237B0" w:rsidRPr="00B17203" w:rsidRDefault="000237B0" w:rsidP="0067295A">
            <w:pPr>
              <w:rPr>
                <w:i/>
                <w:iCs/>
              </w:rPr>
            </w:pPr>
            <w:r w:rsidRPr="00B17203">
              <w:rPr>
                <w:b/>
                <w:bCs/>
                <w:i/>
                <w:iCs/>
              </w:rPr>
              <w:t>Contexte/motif</w:t>
            </w:r>
            <w:r w:rsidRPr="00B17203">
              <w:rPr>
                <w:b/>
                <w:bCs/>
              </w:rPr>
              <w:t>:</w:t>
            </w:r>
          </w:p>
          <w:p w14:paraId="4698607F" w14:textId="62768AB6" w:rsidR="00817754" w:rsidRPr="00B17203" w:rsidRDefault="00817754" w:rsidP="0067295A">
            <w:pPr>
              <w:rPr>
                <w:szCs w:val="24"/>
              </w:rPr>
            </w:pPr>
            <w:r w:rsidRPr="00B17203">
              <w:rPr>
                <w:szCs w:val="24"/>
              </w:rPr>
              <w:t>Le</w:t>
            </w:r>
            <w:r w:rsidR="00FC1BE6" w:rsidRPr="00B17203">
              <w:rPr>
                <w:szCs w:val="24"/>
              </w:rPr>
              <w:t xml:space="preserve"> Rapport UIT-R S.2461 </w:t>
            </w:r>
            <w:r w:rsidR="00FC1BE6" w:rsidRPr="00B17203">
              <w:rPr>
                <w:color w:val="000000"/>
                <w:szCs w:val="24"/>
                <w:shd w:val="clear" w:color="auto" w:fill="FFFFFF"/>
              </w:rPr>
              <w:t>a montré qu'il était nécessaire de dégager des bandes de fréquences</w:t>
            </w:r>
            <w:r w:rsidRPr="00B17203">
              <w:rPr>
                <w:szCs w:val="24"/>
              </w:rPr>
              <w:t xml:space="preserve"> additionnel</w:t>
            </w:r>
            <w:r w:rsidR="00FC1BE6" w:rsidRPr="00B17203">
              <w:rPr>
                <w:szCs w:val="24"/>
              </w:rPr>
              <w:t>les</w:t>
            </w:r>
            <w:r w:rsidRPr="00B17203">
              <w:rPr>
                <w:szCs w:val="24"/>
              </w:rPr>
              <w:t xml:space="preserve"> pour le SFS dans la gamme des 50 GHz pour les </w:t>
            </w:r>
            <w:r w:rsidR="00EC5792" w:rsidRPr="00B17203">
              <w:rPr>
                <w:szCs w:val="24"/>
              </w:rPr>
              <w:t>passerelles en liaison montante</w:t>
            </w:r>
            <w:r w:rsidR="00891F70" w:rsidRPr="00B17203">
              <w:rPr>
                <w:szCs w:val="24"/>
              </w:rPr>
              <w:t xml:space="preserve"> </w:t>
            </w:r>
            <w:r w:rsidRPr="00B17203">
              <w:rPr>
                <w:szCs w:val="24"/>
              </w:rPr>
              <w:t>du</w:t>
            </w:r>
            <w:r w:rsidR="0067295A" w:rsidRPr="00B17203">
              <w:rPr>
                <w:szCs w:val="24"/>
              </w:rPr>
              <w:t> </w:t>
            </w:r>
            <w:r w:rsidRPr="00B17203">
              <w:rPr>
                <w:szCs w:val="24"/>
              </w:rPr>
              <w:t xml:space="preserve">SFS </w:t>
            </w:r>
            <w:r w:rsidR="00FC1BE6" w:rsidRPr="00B17203">
              <w:rPr>
                <w:szCs w:val="24"/>
              </w:rPr>
              <w:t>non OSG</w:t>
            </w:r>
            <w:r w:rsidR="00644E20" w:rsidRPr="00B17203">
              <w:rPr>
                <w:szCs w:val="24"/>
              </w:rPr>
              <w:t xml:space="preserve">, </w:t>
            </w:r>
            <w:r w:rsidRPr="00B17203">
              <w:rPr>
                <w:szCs w:val="24"/>
              </w:rPr>
              <w:t xml:space="preserve">pour donner suite en partie au point 9.1 de l'ordre du jour de la CMR-19, </w:t>
            </w:r>
            <w:r w:rsidR="00EC70CF" w:rsidRPr="00B17203">
              <w:rPr>
                <w:szCs w:val="24"/>
              </w:rPr>
              <w:t>Q</w:t>
            </w:r>
            <w:r w:rsidRPr="00B17203">
              <w:rPr>
                <w:szCs w:val="24"/>
              </w:rPr>
              <w:t>uestion</w:t>
            </w:r>
            <w:r w:rsidR="00644E20" w:rsidRPr="00B17203">
              <w:rPr>
                <w:szCs w:val="24"/>
              </w:rPr>
              <w:t> </w:t>
            </w:r>
            <w:r w:rsidRPr="00B17203">
              <w:rPr>
                <w:szCs w:val="24"/>
              </w:rPr>
              <w:t xml:space="preserve">9.1.9. Ces études </w:t>
            </w:r>
            <w:r w:rsidR="00FC1BE6" w:rsidRPr="00B17203">
              <w:rPr>
                <w:color w:val="000000"/>
                <w:szCs w:val="24"/>
                <w:shd w:val="clear" w:color="auto" w:fill="FFFFFF"/>
              </w:rPr>
              <w:t>ont fait ressortir la nécessité de disposer de fréquences</w:t>
            </w:r>
            <w:r w:rsidR="00FC1BE6" w:rsidRPr="00B17203" w:rsidDel="00FC1BE6">
              <w:rPr>
                <w:szCs w:val="24"/>
              </w:rPr>
              <w:t xml:space="preserve"> </w:t>
            </w:r>
            <w:r w:rsidRPr="00B17203">
              <w:rPr>
                <w:szCs w:val="24"/>
              </w:rPr>
              <w:t xml:space="preserve">pour les réseaux non OSG et </w:t>
            </w:r>
            <w:r w:rsidR="00FC1BE6" w:rsidRPr="00B17203">
              <w:rPr>
                <w:szCs w:val="24"/>
              </w:rPr>
              <w:t xml:space="preserve">les réseaux </w:t>
            </w:r>
            <w:r w:rsidRPr="00B17203">
              <w:rPr>
                <w:szCs w:val="24"/>
              </w:rPr>
              <w:t>OSG du SFS.</w:t>
            </w:r>
          </w:p>
          <w:p w14:paraId="4B312948" w14:textId="407CFB6E" w:rsidR="00817754" w:rsidRPr="00B17203" w:rsidRDefault="00817754" w:rsidP="0067295A">
            <w:pPr>
              <w:rPr>
                <w:szCs w:val="24"/>
              </w:rPr>
            </w:pPr>
            <w:r w:rsidRPr="00B17203">
              <w:rPr>
                <w:szCs w:val="24"/>
              </w:rPr>
              <w:t>L'attribution faite par la CMR-19 aux liaisons de connexion OSG a permis de satisfaire les besoins de spectre des systèmes OSG.</w:t>
            </w:r>
            <w:r w:rsidR="00F62F70" w:rsidRPr="00B17203">
              <w:rPr>
                <w:szCs w:val="24"/>
              </w:rPr>
              <w:t xml:space="preserve"> Au titre du point 9.1 de l'ordre du jour, </w:t>
            </w:r>
            <w:r w:rsidR="00EC70CF" w:rsidRPr="00B17203">
              <w:rPr>
                <w:szCs w:val="24"/>
              </w:rPr>
              <w:t>Q</w:t>
            </w:r>
            <w:r w:rsidR="00F62F70" w:rsidRPr="00B17203">
              <w:rPr>
                <w:szCs w:val="24"/>
              </w:rPr>
              <w:t>uestion 9.1.9, la CMR-19 a</w:t>
            </w:r>
            <w:r w:rsidR="0067295A" w:rsidRPr="00B17203">
              <w:rPr>
                <w:szCs w:val="24"/>
              </w:rPr>
              <w:t> </w:t>
            </w:r>
            <w:r w:rsidR="00F62F70" w:rsidRPr="00B17203">
              <w:rPr>
                <w:szCs w:val="24"/>
              </w:rPr>
              <w:t xml:space="preserve">ajouté une attribution à titre primaire au SFS (Terre vers espace) dans la bande </w:t>
            </w:r>
            <w:r w:rsidR="00FC1BE6" w:rsidRPr="00B17203">
              <w:rPr>
                <w:szCs w:val="24"/>
              </w:rPr>
              <w:t>de fréquences</w:t>
            </w:r>
            <w:r w:rsidR="0067295A" w:rsidRPr="00B17203">
              <w:rPr>
                <w:szCs w:val="24"/>
              </w:rPr>
              <w:t> </w:t>
            </w:r>
            <w:r w:rsidR="00F62F70" w:rsidRPr="00B17203">
              <w:rPr>
                <w:szCs w:val="24"/>
              </w:rPr>
              <w:t>51,4</w:t>
            </w:r>
            <w:r w:rsidR="00644E20" w:rsidRPr="00B17203">
              <w:rPr>
                <w:szCs w:val="24"/>
              </w:rPr>
              <w:noBreakHyphen/>
            </w:r>
            <w:r w:rsidR="00F62F70" w:rsidRPr="00B17203">
              <w:rPr>
                <w:szCs w:val="24"/>
              </w:rPr>
              <w:t xml:space="preserve">52,4 GHz, limitée aux liaisons de connexion des réseaux OSG </w:t>
            </w:r>
            <w:r w:rsidR="00EC70CF" w:rsidRPr="00B17203">
              <w:rPr>
                <w:szCs w:val="24"/>
              </w:rPr>
              <w:t xml:space="preserve">pour les stations terriennes </w:t>
            </w:r>
            <w:r w:rsidR="00F62F70" w:rsidRPr="00B17203">
              <w:rPr>
                <w:szCs w:val="24"/>
              </w:rPr>
              <w:t>doté</w:t>
            </w:r>
            <w:r w:rsidR="00EC70CF" w:rsidRPr="00B17203">
              <w:rPr>
                <w:szCs w:val="24"/>
              </w:rPr>
              <w:t>e</w:t>
            </w:r>
            <w:r w:rsidR="00F62F70" w:rsidRPr="00B17203">
              <w:rPr>
                <w:szCs w:val="24"/>
              </w:rPr>
              <w:t>s d'une antenne d'un</w:t>
            </w:r>
            <w:r w:rsidR="00FC1BE6" w:rsidRPr="00B17203">
              <w:rPr>
                <w:szCs w:val="24"/>
              </w:rPr>
              <w:t xml:space="preserve"> diamètre minimal </w:t>
            </w:r>
            <w:r w:rsidR="00F62F70" w:rsidRPr="00B17203">
              <w:rPr>
                <w:szCs w:val="24"/>
              </w:rPr>
              <w:t xml:space="preserve">de 2,4 m, conformément au numéro </w:t>
            </w:r>
            <w:r w:rsidR="00F62F70" w:rsidRPr="00B17203">
              <w:rPr>
                <w:b/>
                <w:bCs/>
                <w:szCs w:val="24"/>
              </w:rPr>
              <w:t>5.555C</w:t>
            </w:r>
            <w:r w:rsidR="00F62F70" w:rsidRPr="00B17203">
              <w:rPr>
                <w:szCs w:val="24"/>
              </w:rPr>
              <w:t xml:space="preserve"> du RR.</w:t>
            </w:r>
          </w:p>
          <w:p w14:paraId="4CE15209" w14:textId="36CB67FF" w:rsidR="00FB2025" w:rsidRPr="00B17203" w:rsidRDefault="00D06983" w:rsidP="00F65B3E">
            <w:pPr>
              <w:spacing w:after="40"/>
            </w:pPr>
            <w:r w:rsidRPr="00B17203">
              <w:rPr>
                <w:szCs w:val="24"/>
              </w:rPr>
              <w:t>Il conviendrait à présent</w:t>
            </w:r>
            <w:r w:rsidR="00F62F70" w:rsidRPr="00B17203">
              <w:rPr>
                <w:szCs w:val="24"/>
              </w:rPr>
              <w:t xml:space="preserve"> que l'UIT-R envisage d'élargir l'utilisation de la bande de fréquences</w:t>
            </w:r>
            <w:r w:rsidR="0067295A" w:rsidRPr="00B17203">
              <w:rPr>
                <w:szCs w:val="24"/>
              </w:rPr>
              <w:t> </w:t>
            </w:r>
            <w:r w:rsidR="00F62F70" w:rsidRPr="00B17203">
              <w:rPr>
                <w:szCs w:val="24"/>
              </w:rPr>
              <w:t xml:space="preserve">51,4-52,4 GHz attribuée au SFS (Terre vers espace), pour répondre aux besoins de spectre des </w:t>
            </w:r>
            <w:r w:rsidR="00F77C97" w:rsidRPr="00B17203">
              <w:rPr>
                <w:szCs w:val="24"/>
              </w:rPr>
              <w:t>réseaux non</w:t>
            </w:r>
            <w:r w:rsidRPr="00B17203">
              <w:rPr>
                <w:szCs w:val="24"/>
              </w:rPr>
              <w:t xml:space="preserve"> OSG </w:t>
            </w:r>
            <w:r w:rsidR="00F62F70" w:rsidRPr="00B17203">
              <w:rPr>
                <w:szCs w:val="24"/>
              </w:rPr>
              <w:t xml:space="preserve">du SFS, conformément aux besoins de spectre identifiés dans le </w:t>
            </w:r>
            <w:r w:rsidR="002216EC" w:rsidRPr="00B17203">
              <w:rPr>
                <w:szCs w:val="24"/>
              </w:rPr>
              <w:t>R</w:t>
            </w:r>
            <w:r w:rsidR="00FC1BE6" w:rsidRPr="00B17203">
              <w:rPr>
                <w:szCs w:val="24"/>
              </w:rPr>
              <w:t xml:space="preserve">apport </w:t>
            </w:r>
            <w:r w:rsidR="00F62F70" w:rsidRPr="00B17203">
              <w:rPr>
                <w:szCs w:val="24"/>
              </w:rPr>
              <w:t>UIT</w:t>
            </w:r>
            <w:r w:rsidR="00644E20" w:rsidRPr="00B17203">
              <w:rPr>
                <w:szCs w:val="24"/>
              </w:rPr>
              <w:noBreakHyphen/>
            </w:r>
            <w:r w:rsidR="00F62F70" w:rsidRPr="00B17203">
              <w:rPr>
                <w:szCs w:val="24"/>
              </w:rPr>
              <w:t>R</w:t>
            </w:r>
            <w:r w:rsidR="00644E20" w:rsidRPr="00B17203">
              <w:rPr>
                <w:szCs w:val="24"/>
              </w:rPr>
              <w:t> </w:t>
            </w:r>
            <w:r w:rsidR="00F62F70" w:rsidRPr="00B17203">
              <w:rPr>
                <w:szCs w:val="24"/>
              </w:rPr>
              <w:t xml:space="preserve">S.2461. Il </w:t>
            </w:r>
            <w:r w:rsidR="00FC1BE6" w:rsidRPr="00B17203">
              <w:rPr>
                <w:szCs w:val="24"/>
              </w:rPr>
              <w:t>faudrait</w:t>
            </w:r>
            <w:r w:rsidRPr="00B17203">
              <w:rPr>
                <w:szCs w:val="24"/>
              </w:rPr>
              <w:t xml:space="preserve"> </w:t>
            </w:r>
            <w:r w:rsidR="00FC1BE6" w:rsidRPr="00B17203">
              <w:rPr>
                <w:szCs w:val="24"/>
              </w:rPr>
              <w:t xml:space="preserve">examiner </w:t>
            </w:r>
            <w:r w:rsidR="00F62F70" w:rsidRPr="00B17203">
              <w:rPr>
                <w:szCs w:val="24"/>
              </w:rPr>
              <w:t xml:space="preserve">le numéro </w:t>
            </w:r>
            <w:r w:rsidR="00F62F70" w:rsidRPr="00B17203">
              <w:rPr>
                <w:b/>
                <w:bCs/>
                <w:szCs w:val="24"/>
              </w:rPr>
              <w:t>5.555C</w:t>
            </w:r>
            <w:r w:rsidR="00F62F70" w:rsidRPr="00B17203">
              <w:rPr>
                <w:szCs w:val="24"/>
              </w:rPr>
              <w:t xml:space="preserve"> du RR</w:t>
            </w:r>
            <w:r w:rsidR="00FC1BE6" w:rsidRPr="00B17203">
              <w:rPr>
                <w:szCs w:val="24"/>
              </w:rPr>
              <w:t>,</w:t>
            </w:r>
            <w:r w:rsidR="00F62F70" w:rsidRPr="00B17203">
              <w:rPr>
                <w:szCs w:val="24"/>
              </w:rPr>
              <w:t xml:space="preserve"> afin de tenir compte des dispositions réglementaires associées pour </w:t>
            </w:r>
            <w:r w:rsidR="00FC1BE6" w:rsidRPr="00B17203">
              <w:rPr>
                <w:szCs w:val="24"/>
              </w:rPr>
              <w:t xml:space="preserve">tenir compte de </w:t>
            </w:r>
            <w:r w:rsidR="00F62F70" w:rsidRPr="00B17203">
              <w:rPr>
                <w:szCs w:val="24"/>
              </w:rPr>
              <w:t xml:space="preserve">l'utilisation </w:t>
            </w:r>
            <w:r w:rsidR="00FC1BE6" w:rsidRPr="00B17203">
              <w:rPr>
                <w:szCs w:val="24"/>
              </w:rPr>
              <w:t>de la bande de fréquences</w:t>
            </w:r>
            <w:r w:rsidR="0067295A" w:rsidRPr="00B17203">
              <w:rPr>
                <w:szCs w:val="24"/>
              </w:rPr>
              <w:t> </w:t>
            </w:r>
            <w:r w:rsidR="00FC1BE6" w:rsidRPr="00B17203">
              <w:rPr>
                <w:szCs w:val="24"/>
              </w:rPr>
              <w:t xml:space="preserve">51,4-52,4 GHz par les </w:t>
            </w:r>
            <w:r w:rsidR="00F62F70" w:rsidRPr="00B17203">
              <w:rPr>
                <w:szCs w:val="24"/>
              </w:rPr>
              <w:t xml:space="preserve">systèmes non OSG du SFS (Terre vers espace) </w:t>
            </w:r>
            <w:r w:rsidR="00FC1BE6" w:rsidRPr="00B17203">
              <w:rPr>
                <w:szCs w:val="24"/>
              </w:rPr>
              <w:t>pour</w:t>
            </w:r>
            <w:r w:rsidR="00F62F70" w:rsidRPr="00B17203">
              <w:rPr>
                <w:szCs w:val="24"/>
              </w:rPr>
              <w:t xml:space="preserve"> les stations terriennes passerelles. </w:t>
            </w:r>
            <w:r w:rsidR="00FC1BE6" w:rsidRPr="00B17203">
              <w:rPr>
                <w:szCs w:val="24"/>
              </w:rPr>
              <w:t>D'</w:t>
            </w:r>
            <w:r w:rsidR="00F62F70" w:rsidRPr="00B17203">
              <w:rPr>
                <w:szCs w:val="24"/>
              </w:rPr>
              <w:t>autres services</w:t>
            </w:r>
            <w:r w:rsidR="00FB2025" w:rsidRPr="00B17203">
              <w:rPr>
                <w:szCs w:val="24"/>
              </w:rPr>
              <w:t xml:space="preserve">, y </w:t>
            </w:r>
            <w:r w:rsidR="00F77C97" w:rsidRPr="00B17203">
              <w:rPr>
                <w:szCs w:val="24"/>
              </w:rPr>
              <w:t>compris les</w:t>
            </w:r>
            <w:r w:rsidR="00FB2025" w:rsidRPr="00B17203">
              <w:rPr>
                <w:szCs w:val="24"/>
              </w:rPr>
              <w:t xml:space="preserve"> liaisons montantes passerelles</w:t>
            </w:r>
            <w:r w:rsidRPr="00B17203">
              <w:rPr>
                <w:szCs w:val="24"/>
              </w:rPr>
              <w:t xml:space="preserve"> OSG </w:t>
            </w:r>
            <w:r w:rsidR="00FB2025" w:rsidRPr="00B17203">
              <w:rPr>
                <w:szCs w:val="24"/>
              </w:rPr>
              <w:t>du SFS,</w:t>
            </w:r>
            <w:r w:rsidR="00F62F70" w:rsidRPr="00B17203">
              <w:rPr>
                <w:szCs w:val="24"/>
              </w:rPr>
              <w:t xml:space="preserve"> </w:t>
            </w:r>
            <w:r w:rsidR="00FB2025" w:rsidRPr="00B17203">
              <w:rPr>
                <w:szCs w:val="24"/>
              </w:rPr>
              <w:t xml:space="preserve">seront pris en considération dans les études, et </w:t>
            </w:r>
            <w:r w:rsidR="00FC1BE6" w:rsidRPr="00B17203">
              <w:rPr>
                <w:szCs w:val="24"/>
              </w:rPr>
              <w:t xml:space="preserve">dans le cadre de </w:t>
            </w:r>
            <w:r w:rsidR="00FB2025" w:rsidRPr="00B17203">
              <w:rPr>
                <w:szCs w:val="24"/>
              </w:rPr>
              <w:t>cet examen</w:t>
            </w:r>
            <w:r w:rsidR="00FC1BE6" w:rsidRPr="00B17203">
              <w:rPr>
                <w:szCs w:val="24"/>
              </w:rPr>
              <w:t xml:space="preserve">, on </w:t>
            </w:r>
            <w:r w:rsidR="00F62F70" w:rsidRPr="00B17203">
              <w:rPr>
                <w:szCs w:val="24"/>
              </w:rPr>
              <w:t>étudier</w:t>
            </w:r>
            <w:r w:rsidR="00FB2025" w:rsidRPr="00B17203">
              <w:rPr>
                <w:szCs w:val="24"/>
              </w:rPr>
              <w:t>a</w:t>
            </w:r>
            <w:r w:rsidR="00F62F70" w:rsidRPr="00B17203">
              <w:rPr>
                <w:szCs w:val="24"/>
              </w:rPr>
              <w:t xml:space="preserve"> la possibilité </w:t>
            </w:r>
            <w:r w:rsidRPr="00B17203">
              <w:rPr>
                <w:szCs w:val="24"/>
              </w:rPr>
              <w:t>d'un</w:t>
            </w:r>
            <w:r w:rsidR="00FC1BE6" w:rsidRPr="00B17203">
              <w:rPr>
                <w:szCs w:val="24"/>
              </w:rPr>
              <w:t xml:space="preserve">e utilisation en </w:t>
            </w:r>
            <w:r w:rsidR="00F62F70" w:rsidRPr="00B17203">
              <w:rPr>
                <w:szCs w:val="24"/>
              </w:rPr>
              <w:t xml:space="preserve">partage avec les utilisations existantes </w:t>
            </w:r>
            <w:r w:rsidR="00FC1BE6" w:rsidRPr="00B17203">
              <w:rPr>
                <w:szCs w:val="24"/>
              </w:rPr>
              <w:t>de la bande de fréquences</w:t>
            </w:r>
            <w:r w:rsidR="00F62F70" w:rsidRPr="00B17203">
              <w:rPr>
                <w:szCs w:val="24"/>
              </w:rPr>
              <w:t>.</w:t>
            </w:r>
            <w:r w:rsidR="00FB2025" w:rsidRPr="00B17203">
              <w:rPr>
                <w:szCs w:val="24"/>
              </w:rPr>
              <w:t xml:space="preserve"> Il pourrait également être envisagé d'inclure la bande de fréquences 51,4-52,4 GHz dans le champ d'application des Résolutions </w:t>
            </w:r>
            <w:r w:rsidR="00FB2025" w:rsidRPr="00B17203">
              <w:rPr>
                <w:b/>
                <w:bCs/>
                <w:szCs w:val="24"/>
              </w:rPr>
              <w:t>769 (CMR-19)</w:t>
            </w:r>
            <w:r w:rsidR="00FB2025" w:rsidRPr="00B17203">
              <w:rPr>
                <w:szCs w:val="24"/>
              </w:rPr>
              <w:t xml:space="preserve"> et </w:t>
            </w:r>
            <w:r w:rsidR="00FB2025" w:rsidRPr="00B17203">
              <w:rPr>
                <w:b/>
                <w:bCs/>
                <w:szCs w:val="24"/>
              </w:rPr>
              <w:t>770 (CMR-19)</w:t>
            </w:r>
            <w:r w:rsidR="00FC1BE6" w:rsidRPr="00B17203">
              <w:rPr>
                <w:szCs w:val="24"/>
              </w:rPr>
              <w:t xml:space="preserve">, </w:t>
            </w:r>
            <w:r w:rsidR="00FB2025" w:rsidRPr="00B17203">
              <w:rPr>
                <w:szCs w:val="24"/>
              </w:rPr>
              <w:t xml:space="preserve">afin d'assurer la protection des réseaux à </w:t>
            </w:r>
            <w:r w:rsidR="00FC1BE6" w:rsidRPr="00B17203">
              <w:rPr>
                <w:szCs w:val="24"/>
              </w:rPr>
              <w:t>satellite géostationnaire</w:t>
            </w:r>
            <w:r w:rsidR="00FB2025" w:rsidRPr="00B17203">
              <w:rPr>
                <w:szCs w:val="24"/>
              </w:rPr>
              <w:t>.</w:t>
            </w:r>
          </w:p>
        </w:tc>
      </w:tr>
      <w:tr w:rsidR="000237B0" w:rsidRPr="00B17203" w14:paraId="1D026CE5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5843C" w14:textId="77777777" w:rsidR="000237B0" w:rsidRPr="00B17203" w:rsidRDefault="000237B0" w:rsidP="0067295A">
            <w:r w:rsidRPr="00B17203">
              <w:rPr>
                <w:b/>
                <w:bCs/>
                <w:i/>
                <w:iCs/>
              </w:rPr>
              <w:t>Services de radiocommunication concernés</w:t>
            </w:r>
            <w:r w:rsidRPr="00B17203">
              <w:rPr>
                <w:b/>
                <w:bCs/>
              </w:rPr>
              <w:t>:</w:t>
            </w:r>
          </w:p>
          <w:p w14:paraId="1E6ED587" w14:textId="2F5DB848" w:rsidR="000237B0" w:rsidRPr="00B17203" w:rsidRDefault="000237B0" w:rsidP="00F65B3E">
            <w:pPr>
              <w:spacing w:after="40"/>
              <w:rPr>
                <w:bCs/>
                <w:iCs/>
              </w:rPr>
            </w:pPr>
            <w:r w:rsidRPr="00B17203">
              <w:rPr>
                <w:bCs/>
                <w:iCs/>
              </w:rPr>
              <w:t xml:space="preserve">Les services de radiocommunication concernés dans la bande de fréquences </w:t>
            </w:r>
            <w:r w:rsidR="008366F0" w:rsidRPr="00B17203">
              <w:rPr>
                <w:bCs/>
                <w:iCs/>
              </w:rPr>
              <w:t>51,4-52,4</w:t>
            </w:r>
            <w:r w:rsidRPr="00B17203">
              <w:rPr>
                <w:bCs/>
                <w:iCs/>
              </w:rPr>
              <w:t xml:space="preserve"> GHz.</w:t>
            </w:r>
          </w:p>
        </w:tc>
      </w:tr>
      <w:tr w:rsidR="000237B0" w:rsidRPr="00B17203" w14:paraId="08D280B0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8404C" w14:textId="77777777" w:rsidR="000237B0" w:rsidRPr="00B17203" w:rsidRDefault="000237B0" w:rsidP="0067295A">
            <w:r w:rsidRPr="00B17203">
              <w:rPr>
                <w:b/>
                <w:bCs/>
                <w:i/>
                <w:iCs/>
              </w:rPr>
              <w:t>Indication des difficultés éventuelles</w:t>
            </w:r>
            <w:r w:rsidRPr="00B17203">
              <w:rPr>
                <w:b/>
                <w:bCs/>
              </w:rPr>
              <w:t>:</w:t>
            </w:r>
          </w:p>
          <w:p w14:paraId="1A675271" w14:textId="77777777" w:rsidR="000237B0" w:rsidRPr="00B17203" w:rsidRDefault="000237B0" w:rsidP="00F65B3E">
            <w:pPr>
              <w:spacing w:after="40"/>
              <w:rPr>
                <w:b/>
                <w:i/>
              </w:rPr>
            </w:pPr>
            <w:r w:rsidRPr="00B17203">
              <w:rPr>
                <w:bCs/>
                <w:iCs/>
              </w:rPr>
              <w:t>À déterminer</w:t>
            </w:r>
          </w:p>
        </w:tc>
      </w:tr>
      <w:tr w:rsidR="000237B0" w:rsidRPr="00B17203" w14:paraId="44C096FF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DA935" w14:textId="77777777" w:rsidR="00F65B3E" w:rsidRPr="00B17203" w:rsidRDefault="000237B0" w:rsidP="00F65B3E">
            <w:pPr>
              <w:keepNext/>
              <w:keepLines/>
              <w:spacing w:after="40"/>
              <w:rPr>
                <w:b/>
                <w:bCs/>
              </w:rPr>
            </w:pPr>
            <w:r w:rsidRPr="00B17203">
              <w:rPr>
                <w:b/>
                <w:bCs/>
                <w:i/>
                <w:iCs/>
              </w:rPr>
              <w:t>Études précédentes ou en cours sur la question</w:t>
            </w:r>
            <w:r w:rsidRPr="00B17203">
              <w:rPr>
                <w:b/>
                <w:bCs/>
              </w:rPr>
              <w:t>:</w:t>
            </w:r>
            <w:r w:rsidR="00F65B3E" w:rsidRPr="00B17203">
              <w:rPr>
                <w:b/>
                <w:bCs/>
              </w:rPr>
              <w:t xml:space="preserve"> </w:t>
            </w:r>
          </w:p>
          <w:p w14:paraId="1A9AEE9C" w14:textId="2D69A78D" w:rsidR="000237B0" w:rsidRPr="00B17203" w:rsidRDefault="00FB2025" w:rsidP="00F65B3E">
            <w:pPr>
              <w:keepNext/>
              <w:keepLines/>
              <w:spacing w:after="40"/>
              <w:rPr>
                <w:bCs/>
                <w:iCs/>
              </w:rPr>
            </w:pPr>
            <w:r w:rsidRPr="00B17203">
              <w:rPr>
                <w:bCs/>
                <w:iCs/>
              </w:rPr>
              <w:t>Point 9.1 de l'ordre du jour de la CMR-19, Question 9.1.9</w:t>
            </w:r>
          </w:p>
        </w:tc>
      </w:tr>
      <w:tr w:rsidR="000237B0" w:rsidRPr="00B17203" w14:paraId="33BF6C8A" w14:textId="77777777" w:rsidTr="00874735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E7D6" w14:textId="77777777" w:rsidR="0067295A" w:rsidRPr="00B17203" w:rsidRDefault="000237B0" w:rsidP="00F65B3E">
            <w:pPr>
              <w:keepNext/>
              <w:keepLines/>
              <w:spacing w:after="40"/>
            </w:pPr>
            <w:r w:rsidRPr="00B17203">
              <w:rPr>
                <w:b/>
                <w:bCs/>
                <w:i/>
                <w:iCs/>
              </w:rPr>
              <w:lastRenderedPageBreak/>
              <w:t>Études devant être réalisées par</w:t>
            </w:r>
            <w:r w:rsidRPr="00B17203">
              <w:rPr>
                <w:b/>
                <w:bCs/>
              </w:rPr>
              <w:t>:</w:t>
            </w:r>
            <w:r w:rsidR="0067295A" w:rsidRPr="00B17203">
              <w:t xml:space="preserve"> </w:t>
            </w:r>
          </w:p>
          <w:p w14:paraId="278502EC" w14:textId="280F835A" w:rsidR="000237B0" w:rsidRPr="00B17203" w:rsidRDefault="00FB2025" w:rsidP="00F65B3E">
            <w:pPr>
              <w:keepNext/>
              <w:keepLines/>
              <w:spacing w:after="40"/>
            </w:pPr>
            <w:r w:rsidRPr="00B17203">
              <w:t>Groupe de travail 4A de l'UIT-R en tant que groupe responsable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DE92F" w14:textId="77777777" w:rsidR="000237B0" w:rsidRPr="00B17203" w:rsidRDefault="000237B0" w:rsidP="00F65B3E">
            <w:pPr>
              <w:keepNext/>
              <w:keepLines/>
              <w:spacing w:after="40"/>
              <w:rPr>
                <w:b/>
                <w:bCs/>
              </w:rPr>
            </w:pPr>
            <w:r w:rsidRPr="00B17203">
              <w:rPr>
                <w:b/>
                <w:bCs/>
                <w:i/>
                <w:iCs/>
              </w:rPr>
              <w:t>avec la participation de</w:t>
            </w:r>
            <w:r w:rsidRPr="00B17203">
              <w:rPr>
                <w:b/>
                <w:bCs/>
              </w:rPr>
              <w:t>:</w:t>
            </w:r>
          </w:p>
          <w:p w14:paraId="5A77748F" w14:textId="1D9B26DD" w:rsidR="000237B0" w:rsidRPr="00B17203" w:rsidRDefault="004232BC" w:rsidP="00F65B3E">
            <w:pPr>
              <w:keepNext/>
              <w:keepLines/>
              <w:spacing w:after="40"/>
              <w:rPr>
                <w:bCs/>
                <w:iCs/>
                <w:color w:val="000000"/>
              </w:rPr>
            </w:pPr>
            <w:r w:rsidRPr="00B17203">
              <w:rPr>
                <w:bCs/>
                <w:iCs/>
                <w:color w:val="000000"/>
              </w:rPr>
              <w:t xml:space="preserve">Autres </w:t>
            </w:r>
            <w:r w:rsidR="009F52E7" w:rsidRPr="00B17203">
              <w:rPr>
                <w:bCs/>
                <w:iCs/>
                <w:color w:val="000000"/>
              </w:rPr>
              <w:t>g</w:t>
            </w:r>
            <w:r w:rsidR="00FB2025" w:rsidRPr="00B17203">
              <w:rPr>
                <w:bCs/>
                <w:iCs/>
                <w:color w:val="000000"/>
              </w:rPr>
              <w:t>roupes de travail, administrations et Membres d</w:t>
            </w:r>
            <w:r w:rsidR="00D06983" w:rsidRPr="00B17203">
              <w:rPr>
                <w:bCs/>
                <w:iCs/>
                <w:color w:val="000000"/>
              </w:rPr>
              <w:t>e</w:t>
            </w:r>
            <w:r w:rsidR="00FB2025" w:rsidRPr="00B17203">
              <w:rPr>
                <w:bCs/>
                <w:iCs/>
                <w:color w:val="000000"/>
              </w:rPr>
              <w:t xml:space="preserve"> Secteur concernés</w:t>
            </w:r>
          </w:p>
        </w:tc>
      </w:tr>
      <w:tr w:rsidR="000237B0" w:rsidRPr="00B17203" w14:paraId="55994892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B4C3" w14:textId="77777777" w:rsidR="000237B0" w:rsidRPr="00B17203" w:rsidRDefault="000237B0" w:rsidP="00F65B3E">
            <w:pPr>
              <w:keepNext/>
              <w:keepLines/>
            </w:pPr>
            <w:r w:rsidRPr="00B17203">
              <w:rPr>
                <w:b/>
                <w:bCs/>
                <w:i/>
                <w:iCs/>
              </w:rPr>
              <w:t>Commissions d'études de l'UIT-R concernées</w:t>
            </w:r>
            <w:r w:rsidRPr="00B17203">
              <w:rPr>
                <w:b/>
                <w:bCs/>
              </w:rPr>
              <w:t>:</w:t>
            </w:r>
          </w:p>
          <w:p w14:paraId="762A7361" w14:textId="04E42604" w:rsidR="000237B0" w:rsidRPr="00B17203" w:rsidRDefault="00FB2025" w:rsidP="00F65B3E">
            <w:pPr>
              <w:keepNext/>
              <w:keepLines/>
              <w:spacing w:after="40"/>
              <w:rPr>
                <w:bCs/>
                <w:iCs/>
              </w:rPr>
            </w:pPr>
            <w:r w:rsidRPr="00B17203">
              <w:rPr>
                <w:bCs/>
                <w:iCs/>
              </w:rPr>
              <w:t>CE 4, CE 5, CE 7</w:t>
            </w:r>
          </w:p>
        </w:tc>
      </w:tr>
      <w:tr w:rsidR="000237B0" w:rsidRPr="00B17203" w14:paraId="64670472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FE73" w14:textId="77777777" w:rsidR="000237B0" w:rsidRPr="00B17203" w:rsidRDefault="000237B0" w:rsidP="00F65B3E">
            <w:pPr>
              <w:keepNext/>
              <w:keepLines/>
            </w:pPr>
            <w:r w:rsidRPr="00B17203">
              <w:rPr>
                <w:b/>
                <w:bCs/>
                <w:i/>
                <w:iCs/>
              </w:rPr>
              <w:t>Répercussions au niveau des ressources de l'UIT, y compris incidences financières</w:t>
            </w:r>
            <w:r w:rsidRPr="00B17203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B17203">
              <w:rPr>
                <w:b/>
                <w:bCs/>
              </w:rPr>
              <w:t>:</w:t>
            </w:r>
          </w:p>
          <w:p w14:paraId="3A0B73D2" w14:textId="77777777" w:rsidR="000237B0" w:rsidRPr="00B17203" w:rsidRDefault="000237B0" w:rsidP="00F65B3E">
            <w:pPr>
              <w:keepNext/>
              <w:keepLines/>
              <w:spacing w:after="40"/>
              <w:rPr>
                <w:bCs/>
                <w:iCs/>
              </w:rPr>
            </w:pPr>
            <w:r w:rsidRPr="00B17203">
              <w:rPr>
                <w:bCs/>
                <w:iCs/>
              </w:rPr>
              <w:t>Aucune incidence financière directe n'a été identifiée à ce jour.</w:t>
            </w:r>
          </w:p>
        </w:tc>
      </w:tr>
      <w:tr w:rsidR="000237B0" w:rsidRPr="00B17203" w14:paraId="661521D6" w14:textId="77777777" w:rsidTr="00874735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97AF6" w14:textId="78F3165D" w:rsidR="000237B0" w:rsidRPr="00B17203" w:rsidRDefault="000237B0" w:rsidP="00F65B3E">
            <w:pPr>
              <w:keepNext/>
              <w:keepLines/>
              <w:rPr>
                <w:b/>
                <w:iCs/>
              </w:rPr>
            </w:pPr>
            <w:r w:rsidRPr="00B17203">
              <w:rPr>
                <w:b/>
                <w:bCs/>
                <w:i/>
                <w:iCs/>
              </w:rPr>
              <w:t>Proposition régionale commune</w:t>
            </w:r>
            <w:r w:rsidRPr="00B17203">
              <w:rPr>
                <w:b/>
                <w:bCs/>
              </w:rPr>
              <w:t>:</w:t>
            </w:r>
            <w:r w:rsidR="00644E20" w:rsidRPr="00B17203">
              <w:t xml:space="preserve"> </w:t>
            </w:r>
            <w:r w:rsidRPr="00B17203">
              <w:t>Non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3E7CC" w14:textId="49A16AE7" w:rsidR="000237B0" w:rsidRPr="00B17203" w:rsidRDefault="000237B0" w:rsidP="00F65B3E">
            <w:pPr>
              <w:keepNext/>
              <w:keepLines/>
              <w:rPr>
                <w:b/>
                <w:bCs/>
              </w:rPr>
            </w:pPr>
            <w:r w:rsidRPr="00B17203">
              <w:rPr>
                <w:b/>
                <w:bCs/>
                <w:i/>
                <w:iCs/>
              </w:rPr>
              <w:t>Proposition soumise par plusieurs pays</w:t>
            </w:r>
            <w:r w:rsidRPr="00B17203">
              <w:rPr>
                <w:b/>
                <w:bCs/>
              </w:rPr>
              <w:t>:</w:t>
            </w:r>
            <w:r w:rsidR="00644E20" w:rsidRPr="00B17203">
              <w:t xml:space="preserve"> </w:t>
            </w:r>
            <w:r w:rsidRPr="00B17203">
              <w:t>Oui</w:t>
            </w:r>
          </w:p>
          <w:p w14:paraId="6F11C2DE" w14:textId="77777777" w:rsidR="000237B0" w:rsidRPr="00B17203" w:rsidRDefault="000237B0" w:rsidP="00F65B3E">
            <w:pPr>
              <w:keepNext/>
              <w:keepLines/>
              <w:spacing w:after="120"/>
            </w:pPr>
            <w:r w:rsidRPr="00B17203">
              <w:rPr>
                <w:b/>
                <w:bCs/>
                <w:i/>
                <w:iCs/>
              </w:rPr>
              <w:t>Nombre de pays</w:t>
            </w:r>
            <w:r w:rsidRPr="00B17203">
              <w:rPr>
                <w:b/>
                <w:bCs/>
              </w:rPr>
              <w:t>:</w:t>
            </w:r>
            <w:r w:rsidR="00644E20" w:rsidRPr="00B17203">
              <w:t xml:space="preserve"> </w:t>
            </w:r>
            <w:r w:rsidRPr="00B17203">
              <w:t>2</w:t>
            </w:r>
          </w:p>
          <w:p w14:paraId="6E705260" w14:textId="1608108F" w:rsidR="0067295A" w:rsidRPr="00B17203" w:rsidRDefault="0067295A" w:rsidP="00F65B3E">
            <w:pPr>
              <w:keepNext/>
              <w:keepLines/>
              <w:spacing w:after="120"/>
              <w:rPr>
                <w:b/>
                <w:bCs/>
              </w:rPr>
            </w:pPr>
          </w:p>
        </w:tc>
      </w:tr>
      <w:tr w:rsidR="000237B0" w:rsidRPr="00B17203" w14:paraId="076989DA" w14:textId="77777777" w:rsidTr="00874735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EB381" w14:textId="77777777" w:rsidR="0067295A" w:rsidRPr="00B17203" w:rsidRDefault="000237B0" w:rsidP="00F65B3E">
            <w:pPr>
              <w:keepNext/>
              <w:keepLines/>
              <w:rPr>
                <w:b/>
                <w:bCs/>
                <w:i/>
                <w:iCs/>
              </w:rPr>
            </w:pPr>
            <w:r w:rsidRPr="00B17203">
              <w:rPr>
                <w:b/>
                <w:bCs/>
                <w:i/>
                <w:iCs/>
              </w:rPr>
              <w:t>Observations</w:t>
            </w:r>
          </w:p>
          <w:p w14:paraId="53BFFD69" w14:textId="19197D67" w:rsidR="0067295A" w:rsidRPr="00B17203" w:rsidRDefault="0067295A" w:rsidP="00F65B3E">
            <w:pPr>
              <w:keepNext/>
              <w:keepLines/>
              <w:rPr>
                <w:b/>
                <w:bCs/>
              </w:rPr>
            </w:pPr>
          </w:p>
        </w:tc>
      </w:tr>
    </w:tbl>
    <w:p w14:paraId="28E76100" w14:textId="1678C199" w:rsidR="000237B0" w:rsidRPr="00B17203" w:rsidRDefault="000237B0" w:rsidP="00F65B3E">
      <w:pPr>
        <w:keepNext/>
        <w:keepLines/>
        <w:jc w:val="center"/>
      </w:pPr>
      <w:r w:rsidRPr="00B17203">
        <w:t>______________</w:t>
      </w:r>
    </w:p>
    <w:sectPr w:rsidR="000237B0" w:rsidRPr="00B1720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9F92" w14:textId="77777777" w:rsidR="00392045" w:rsidRDefault="00392045">
      <w:r>
        <w:separator/>
      </w:r>
    </w:p>
  </w:endnote>
  <w:endnote w:type="continuationSeparator" w:id="0">
    <w:p w14:paraId="38EB106A" w14:textId="77777777" w:rsidR="00392045" w:rsidRDefault="0039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4B7C" w14:textId="4FC2579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7203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86A" w14:textId="248B5F9A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44B1">
      <w:rPr>
        <w:lang w:val="en-US"/>
      </w:rPr>
      <w:t>P:\FRA\ITU-R\CONF-R\CMR23\100\135F.docx</w:t>
    </w:r>
    <w:r>
      <w:fldChar w:fldCharType="end"/>
    </w:r>
    <w:r w:rsidR="009926FA" w:rsidRPr="0067295A">
      <w:rPr>
        <w:lang w:val="en-GB"/>
      </w:rPr>
      <w:t xml:space="preserve"> (530343)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393" w14:textId="2DFD69DD" w:rsidR="00936D25" w:rsidRPr="001244B1" w:rsidRDefault="001244B1" w:rsidP="001244B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P:\FRA\ITU-R\CONF-R\CMR23\100\135F.docx</w:t>
    </w:r>
    <w:r>
      <w:fldChar w:fldCharType="end"/>
    </w:r>
    <w:r w:rsidRPr="0067295A">
      <w:rPr>
        <w:lang w:val="en-GB"/>
      </w:rPr>
      <w:t xml:space="preserve"> (530343)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3BBB" w14:textId="77777777" w:rsidR="00392045" w:rsidRDefault="00392045">
      <w:r>
        <w:rPr>
          <w:b/>
        </w:rPr>
        <w:t>_______________</w:t>
      </w:r>
    </w:p>
  </w:footnote>
  <w:footnote w:type="continuationSeparator" w:id="0">
    <w:p w14:paraId="4E116191" w14:textId="77777777" w:rsidR="00392045" w:rsidRDefault="0039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618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1E72F6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135-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28540728">
    <w:abstractNumId w:val="0"/>
  </w:num>
  <w:num w:numId="2" w16cid:durableId="12990677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37B0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B6305"/>
    <w:rsid w:val="001167B9"/>
    <w:rsid w:val="001244B1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16EC"/>
    <w:rsid w:val="00225CF2"/>
    <w:rsid w:val="00232FD2"/>
    <w:rsid w:val="0026554E"/>
    <w:rsid w:val="002A4622"/>
    <w:rsid w:val="002A6F8F"/>
    <w:rsid w:val="002B17E5"/>
    <w:rsid w:val="002C0EBF"/>
    <w:rsid w:val="002C28A4"/>
    <w:rsid w:val="002D2533"/>
    <w:rsid w:val="002D7E0A"/>
    <w:rsid w:val="002F10B7"/>
    <w:rsid w:val="00315AFE"/>
    <w:rsid w:val="003230B1"/>
    <w:rsid w:val="003411F6"/>
    <w:rsid w:val="003606A6"/>
    <w:rsid w:val="0036650C"/>
    <w:rsid w:val="00392045"/>
    <w:rsid w:val="00393ACD"/>
    <w:rsid w:val="003A583E"/>
    <w:rsid w:val="003E112B"/>
    <w:rsid w:val="003E1D1C"/>
    <w:rsid w:val="003E7B05"/>
    <w:rsid w:val="003F3719"/>
    <w:rsid w:val="003F6F2D"/>
    <w:rsid w:val="004232BC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4874"/>
    <w:rsid w:val="005C6C3F"/>
    <w:rsid w:val="0060711D"/>
    <w:rsid w:val="00613635"/>
    <w:rsid w:val="0062093D"/>
    <w:rsid w:val="00637ECF"/>
    <w:rsid w:val="00644E20"/>
    <w:rsid w:val="00647B59"/>
    <w:rsid w:val="00656433"/>
    <w:rsid w:val="0067295A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5807"/>
    <w:rsid w:val="00774362"/>
    <w:rsid w:val="00786598"/>
    <w:rsid w:val="00790C74"/>
    <w:rsid w:val="007975D0"/>
    <w:rsid w:val="007A04E8"/>
    <w:rsid w:val="007B2C34"/>
    <w:rsid w:val="007D2E24"/>
    <w:rsid w:val="007F282B"/>
    <w:rsid w:val="00817754"/>
    <w:rsid w:val="00830086"/>
    <w:rsid w:val="008366F0"/>
    <w:rsid w:val="00851625"/>
    <w:rsid w:val="00863C0A"/>
    <w:rsid w:val="00891F70"/>
    <w:rsid w:val="008A3120"/>
    <w:rsid w:val="008A4B97"/>
    <w:rsid w:val="008C5B8E"/>
    <w:rsid w:val="008C5DD5"/>
    <w:rsid w:val="008C7123"/>
    <w:rsid w:val="008D1F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26FA"/>
    <w:rsid w:val="009A045F"/>
    <w:rsid w:val="009A6A2B"/>
    <w:rsid w:val="009B5AD5"/>
    <w:rsid w:val="009C7E7C"/>
    <w:rsid w:val="009F52E7"/>
    <w:rsid w:val="00A00473"/>
    <w:rsid w:val="00A03C9B"/>
    <w:rsid w:val="00A37105"/>
    <w:rsid w:val="00A449FE"/>
    <w:rsid w:val="00A606C3"/>
    <w:rsid w:val="00A83B09"/>
    <w:rsid w:val="00A84541"/>
    <w:rsid w:val="00AB161B"/>
    <w:rsid w:val="00AE36A0"/>
    <w:rsid w:val="00B00294"/>
    <w:rsid w:val="00B05D15"/>
    <w:rsid w:val="00B17203"/>
    <w:rsid w:val="00B3749C"/>
    <w:rsid w:val="00B64FD0"/>
    <w:rsid w:val="00B94224"/>
    <w:rsid w:val="00BA5BD0"/>
    <w:rsid w:val="00BB1D82"/>
    <w:rsid w:val="00BC217E"/>
    <w:rsid w:val="00BD51C5"/>
    <w:rsid w:val="00BF26E7"/>
    <w:rsid w:val="00C1305F"/>
    <w:rsid w:val="00C407E4"/>
    <w:rsid w:val="00C53FCA"/>
    <w:rsid w:val="00C71DEB"/>
    <w:rsid w:val="00C76BAF"/>
    <w:rsid w:val="00C814B9"/>
    <w:rsid w:val="00CB685A"/>
    <w:rsid w:val="00CD516F"/>
    <w:rsid w:val="00D06983"/>
    <w:rsid w:val="00D119A7"/>
    <w:rsid w:val="00D25FBA"/>
    <w:rsid w:val="00D32B28"/>
    <w:rsid w:val="00D3426F"/>
    <w:rsid w:val="00D42954"/>
    <w:rsid w:val="00D57778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4BE8"/>
    <w:rsid w:val="00E3357B"/>
    <w:rsid w:val="00E37A25"/>
    <w:rsid w:val="00E537FF"/>
    <w:rsid w:val="00E60CB2"/>
    <w:rsid w:val="00E6539B"/>
    <w:rsid w:val="00E70A31"/>
    <w:rsid w:val="00E723A7"/>
    <w:rsid w:val="00EA3F38"/>
    <w:rsid w:val="00EA5AB6"/>
    <w:rsid w:val="00EC5792"/>
    <w:rsid w:val="00EC70CF"/>
    <w:rsid w:val="00EC7615"/>
    <w:rsid w:val="00ED16AA"/>
    <w:rsid w:val="00ED6B8D"/>
    <w:rsid w:val="00EE0AA3"/>
    <w:rsid w:val="00EE3D7B"/>
    <w:rsid w:val="00EF662E"/>
    <w:rsid w:val="00F10064"/>
    <w:rsid w:val="00F148F1"/>
    <w:rsid w:val="00F62F70"/>
    <w:rsid w:val="00F65B3E"/>
    <w:rsid w:val="00F66C42"/>
    <w:rsid w:val="00F711A7"/>
    <w:rsid w:val="00F77C97"/>
    <w:rsid w:val="00FA3BBF"/>
    <w:rsid w:val="00FB2025"/>
    <w:rsid w:val="00FC1BE6"/>
    <w:rsid w:val="00FC41F8"/>
    <w:rsid w:val="00FD7AA3"/>
    <w:rsid w:val="00FF1C40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B07E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locked/>
    <w:rsid w:val="003230B1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230B1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765807"/>
    <w:rPr>
      <w:rFonts w:ascii="Times New Roman" w:hAnsi="Times New Roman"/>
      <w:sz w:val="24"/>
      <w:lang w:val="fr-FR" w:eastAsia="en-US"/>
    </w:rPr>
  </w:style>
  <w:style w:type="character" w:customStyle="1" w:styleId="ui-provider">
    <w:name w:val="ui-provider"/>
    <w:basedOn w:val="DefaultParagraphFont"/>
    <w:rsid w:val="00D57778"/>
  </w:style>
  <w:style w:type="character" w:styleId="CommentReference">
    <w:name w:val="annotation reference"/>
    <w:basedOn w:val="DefaultParagraphFont"/>
    <w:semiHidden/>
    <w:unhideWhenUsed/>
    <w:rsid w:val="00D069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69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6983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983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R23-WRC23-C-0135!!MSW-F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35D0-8FE8-48DC-A516-4A97DD083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3B6998-DEC1-4D92-8FF2-54BD84269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2693E-0EC7-43D4-84FF-27D78A4A987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1568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R23-WRC23-C-0135!!MSW-F</vt:lpstr>
      <vt:lpstr>R23-WRC23-C-0135!!MSW-F</vt:lpstr>
    </vt:vector>
  </TitlesOfParts>
  <Manager>Secrétariat général - Pool</Manager>
  <Company>Union internationale des télécommunications (UIT)</Company>
  <LinksUpToDate>false</LinksUpToDate>
  <CharactersWithSpaces>10228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R23-WRC23-C-0135!!MSW-F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13</cp:revision>
  <cp:lastPrinted>2003-06-05T19:34:00Z</cp:lastPrinted>
  <dcterms:created xsi:type="dcterms:W3CDTF">2023-11-13T12:05:00Z</dcterms:created>
  <dcterms:modified xsi:type="dcterms:W3CDTF">2023-11-13T13:45:00Z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