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782E84" w14:paraId="438804F8" w14:textId="77777777" w:rsidTr="00C1305F">
        <w:trPr>
          <w:cantSplit/>
        </w:trPr>
        <w:tc>
          <w:tcPr>
            <w:tcW w:w="1418" w:type="dxa"/>
            <w:vAlign w:val="center"/>
          </w:tcPr>
          <w:p w14:paraId="5E052EB5" w14:textId="77777777" w:rsidR="00C1305F" w:rsidRPr="00782E84" w:rsidRDefault="00C1305F" w:rsidP="00C1305F">
            <w:pPr>
              <w:spacing w:before="0" w:line="240" w:lineRule="atLeast"/>
              <w:rPr>
                <w:rFonts w:ascii="Verdana" w:hAnsi="Verdana"/>
                <w:b/>
                <w:bCs/>
                <w:sz w:val="20"/>
              </w:rPr>
            </w:pPr>
            <w:r w:rsidRPr="00782E84">
              <w:rPr>
                <w:lang w:eastAsia="fr-CH"/>
              </w:rPr>
              <w:drawing>
                <wp:inline distT="0" distB="0" distL="0" distR="0" wp14:anchorId="5BDB2BA1" wp14:editId="0225B4AE">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07DDAE66" w14:textId="5F7CA01D" w:rsidR="00C1305F" w:rsidRPr="00782E84" w:rsidRDefault="00C1305F" w:rsidP="00F10064">
            <w:pPr>
              <w:spacing w:before="400" w:after="48" w:line="240" w:lineRule="atLeast"/>
              <w:rPr>
                <w:rFonts w:ascii="Verdana" w:hAnsi="Verdana"/>
                <w:b/>
                <w:bCs/>
                <w:sz w:val="20"/>
              </w:rPr>
            </w:pPr>
            <w:r w:rsidRPr="00782E84">
              <w:rPr>
                <w:rFonts w:ascii="Verdana" w:hAnsi="Verdana"/>
                <w:b/>
                <w:bCs/>
                <w:sz w:val="20"/>
              </w:rPr>
              <w:t>Conférence mondiale des radiocommunications (CMR-23)</w:t>
            </w:r>
            <w:r w:rsidRPr="00782E84">
              <w:rPr>
                <w:rFonts w:ascii="Verdana" w:hAnsi="Verdana"/>
                <w:b/>
                <w:bCs/>
                <w:sz w:val="20"/>
              </w:rPr>
              <w:br/>
            </w:r>
            <w:r w:rsidRPr="00782E84">
              <w:rPr>
                <w:rFonts w:ascii="Verdana" w:hAnsi="Verdana"/>
                <w:b/>
                <w:bCs/>
                <w:sz w:val="18"/>
                <w:szCs w:val="18"/>
              </w:rPr>
              <w:t xml:space="preserve">Dubaï, 20 novembre </w:t>
            </w:r>
            <w:r w:rsidR="002327FA" w:rsidRPr="00782E84">
              <w:rPr>
                <w:rFonts w:ascii="Verdana" w:hAnsi="Verdana"/>
                <w:b/>
                <w:bCs/>
                <w:sz w:val="18"/>
                <w:szCs w:val="18"/>
              </w:rPr>
              <w:t>–</w:t>
            </w:r>
            <w:r w:rsidRPr="00782E84">
              <w:rPr>
                <w:rFonts w:ascii="Verdana" w:hAnsi="Verdana"/>
                <w:b/>
                <w:bCs/>
                <w:sz w:val="18"/>
                <w:szCs w:val="18"/>
              </w:rPr>
              <w:t xml:space="preserve"> 15 décembre 2023</w:t>
            </w:r>
          </w:p>
        </w:tc>
        <w:tc>
          <w:tcPr>
            <w:tcW w:w="1809" w:type="dxa"/>
            <w:vAlign w:val="center"/>
          </w:tcPr>
          <w:p w14:paraId="5E782DF5" w14:textId="77777777" w:rsidR="00C1305F" w:rsidRPr="00782E84" w:rsidRDefault="00C1305F" w:rsidP="00C1305F">
            <w:pPr>
              <w:spacing w:before="0" w:line="240" w:lineRule="atLeast"/>
            </w:pPr>
            <w:bookmarkStart w:id="0" w:name="ditulogo"/>
            <w:bookmarkEnd w:id="0"/>
            <w:r w:rsidRPr="00782E84">
              <w:rPr>
                <w:lang w:eastAsia="fr-CH"/>
              </w:rPr>
              <w:drawing>
                <wp:inline distT="0" distB="0" distL="0" distR="0" wp14:anchorId="7B912DFB" wp14:editId="0B9DEDED">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782E84" w14:paraId="5D76F638" w14:textId="77777777" w:rsidTr="0050008E">
        <w:trPr>
          <w:cantSplit/>
        </w:trPr>
        <w:tc>
          <w:tcPr>
            <w:tcW w:w="6911" w:type="dxa"/>
            <w:gridSpan w:val="2"/>
            <w:tcBorders>
              <w:bottom w:val="single" w:sz="12" w:space="0" w:color="auto"/>
            </w:tcBorders>
          </w:tcPr>
          <w:p w14:paraId="54336653" w14:textId="77777777" w:rsidR="00BB1D82" w:rsidRPr="00782E84" w:rsidRDefault="00BB1D82" w:rsidP="00BB1D82">
            <w:pPr>
              <w:spacing w:before="0" w:after="48" w:line="240" w:lineRule="atLeast"/>
              <w:rPr>
                <w:b/>
                <w:smallCaps/>
                <w:szCs w:val="24"/>
              </w:rPr>
            </w:pPr>
            <w:bookmarkStart w:id="1" w:name="dhead"/>
          </w:p>
        </w:tc>
        <w:tc>
          <w:tcPr>
            <w:tcW w:w="3120" w:type="dxa"/>
            <w:gridSpan w:val="2"/>
            <w:tcBorders>
              <w:bottom w:val="single" w:sz="12" w:space="0" w:color="auto"/>
            </w:tcBorders>
          </w:tcPr>
          <w:p w14:paraId="52E95BE3" w14:textId="77777777" w:rsidR="00BB1D82" w:rsidRPr="00782E84" w:rsidRDefault="00BB1D82" w:rsidP="00BB1D82">
            <w:pPr>
              <w:spacing w:before="0" w:line="240" w:lineRule="atLeast"/>
              <w:rPr>
                <w:rFonts w:ascii="Verdana" w:hAnsi="Verdana"/>
                <w:szCs w:val="24"/>
              </w:rPr>
            </w:pPr>
          </w:p>
        </w:tc>
      </w:tr>
      <w:tr w:rsidR="00BB1D82" w:rsidRPr="00782E84" w14:paraId="5AA81640" w14:textId="77777777" w:rsidTr="00BB1D82">
        <w:trPr>
          <w:cantSplit/>
        </w:trPr>
        <w:tc>
          <w:tcPr>
            <w:tcW w:w="6911" w:type="dxa"/>
            <w:gridSpan w:val="2"/>
            <w:tcBorders>
              <w:top w:val="single" w:sz="12" w:space="0" w:color="auto"/>
            </w:tcBorders>
          </w:tcPr>
          <w:p w14:paraId="37D0AB9E" w14:textId="77777777" w:rsidR="00BB1D82" w:rsidRPr="00782E84" w:rsidRDefault="00BB1D82" w:rsidP="00BB1D82">
            <w:pPr>
              <w:spacing w:before="0" w:after="48" w:line="240" w:lineRule="atLeast"/>
              <w:rPr>
                <w:rFonts w:ascii="Verdana" w:hAnsi="Verdana"/>
                <w:b/>
                <w:smallCaps/>
                <w:sz w:val="20"/>
              </w:rPr>
            </w:pPr>
          </w:p>
        </w:tc>
        <w:tc>
          <w:tcPr>
            <w:tcW w:w="3120" w:type="dxa"/>
            <w:gridSpan w:val="2"/>
            <w:tcBorders>
              <w:top w:val="single" w:sz="12" w:space="0" w:color="auto"/>
            </w:tcBorders>
          </w:tcPr>
          <w:p w14:paraId="5B54AE1B" w14:textId="77777777" w:rsidR="00BB1D82" w:rsidRPr="00782E84" w:rsidRDefault="00BB1D82" w:rsidP="00BB1D82">
            <w:pPr>
              <w:spacing w:before="0" w:line="240" w:lineRule="atLeast"/>
              <w:rPr>
                <w:rFonts w:ascii="Verdana" w:hAnsi="Verdana"/>
                <w:sz w:val="20"/>
              </w:rPr>
            </w:pPr>
          </w:p>
        </w:tc>
      </w:tr>
      <w:tr w:rsidR="00BB1D82" w:rsidRPr="00782E84" w14:paraId="156AE752" w14:textId="77777777" w:rsidTr="00BB1D82">
        <w:trPr>
          <w:cantSplit/>
        </w:trPr>
        <w:tc>
          <w:tcPr>
            <w:tcW w:w="6911" w:type="dxa"/>
            <w:gridSpan w:val="2"/>
          </w:tcPr>
          <w:p w14:paraId="7D6A8A49" w14:textId="77777777" w:rsidR="00BB1D82" w:rsidRPr="00782E84" w:rsidRDefault="006D4724" w:rsidP="00BA5BD0">
            <w:pPr>
              <w:spacing w:before="0"/>
              <w:rPr>
                <w:rFonts w:ascii="Verdana" w:hAnsi="Verdana"/>
                <w:b/>
                <w:sz w:val="20"/>
              </w:rPr>
            </w:pPr>
            <w:r w:rsidRPr="00782E84">
              <w:rPr>
                <w:rFonts w:ascii="Verdana" w:hAnsi="Verdana"/>
                <w:b/>
                <w:sz w:val="20"/>
              </w:rPr>
              <w:t>SÉANCE PLÉNIÈRE</w:t>
            </w:r>
          </w:p>
        </w:tc>
        <w:tc>
          <w:tcPr>
            <w:tcW w:w="3120" w:type="dxa"/>
            <w:gridSpan w:val="2"/>
          </w:tcPr>
          <w:p w14:paraId="7B480814" w14:textId="77777777" w:rsidR="00BB1D82" w:rsidRPr="00782E84" w:rsidRDefault="006D4724" w:rsidP="00BA5BD0">
            <w:pPr>
              <w:spacing w:before="0"/>
              <w:rPr>
                <w:rFonts w:ascii="Verdana" w:hAnsi="Verdana"/>
                <w:sz w:val="20"/>
              </w:rPr>
            </w:pPr>
            <w:r w:rsidRPr="00782E84">
              <w:rPr>
                <w:rFonts w:ascii="Verdana" w:hAnsi="Verdana"/>
                <w:b/>
                <w:sz w:val="20"/>
              </w:rPr>
              <w:t>Document 134</w:t>
            </w:r>
            <w:r w:rsidR="00BB1D82" w:rsidRPr="00782E84">
              <w:rPr>
                <w:rFonts w:ascii="Verdana" w:hAnsi="Verdana"/>
                <w:b/>
                <w:sz w:val="20"/>
              </w:rPr>
              <w:t>-</w:t>
            </w:r>
            <w:r w:rsidRPr="00782E84">
              <w:rPr>
                <w:rFonts w:ascii="Verdana" w:hAnsi="Verdana"/>
                <w:b/>
                <w:sz w:val="20"/>
              </w:rPr>
              <w:t>F</w:t>
            </w:r>
          </w:p>
        </w:tc>
      </w:tr>
      <w:bookmarkEnd w:id="1"/>
      <w:tr w:rsidR="00690C7B" w:rsidRPr="00782E84" w14:paraId="15AF4A6F" w14:textId="77777777" w:rsidTr="00BB1D82">
        <w:trPr>
          <w:cantSplit/>
        </w:trPr>
        <w:tc>
          <w:tcPr>
            <w:tcW w:w="6911" w:type="dxa"/>
            <w:gridSpan w:val="2"/>
          </w:tcPr>
          <w:p w14:paraId="4138F899" w14:textId="77777777" w:rsidR="00690C7B" w:rsidRPr="00782E84" w:rsidRDefault="00690C7B" w:rsidP="00BA5BD0">
            <w:pPr>
              <w:spacing w:before="0"/>
              <w:rPr>
                <w:rFonts w:ascii="Verdana" w:hAnsi="Verdana"/>
                <w:b/>
                <w:sz w:val="20"/>
              </w:rPr>
            </w:pPr>
          </w:p>
        </w:tc>
        <w:tc>
          <w:tcPr>
            <w:tcW w:w="3120" w:type="dxa"/>
            <w:gridSpan w:val="2"/>
          </w:tcPr>
          <w:p w14:paraId="41A5EE2F" w14:textId="77777777" w:rsidR="00690C7B" w:rsidRPr="00782E84" w:rsidRDefault="00690C7B" w:rsidP="00BA5BD0">
            <w:pPr>
              <w:spacing w:before="0"/>
              <w:rPr>
                <w:rFonts w:ascii="Verdana" w:hAnsi="Verdana"/>
                <w:b/>
                <w:sz w:val="20"/>
              </w:rPr>
            </w:pPr>
            <w:r w:rsidRPr="00782E84">
              <w:rPr>
                <w:rFonts w:ascii="Verdana" w:hAnsi="Verdana"/>
                <w:b/>
                <w:sz w:val="20"/>
              </w:rPr>
              <w:t>30 octobre 2023</w:t>
            </w:r>
          </w:p>
        </w:tc>
      </w:tr>
      <w:tr w:rsidR="00690C7B" w:rsidRPr="00782E84" w14:paraId="52E9E590" w14:textId="77777777" w:rsidTr="00BB1D82">
        <w:trPr>
          <w:cantSplit/>
        </w:trPr>
        <w:tc>
          <w:tcPr>
            <w:tcW w:w="6911" w:type="dxa"/>
            <w:gridSpan w:val="2"/>
          </w:tcPr>
          <w:p w14:paraId="00C73123" w14:textId="77777777" w:rsidR="00690C7B" w:rsidRPr="00782E84" w:rsidRDefault="00690C7B" w:rsidP="00BA5BD0">
            <w:pPr>
              <w:spacing w:before="0" w:after="48"/>
              <w:rPr>
                <w:rFonts w:ascii="Verdana" w:hAnsi="Verdana"/>
                <w:b/>
                <w:smallCaps/>
                <w:sz w:val="20"/>
              </w:rPr>
            </w:pPr>
          </w:p>
        </w:tc>
        <w:tc>
          <w:tcPr>
            <w:tcW w:w="3120" w:type="dxa"/>
            <w:gridSpan w:val="2"/>
          </w:tcPr>
          <w:p w14:paraId="74B4B0A7" w14:textId="064F6AE4" w:rsidR="00690C7B" w:rsidRPr="00782E84" w:rsidRDefault="00690C7B" w:rsidP="00BA5BD0">
            <w:pPr>
              <w:spacing w:before="0"/>
              <w:rPr>
                <w:rFonts w:ascii="Verdana" w:hAnsi="Verdana"/>
                <w:b/>
                <w:sz w:val="20"/>
              </w:rPr>
            </w:pPr>
            <w:r w:rsidRPr="00782E84">
              <w:rPr>
                <w:rFonts w:ascii="Verdana" w:hAnsi="Verdana"/>
                <w:b/>
                <w:sz w:val="20"/>
              </w:rPr>
              <w:t xml:space="preserve">Original: </w:t>
            </w:r>
            <w:r w:rsidR="00782E84" w:rsidRPr="00782E84">
              <w:rPr>
                <w:rFonts w:ascii="Verdana" w:hAnsi="Verdana"/>
                <w:b/>
                <w:sz w:val="20"/>
              </w:rPr>
              <w:t>a</w:t>
            </w:r>
            <w:r w:rsidRPr="00782E84">
              <w:rPr>
                <w:rFonts w:ascii="Verdana" w:hAnsi="Verdana"/>
                <w:b/>
                <w:sz w:val="20"/>
              </w:rPr>
              <w:t>nglais</w:t>
            </w:r>
          </w:p>
        </w:tc>
      </w:tr>
      <w:tr w:rsidR="00690C7B" w:rsidRPr="00782E84" w14:paraId="365C244E" w14:textId="77777777" w:rsidTr="00C11970">
        <w:trPr>
          <w:cantSplit/>
        </w:trPr>
        <w:tc>
          <w:tcPr>
            <w:tcW w:w="10031" w:type="dxa"/>
            <w:gridSpan w:val="4"/>
          </w:tcPr>
          <w:p w14:paraId="7218A418" w14:textId="77777777" w:rsidR="00690C7B" w:rsidRPr="00782E84" w:rsidRDefault="00690C7B" w:rsidP="00BA5BD0">
            <w:pPr>
              <w:spacing w:before="0"/>
              <w:rPr>
                <w:rFonts w:ascii="Verdana" w:hAnsi="Verdana"/>
                <w:b/>
                <w:sz w:val="20"/>
              </w:rPr>
            </w:pPr>
          </w:p>
        </w:tc>
      </w:tr>
      <w:tr w:rsidR="00690C7B" w:rsidRPr="00782E84" w14:paraId="27D07CBF" w14:textId="77777777" w:rsidTr="0050008E">
        <w:trPr>
          <w:cantSplit/>
        </w:trPr>
        <w:tc>
          <w:tcPr>
            <w:tcW w:w="10031" w:type="dxa"/>
            <w:gridSpan w:val="4"/>
          </w:tcPr>
          <w:p w14:paraId="07E99A48" w14:textId="081ED3B1" w:rsidR="00690C7B" w:rsidRPr="00782E84" w:rsidRDefault="00690C7B" w:rsidP="00690C7B">
            <w:pPr>
              <w:pStyle w:val="Source"/>
            </w:pPr>
            <w:bookmarkStart w:id="2" w:name="dsource" w:colFirst="0" w:colLast="0"/>
            <w:r w:rsidRPr="00782E84">
              <w:t>Corée (République de)/</w:t>
            </w:r>
            <w:r w:rsidR="00986238" w:rsidRPr="00782E84">
              <w:t>É</w:t>
            </w:r>
            <w:r w:rsidRPr="00782E84">
              <w:t>tats-Unis d'Amérique/Nigéria</w:t>
            </w:r>
            <w:r w:rsidR="009747B0" w:rsidRPr="00782E84">
              <w:t xml:space="preserve"> </w:t>
            </w:r>
            <w:r w:rsidRPr="00782E84">
              <w:t>(République fédérale du)/Nouvelle-Zélande/Viet Nam (République socialiste du)/</w:t>
            </w:r>
            <w:r w:rsidR="009747B0" w:rsidRPr="00782E84">
              <w:br/>
            </w:r>
            <w:r w:rsidRPr="00782E84">
              <w:t>Zimbabwe (République du)</w:t>
            </w:r>
          </w:p>
        </w:tc>
      </w:tr>
      <w:tr w:rsidR="00690C7B" w:rsidRPr="00782E84" w14:paraId="50E72FEF" w14:textId="77777777" w:rsidTr="0050008E">
        <w:trPr>
          <w:cantSplit/>
        </w:trPr>
        <w:tc>
          <w:tcPr>
            <w:tcW w:w="10031" w:type="dxa"/>
            <w:gridSpan w:val="4"/>
          </w:tcPr>
          <w:p w14:paraId="044E74E5" w14:textId="1E5B5314" w:rsidR="00690C7B" w:rsidRPr="00782E84" w:rsidRDefault="00986238" w:rsidP="00690C7B">
            <w:pPr>
              <w:pStyle w:val="Title1"/>
            </w:pPr>
            <w:bookmarkStart w:id="3" w:name="dtitle1" w:colFirst="0" w:colLast="0"/>
            <w:bookmarkEnd w:id="2"/>
            <w:r w:rsidRPr="00782E84">
              <w:t>propositions pour les travaux de la conférence</w:t>
            </w:r>
          </w:p>
        </w:tc>
      </w:tr>
      <w:tr w:rsidR="00690C7B" w:rsidRPr="00782E84" w14:paraId="7B9CD987" w14:textId="77777777" w:rsidTr="0050008E">
        <w:trPr>
          <w:cantSplit/>
        </w:trPr>
        <w:tc>
          <w:tcPr>
            <w:tcW w:w="10031" w:type="dxa"/>
            <w:gridSpan w:val="4"/>
          </w:tcPr>
          <w:p w14:paraId="5026CD3F" w14:textId="77777777" w:rsidR="00690C7B" w:rsidRPr="00782E84" w:rsidRDefault="00690C7B" w:rsidP="00690C7B">
            <w:pPr>
              <w:pStyle w:val="Title2"/>
            </w:pPr>
            <w:bookmarkStart w:id="4" w:name="dtitle2" w:colFirst="0" w:colLast="0"/>
            <w:bookmarkEnd w:id="3"/>
          </w:p>
        </w:tc>
      </w:tr>
      <w:tr w:rsidR="00690C7B" w:rsidRPr="00782E84" w14:paraId="243AEA2C" w14:textId="77777777" w:rsidTr="0050008E">
        <w:trPr>
          <w:cantSplit/>
        </w:trPr>
        <w:tc>
          <w:tcPr>
            <w:tcW w:w="10031" w:type="dxa"/>
            <w:gridSpan w:val="4"/>
          </w:tcPr>
          <w:p w14:paraId="4B52029C" w14:textId="77777777" w:rsidR="00690C7B" w:rsidRPr="00782E84" w:rsidRDefault="00690C7B" w:rsidP="00690C7B">
            <w:pPr>
              <w:pStyle w:val="Agendaitem"/>
              <w:rPr>
                <w:lang w:val="fr-FR"/>
              </w:rPr>
            </w:pPr>
            <w:bookmarkStart w:id="5" w:name="dtitle3" w:colFirst="0" w:colLast="0"/>
            <w:bookmarkEnd w:id="4"/>
            <w:r w:rsidRPr="00782E84">
              <w:rPr>
                <w:lang w:val="fr-FR"/>
              </w:rPr>
              <w:t>Point 9.2 de l'ordre du jour</w:t>
            </w:r>
          </w:p>
        </w:tc>
      </w:tr>
    </w:tbl>
    <w:bookmarkEnd w:id="5"/>
    <w:p w14:paraId="0336691D" w14:textId="37550FEA" w:rsidR="00F910EF" w:rsidRPr="00782E84" w:rsidRDefault="00986238" w:rsidP="003D082A">
      <w:r w:rsidRPr="00782E84">
        <w:t>9</w:t>
      </w:r>
      <w:r w:rsidRPr="00782E84">
        <w:tab/>
        <w:t>examiner et approuver le rapport du Directeur du Bureau des radiocommunications, conformément à l'</w:t>
      </w:r>
      <w:r w:rsidR="00073DB2" w:rsidRPr="00782E84">
        <w:t>A</w:t>
      </w:r>
      <w:r w:rsidRPr="00782E84">
        <w:t>rticle </w:t>
      </w:r>
      <w:r w:rsidRPr="00782E84">
        <w:rPr>
          <w:b/>
          <w:bCs/>
        </w:rPr>
        <w:t>7</w:t>
      </w:r>
      <w:r w:rsidRPr="00782E84">
        <w:t xml:space="preserve"> de la Convention de l'UIT:</w:t>
      </w:r>
    </w:p>
    <w:p w14:paraId="596B29D1" w14:textId="54161FB8" w:rsidR="00F910EF" w:rsidRPr="00782E84" w:rsidRDefault="00986238" w:rsidP="00485985">
      <w:r w:rsidRPr="00782E84">
        <w:t>9.2</w:t>
      </w:r>
      <w:r w:rsidRPr="00782E84">
        <w:tab/>
        <w:t>sur les difficultés rencontrées ou les incohérences constatées dans l'application du Règlement des radiocommunications</w:t>
      </w:r>
      <w:r w:rsidRPr="00782E84">
        <w:rPr>
          <w:rStyle w:val="FootnoteReference"/>
        </w:rPr>
        <w:footnoteReference w:customMarkFollows="1" w:id="1"/>
        <w:t>1</w:t>
      </w:r>
      <w:r w:rsidRPr="00782E84">
        <w:t>; et</w:t>
      </w:r>
    </w:p>
    <w:p w14:paraId="5ED19A1A" w14:textId="36AB9FE4" w:rsidR="009515FC" w:rsidRPr="00782E84" w:rsidRDefault="00860083" w:rsidP="00782E84">
      <w:pPr>
        <w:spacing w:before="360"/>
      </w:pPr>
      <w:r w:rsidRPr="00782E84">
        <w:t xml:space="preserve">La CMR-19 a identifié la bande de fréquences 24,25-27,5 GHz pour les télécommunications mobiles internationales (IMT) à l'échelle mondiale dans le cadre du numéro </w:t>
      </w:r>
      <w:r w:rsidRPr="00782E84">
        <w:rPr>
          <w:b/>
          <w:bCs/>
        </w:rPr>
        <w:t>5.532AB</w:t>
      </w:r>
      <w:r w:rsidRPr="00782E84">
        <w:t xml:space="preserve"> du Règlement des radiocommunications (RR), en tenant compte des dispositions réglementaires visant à assurer la protection des services existants </w:t>
      </w:r>
      <w:r w:rsidR="00E06800" w:rsidRPr="00782E84">
        <w:t>énoncées</w:t>
      </w:r>
      <w:r w:rsidRPr="00782E84">
        <w:t xml:space="preserve"> dans la Résolution </w:t>
      </w:r>
      <w:r w:rsidRPr="00782E84">
        <w:rPr>
          <w:b/>
          <w:bCs/>
        </w:rPr>
        <w:t>242 (CMR-19)</w:t>
      </w:r>
      <w:r w:rsidRPr="00782E84">
        <w:t xml:space="preserve"> et la Résolution </w:t>
      </w:r>
      <w:r w:rsidRPr="00782E84">
        <w:rPr>
          <w:b/>
          <w:bCs/>
        </w:rPr>
        <w:t>750 (Rév.CMR-19)</w:t>
      </w:r>
      <w:r w:rsidRPr="00782E84">
        <w:t xml:space="preserve">. Le Groupe d'action 5/1 a procédé à des études de partage et de compatibilité approfondies entre les IMT utilisant un réseau d'éléments actifs et les services par satellite. Compte tenu des résultats de ces études, selon lesquels il existe une marge </w:t>
      </w:r>
      <w:r w:rsidRPr="00782E84">
        <w:rPr>
          <w:i/>
          <w:iCs/>
        </w:rPr>
        <w:t>I</w:t>
      </w:r>
      <w:r w:rsidRPr="00782E84">
        <w:t>/</w:t>
      </w:r>
      <w:r w:rsidRPr="00782E84">
        <w:rPr>
          <w:i/>
          <w:iCs/>
        </w:rPr>
        <w:t>N</w:t>
      </w:r>
      <w:r w:rsidRPr="00782E84">
        <w:t xml:space="preserve"> positive suffisante pour protéger le </w:t>
      </w:r>
      <w:r w:rsidR="003648FF" w:rsidRPr="00782E84">
        <w:t>service inter-satellites (</w:t>
      </w:r>
      <w:r w:rsidRPr="00782E84">
        <w:t>SIS</w:t>
      </w:r>
      <w:r w:rsidR="003648FF" w:rsidRPr="00782E84">
        <w:t>)</w:t>
      </w:r>
      <w:r w:rsidRPr="00782E84">
        <w:t xml:space="preserve"> et le </w:t>
      </w:r>
      <w:r w:rsidR="003648FF" w:rsidRPr="00782E84">
        <w:t>service fixe par satellite (</w:t>
      </w:r>
      <w:r w:rsidRPr="00782E84">
        <w:t>SFS</w:t>
      </w:r>
      <w:r w:rsidR="003648FF" w:rsidRPr="00782E84">
        <w:t>)</w:t>
      </w:r>
      <w:r w:rsidRPr="00782E84">
        <w:t xml:space="preserve">, la CMR-19 a décidé que seules les dispositions réglementaires de la Résolution </w:t>
      </w:r>
      <w:r w:rsidRPr="00782E84">
        <w:rPr>
          <w:b/>
          <w:bCs/>
        </w:rPr>
        <w:t>242 (CMR-19)</w:t>
      </w:r>
      <w:r w:rsidRPr="00782E84">
        <w:t xml:space="preserve"> étaient nécessaires et n'a pas apporté de modifications à l'Article </w:t>
      </w:r>
      <w:r w:rsidRPr="00782E84">
        <w:rPr>
          <w:b/>
          <w:bCs/>
        </w:rPr>
        <w:t>21</w:t>
      </w:r>
      <w:r w:rsidRPr="00782E84">
        <w:t xml:space="preserve"> du RR, y compris le Tableau </w:t>
      </w:r>
      <w:r w:rsidRPr="00782E84">
        <w:rPr>
          <w:b/>
          <w:bCs/>
        </w:rPr>
        <w:t>21-2</w:t>
      </w:r>
      <w:r w:rsidRPr="00782E84">
        <w:t xml:space="preserve"> du RR.</w:t>
      </w:r>
    </w:p>
    <w:p w14:paraId="552B8DB5" w14:textId="23B3FA6C" w:rsidR="00DF72E8" w:rsidRPr="00782E84" w:rsidRDefault="00DF72E8" w:rsidP="009515FC">
      <w:r w:rsidRPr="00782E84">
        <w:t>Dans le cadre des discussions de la plénière sur le point 1.13 de l'ordre du jour de la CMR-23 menées lors de la CMR-19, le texte ci-après</w:t>
      </w:r>
      <w:r w:rsidR="003648FF" w:rsidRPr="00782E84">
        <w:t>, reproduit</w:t>
      </w:r>
      <w:r w:rsidRPr="00782E84">
        <w:t xml:space="preserve"> dans l'Annexe du </w:t>
      </w:r>
      <w:hyperlink r:id="rId14" w:history="1">
        <w:r w:rsidRPr="00782E84">
          <w:rPr>
            <w:rStyle w:val="Hyperlink"/>
          </w:rPr>
          <w:t>Docume</w:t>
        </w:r>
        <w:r w:rsidRPr="00782E84">
          <w:rPr>
            <w:rStyle w:val="Hyperlink"/>
          </w:rPr>
          <w:t>n</w:t>
        </w:r>
        <w:r w:rsidRPr="00782E84">
          <w:rPr>
            <w:rStyle w:val="Hyperlink"/>
          </w:rPr>
          <w:t>t 550 de la CMR</w:t>
        </w:r>
        <w:r w:rsidR="009747B0" w:rsidRPr="00782E84">
          <w:rPr>
            <w:rStyle w:val="Hyperlink"/>
          </w:rPr>
          <w:noBreakHyphen/>
        </w:r>
        <w:r w:rsidRPr="00782E84">
          <w:rPr>
            <w:rStyle w:val="Hyperlink"/>
          </w:rPr>
          <w:t>19</w:t>
        </w:r>
      </w:hyperlink>
      <w:r w:rsidRPr="00782E84">
        <w:t>, a été approuvé et consigné dans le procès-verbal de la séance en tant que décision de la Conférence (</w:t>
      </w:r>
      <w:hyperlink r:id="rId15" w:history="1">
        <w:r w:rsidRPr="00782E84">
          <w:rPr>
            <w:rStyle w:val="Hyperlink"/>
          </w:rPr>
          <w:t>Document 573 de la CM</w:t>
        </w:r>
        <w:r w:rsidRPr="00782E84">
          <w:rPr>
            <w:rStyle w:val="Hyperlink"/>
          </w:rPr>
          <w:t>R</w:t>
        </w:r>
        <w:r w:rsidRPr="00782E84">
          <w:rPr>
            <w:rStyle w:val="Hyperlink"/>
          </w:rPr>
          <w:t>-19</w:t>
        </w:r>
      </w:hyperlink>
      <w:r w:rsidRPr="00782E84">
        <w:t xml:space="preserve">), </w:t>
      </w:r>
      <w:r w:rsidR="003648FF" w:rsidRPr="00782E84">
        <w:t xml:space="preserve">uniquement pour </w:t>
      </w:r>
      <w:r w:rsidRPr="00782E84">
        <w:t>la bande de fréquences 24,45</w:t>
      </w:r>
      <w:r w:rsidR="009747B0" w:rsidRPr="00782E84">
        <w:noBreakHyphen/>
      </w:r>
      <w:r w:rsidRPr="00782E84">
        <w:t>27,5</w:t>
      </w:r>
      <w:r w:rsidR="009747B0" w:rsidRPr="00782E84">
        <w:t> </w:t>
      </w:r>
      <w:r w:rsidRPr="00782E84">
        <w:t>GHz:</w:t>
      </w:r>
    </w:p>
    <w:p w14:paraId="0103AF30" w14:textId="4A9AD108" w:rsidR="00073DB2" w:rsidRPr="00782E84" w:rsidRDefault="00073DB2" w:rsidP="00073DB2">
      <w:pPr>
        <w:pStyle w:val="Headingb"/>
        <w:rPr>
          <w:i/>
          <w:iCs/>
          <w:sz w:val="28"/>
        </w:rPr>
      </w:pPr>
      <w:r w:rsidRPr="00782E84">
        <w:rPr>
          <w:i/>
          <w:iCs/>
          <w:lang w:eastAsia="zh-CN"/>
        </w:rPr>
        <w:lastRenderedPageBreak/>
        <w:t xml:space="preserve">Vérification du respect du numéro 21.5 concernant la notification des stations IMT fonctionnant dans la bande de fréquences </w:t>
      </w:r>
      <w:r w:rsidRPr="00782E84">
        <w:rPr>
          <w:i/>
          <w:iCs/>
          <w:szCs w:val="24"/>
        </w:rPr>
        <w:t>24,45-27,5 GHz</w:t>
      </w:r>
      <w:r w:rsidRPr="00782E84">
        <w:rPr>
          <w:rFonts w:asciiTheme="majorBidi" w:eastAsiaTheme="minorHAnsi" w:hAnsiTheme="majorBidi" w:cstheme="majorBidi"/>
          <w:i/>
          <w:iCs/>
          <w:color w:val="000000"/>
          <w:szCs w:val="24"/>
        </w:rPr>
        <w:t xml:space="preserve"> qui utilisent une antenne composée d'un réseau d'éléments actifs</w:t>
      </w:r>
    </w:p>
    <w:p w14:paraId="05648781" w14:textId="77777777" w:rsidR="00073DB2" w:rsidRPr="00782E84" w:rsidRDefault="00073DB2" w:rsidP="00073DB2">
      <w:pPr>
        <w:rPr>
          <w:i/>
          <w:iCs/>
        </w:rPr>
      </w:pPr>
      <w:r w:rsidRPr="00782E84">
        <w:rPr>
          <w:i/>
          <w:iCs/>
        </w:rPr>
        <w:t xml:space="preserve">L'UIT-R est invité à étudier d'urgence la possibilité d'appliquer la limite indiquée au numéro </w:t>
      </w:r>
      <w:r w:rsidRPr="00782E84">
        <w:rPr>
          <w:b/>
          <w:i/>
          <w:iCs/>
        </w:rPr>
        <w:t>21.5</w:t>
      </w:r>
      <w:r w:rsidRPr="00782E84">
        <w:rPr>
          <w:i/>
          <w:iCs/>
        </w:rPr>
        <w:t xml:space="preserve"> du Règlement des radiocommunications aux stations IMT qui utilisent une antenne composée d'un réseau d'éléments actifs, en vue de recommander des solutions pour éventuellement remplacer ou réviser cette limite pour lesdites stations, ainsi que les éventuelles mises à jour nécessaires du Tableau </w:t>
      </w:r>
      <w:r w:rsidRPr="00782E84">
        <w:rPr>
          <w:b/>
          <w:i/>
          <w:iCs/>
        </w:rPr>
        <w:t>21-2</w:t>
      </w:r>
      <w:r w:rsidRPr="00782E84">
        <w:rPr>
          <w:i/>
          <w:iCs/>
        </w:rPr>
        <w:t xml:space="preserve"> concernant les services de Terre et les services spatiaux utilisant en partage des bandes de fréquences.</w:t>
      </w:r>
    </w:p>
    <w:p w14:paraId="7CAF02C7" w14:textId="56792871" w:rsidR="00073DB2" w:rsidRPr="00782E84" w:rsidRDefault="00073DB2" w:rsidP="00073DB2">
      <w:pPr>
        <w:rPr>
          <w:i/>
          <w:iCs/>
        </w:rPr>
      </w:pPr>
      <w:r w:rsidRPr="00782E84">
        <w:rPr>
          <w:i/>
          <w:iCs/>
        </w:rPr>
        <w:t>De plus, l'UIT-R est invité à étudier d'urgence la vérification du respect du numéro</w:t>
      </w:r>
      <w:r w:rsidR="009747B0" w:rsidRPr="00782E84">
        <w:rPr>
          <w:i/>
          <w:iCs/>
        </w:rPr>
        <w:t xml:space="preserve"> </w:t>
      </w:r>
      <w:r w:rsidRPr="00782E84">
        <w:rPr>
          <w:b/>
          <w:bCs/>
          <w:i/>
          <w:iCs/>
        </w:rPr>
        <w:t>21.5</w:t>
      </w:r>
      <w:r w:rsidRPr="00782E84">
        <w:rPr>
          <w:i/>
          <w:iCs/>
        </w:rPr>
        <w:t xml:space="preserve"> concernant la notification des stations IMT qui utilisent une antenne composée d'un réseau d'éléments actifs, selon qu'il conviendra.</w:t>
      </w:r>
    </w:p>
    <w:p w14:paraId="52DC986E" w14:textId="4A6D1A5E" w:rsidR="00DF72E8" w:rsidRPr="00782E84" w:rsidRDefault="00DF72E8" w:rsidP="009515FC">
      <w:r w:rsidRPr="00782E84">
        <w:t>La première session de la Réunion de préparation à la CMR-23 (RPC23-1) (</w:t>
      </w:r>
      <w:hyperlink r:id="rId16" w:history="1">
        <w:r w:rsidRPr="00782E84">
          <w:rPr>
            <w:rStyle w:val="Hyperlink"/>
          </w:rPr>
          <w:t>C</w:t>
        </w:r>
        <w:r w:rsidRPr="00782E84">
          <w:rPr>
            <w:rStyle w:val="Hyperlink"/>
          </w:rPr>
          <w:t>A</w:t>
        </w:r>
        <w:r w:rsidRPr="00782E84">
          <w:rPr>
            <w:rStyle w:val="Hyperlink"/>
          </w:rPr>
          <w:t>/251</w:t>
        </w:r>
      </w:hyperlink>
      <w:r w:rsidRPr="00782E84">
        <w:t xml:space="preserve">) a désigné le Groupe de travail (GT) 5D comme groupe chargé de traiter le </w:t>
      </w:r>
      <w:hyperlink r:id="rId17" w:history="1">
        <w:r w:rsidR="009025C7" w:rsidRPr="00782E84">
          <w:rPr>
            <w:rStyle w:val="Hyperlink"/>
          </w:rPr>
          <w:t>Document 550 de l</w:t>
        </w:r>
        <w:r w:rsidR="009025C7" w:rsidRPr="00782E84">
          <w:rPr>
            <w:rStyle w:val="Hyperlink"/>
          </w:rPr>
          <w:t>a</w:t>
        </w:r>
        <w:r w:rsidR="009025C7" w:rsidRPr="00782E84">
          <w:rPr>
            <w:rStyle w:val="Hyperlink"/>
          </w:rPr>
          <w:t xml:space="preserve"> CMR-19</w:t>
        </w:r>
      </w:hyperlink>
      <w:r w:rsidRPr="00782E84">
        <w:t>.</w:t>
      </w:r>
      <w:r w:rsidR="009025C7" w:rsidRPr="00782E84">
        <w:t xml:space="preserve"> </w:t>
      </w:r>
      <w:r w:rsidR="003648FF" w:rsidRPr="00782E84">
        <w:t>Entre</w:t>
      </w:r>
      <w:r w:rsidR="00782E84" w:rsidRPr="00782E84">
        <w:t> </w:t>
      </w:r>
      <w:r w:rsidR="009025C7" w:rsidRPr="00782E84">
        <w:t xml:space="preserve">février 2020 </w:t>
      </w:r>
      <w:r w:rsidR="003648FF" w:rsidRPr="00782E84">
        <w:t xml:space="preserve">et </w:t>
      </w:r>
      <w:r w:rsidR="009025C7" w:rsidRPr="00782E84">
        <w:t>juin 2023,</w:t>
      </w:r>
      <w:r w:rsidR="003648FF" w:rsidRPr="00782E84">
        <w:t xml:space="preserve"> le GT 5D a étudié ce document</w:t>
      </w:r>
      <w:r w:rsidR="009025C7" w:rsidRPr="00782E84">
        <w:t xml:space="preserve"> </w:t>
      </w:r>
      <w:r w:rsidR="003648FF" w:rsidRPr="00782E84">
        <w:t xml:space="preserve">et procédé à un </w:t>
      </w:r>
      <w:r w:rsidR="009025C7" w:rsidRPr="00782E84">
        <w:t xml:space="preserve">examen approfondi. Les résultats des travaux sur cette question ont été transmis au Directeur du Bureau des radiocommunications (BR) (voir </w:t>
      </w:r>
      <w:hyperlink r:id="rId18" w:history="1">
        <w:r w:rsidR="009025C7" w:rsidRPr="00782E84">
          <w:rPr>
            <w:rStyle w:val="Hyperlink"/>
          </w:rPr>
          <w:t>Document 5D/1776,</w:t>
        </w:r>
        <w:r w:rsidR="009025C7" w:rsidRPr="00782E84">
          <w:rPr>
            <w:rStyle w:val="Hyperlink"/>
          </w:rPr>
          <w:t xml:space="preserve"> </w:t>
        </w:r>
        <w:r w:rsidR="009025C7" w:rsidRPr="00782E84">
          <w:rPr>
            <w:rStyle w:val="Hyperlink"/>
          </w:rPr>
          <w:t>chapitre 7</w:t>
        </w:r>
      </w:hyperlink>
      <w:r w:rsidR="009025C7" w:rsidRPr="00782E84">
        <w:t xml:space="preserve">). Des informations à ce sujet figurent également dans le Rapport du Directeur sur les activités du Secteur des radiocommunications (voir section 4.3.2, Document </w:t>
      </w:r>
      <w:r w:rsidR="002327FA" w:rsidRPr="00782E84">
        <w:fldChar w:fldCharType="begin"/>
      </w:r>
      <w:r w:rsidR="002327FA" w:rsidRPr="00782E84">
        <w:instrText xml:space="preserve"> HYPERLINK "https://www.itu.int/md/R23-WRC23-C-0004/fr" </w:instrText>
      </w:r>
      <w:r w:rsidR="002327FA" w:rsidRPr="00782E84">
        <w:fldChar w:fldCharType="separate"/>
      </w:r>
      <w:r w:rsidR="009025C7" w:rsidRPr="00782E84">
        <w:rPr>
          <w:rStyle w:val="Hyperlink"/>
        </w:rPr>
        <w:t>4</w:t>
      </w:r>
      <w:r w:rsidR="002327FA" w:rsidRPr="00782E84">
        <w:rPr>
          <w:rStyle w:val="Hyperlink"/>
        </w:rPr>
        <w:fldChar w:fldCharType="end"/>
      </w:r>
      <w:r w:rsidR="009025C7" w:rsidRPr="00782E84">
        <w:t xml:space="preserve"> de la CMR-23, Addendum 1).</w:t>
      </w:r>
    </w:p>
    <w:p w14:paraId="291CF544" w14:textId="5089CC32" w:rsidR="00E06800" w:rsidRPr="00782E84" w:rsidRDefault="00DB7920" w:rsidP="00E06800">
      <w:r w:rsidRPr="00782E84">
        <w:t xml:space="preserve">Il est entendu que les administrations peuvent continuer à notifier les stations IMT qui utilisent une antenne </w:t>
      </w:r>
      <w:r w:rsidR="00E759E4" w:rsidRPr="00782E84">
        <w:t>composée</w:t>
      </w:r>
      <w:r w:rsidRPr="00782E84">
        <w:t xml:space="preserve"> d'un réseau d'éléments actifs conformément aux dispositions en vigueur du Règlement des radiocommunications. Le processus de notification des stations IMT à l'UIT-R </w:t>
      </w:r>
      <w:r w:rsidR="003648FF" w:rsidRPr="00782E84">
        <w:t>fait intervenir</w:t>
      </w:r>
      <w:r w:rsidRPr="00782E84">
        <w:t xml:space="preserve"> un ensemble de paramètres </w:t>
      </w:r>
      <w:r w:rsidR="00511699" w:rsidRPr="00782E84">
        <w:t>indiqués pour mémoire</w:t>
      </w:r>
      <w:r w:rsidRPr="00782E84">
        <w:t xml:space="preserve"> dans le formulaire T-12</w:t>
      </w:r>
      <w:r w:rsidR="00CF7968" w:rsidRPr="00782E84">
        <w:rPr>
          <w:rStyle w:val="FootnoteReference"/>
        </w:rPr>
        <w:footnoteReference w:customMarkFollows="1" w:id="2"/>
        <w:t>1</w:t>
      </w:r>
      <w:r w:rsidRPr="00782E84">
        <w:t xml:space="preserve">, tels que l'assignation de fréquence, le gain d'antenne, la puissance transmise, la p.i.r.e. ou les informations relatives à l'identificateur d'élément 8AA. </w:t>
      </w:r>
      <w:r w:rsidR="003336B3" w:rsidRPr="00782E84">
        <w:t xml:space="preserve">Afin d'aider les administrations dans la soumission et la notification d'assignations et d'allotissements de fréquence </w:t>
      </w:r>
      <w:r w:rsidR="003648FF" w:rsidRPr="00782E84">
        <w:t>aux</w:t>
      </w:r>
      <w:r w:rsidR="003336B3" w:rsidRPr="00782E84">
        <w:t xml:space="preserve"> stations du service fixe, du service mobile et d'autres services de Terre, l'UIT a élaboré des lignes directrices pour décrire le processus, connues sous le nom de </w:t>
      </w:r>
      <w:r w:rsidR="003648FF" w:rsidRPr="00782E84">
        <w:t>«L</w:t>
      </w:r>
      <w:r w:rsidR="003336B3" w:rsidRPr="00782E84">
        <w:t>ignes directrices relatives à la soumission des fiches de notification FXM</w:t>
      </w:r>
      <w:r w:rsidR="003648FF" w:rsidRPr="00782E84">
        <w:t>»</w:t>
      </w:r>
      <w:r w:rsidR="00CF7968" w:rsidRPr="00782E84">
        <w:rPr>
          <w:rStyle w:val="FootnoteReference"/>
        </w:rPr>
        <w:footnoteReference w:customMarkFollows="1" w:id="3"/>
        <w:t>2</w:t>
      </w:r>
      <w:r w:rsidR="009515FC" w:rsidRPr="00782E84">
        <w:t xml:space="preserve">. </w:t>
      </w:r>
      <w:r w:rsidR="00511699" w:rsidRPr="00782E84">
        <w:t xml:space="preserve">Ainsi, les </w:t>
      </w:r>
      <w:r w:rsidR="003336B3" w:rsidRPr="00782E84">
        <w:t>lignes directrices actuelles</w:t>
      </w:r>
      <w:r w:rsidR="00E759E4" w:rsidRPr="00782E84">
        <w:t>,</w:t>
      </w:r>
      <w:r w:rsidR="003336B3" w:rsidRPr="00782E84">
        <w:t xml:space="preserve"> telles </w:t>
      </w:r>
      <w:r w:rsidR="00511699" w:rsidRPr="00782E84">
        <w:t>que présentées par l</w:t>
      </w:r>
      <w:r w:rsidR="002327FA" w:rsidRPr="00782E84">
        <w:t>'</w:t>
      </w:r>
      <w:r w:rsidR="00511699" w:rsidRPr="00782E84">
        <w:t>UIT</w:t>
      </w:r>
      <w:r w:rsidR="00E759E4" w:rsidRPr="00782E84">
        <w:t>,</w:t>
      </w:r>
      <w:r w:rsidR="003336B3" w:rsidRPr="00782E84">
        <w:t xml:space="preserve"> couvrent le cas d'une station IMT utilisant une antenne </w:t>
      </w:r>
      <w:r w:rsidR="00E759E4" w:rsidRPr="00782E84">
        <w:t>composée</w:t>
      </w:r>
      <w:r w:rsidR="003336B3" w:rsidRPr="00782E84">
        <w:t xml:space="preserve"> d'un réseau d'éléments actifs </w:t>
      </w:r>
      <w:r w:rsidR="00E759E4" w:rsidRPr="00782E84">
        <w:t>fonctionnant</w:t>
      </w:r>
      <w:r w:rsidR="003336B3" w:rsidRPr="00782E84">
        <w:t xml:space="preserve"> dans la bande de fréquences 24,45-27,5 GHz</w:t>
      </w:r>
      <w:r w:rsidR="00E759E4" w:rsidRPr="00782E84">
        <w:t xml:space="preserve">, </w:t>
      </w:r>
      <w:r w:rsidR="00511699" w:rsidRPr="00782E84">
        <w:t xml:space="preserve">et </w:t>
      </w:r>
      <w:r w:rsidR="003336B3" w:rsidRPr="00782E84">
        <w:t xml:space="preserve">il n'est pas nécessaire d'apporter de modification au Règlement des radiocommunications. </w:t>
      </w:r>
      <w:r w:rsidR="00E06800" w:rsidRPr="00782E84">
        <w:t>En outre, aucune autre étude de l'UIT-R n'est nécessaire sur ce sujet, y</w:t>
      </w:r>
      <w:r w:rsidR="00CF7968" w:rsidRPr="00782E84">
        <w:t> </w:t>
      </w:r>
      <w:r w:rsidR="00E06800" w:rsidRPr="00782E84">
        <w:t xml:space="preserve">compris </w:t>
      </w:r>
      <w:r w:rsidR="00511699" w:rsidRPr="00782E84">
        <w:t>s</w:t>
      </w:r>
      <w:r w:rsidR="002327FA" w:rsidRPr="00782E84">
        <w:t>'</w:t>
      </w:r>
      <w:r w:rsidR="00511699" w:rsidRPr="00782E84">
        <w:t xml:space="preserve">agissant de </w:t>
      </w:r>
      <w:r w:rsidR="00E06800" w:rsidRPr="00782E84">
        <w:t>proposer des mesures en vue de la CMR-27.</w:t>
      </w:r>
    </w:p>
    <w:p w14:paraId="7402A0BA" w14:textId="374D8071" w:rsidR="00E77BD2" w:rsidRPr="00782E84" w:rsidRDefault="00E77BD2" w:rsidP="009515FC">
      <w:r w:rsidRPr="00782E84">
        <w:br w:type="page"/>
      </w:r>
    </w:p>
    <w:p w14:paraId="23DCED7E" w14:textId="77777777" w:rsidR="005836C6" w:rsidRPr="00782E84" w:rsidRDefault="00986238">
      <w:pPr>
        <w:pStyle w:val="Proposal"/>
      </w:pPr>
      <w:r w:rsidRPr="00782E84">
        <w:rPr>
          <w:u w:val="single"/>
        </w:rPr>
        <w:lastRenderedPageBreak/>
        <w:t>NOC</w:t>
      </w:r>
      <w:r w:rsidRPr="00782E84">
        <w:tab/>
        <w:t>KOR/USA/NIG/NZL/VTN/ZWE/134/1</w:t>
      </w:r>
    </w:p>
    <w:p w14:paraId="6D8FC03B" w14:textId="77777777" w:rsidR="00F910EF" w:rsidRPr="00782E84" w:rsidRDefault="00986238" w:rsidP="00073DB2">
      <w:pPr>
        <w:pStyle w:val="Volumetitle"/>
        <w:rPr>
          <w:sz w:val="48"/>
          <w:szCs w:val="36"/>
          <w:lang w:val="fr-FR"/>
        </w:rPr>
      </w:pPr>
      <w:bookmarkStart w:id="6" w:name="_Toc455752901"/>
      <w:bookmarkStart w:id="7" w:name="_Toc455756140"/>
      <w:r w:rsidRPr="00782E84">
        <w:rPr>
          <w:lang w:val="fr-FR"/>
        </w:rPr>
        <w:t>ARTICLES</w:t>
      </w:r>
      <w:bookmarkEnd w:id="6"/>
      <w:bookmarkEnd w:id="7"/>
    </w:p>
    <w:p w14:paraId="3ECE7FE2" w14:textId="76611667" w:rsidR="005836C6" w:rsidRPr="00782E84" w:rsidRDefault="00986238" w:rsidP="009515FC">
      <w:pPr>
        <w:pStyle w:val="Reasons"/>
      </w:pPr>
      <w:r w:rsidRPr="00782E84">
        <w:rPr>
          <w:b/>
        </w:rPr>
        <w:t>Motifs:</w:t>
      </w:r>
      <w:r w:rsidRPr="00782E84">
        <w:tab/>
      </w:r>
      <w:r w:rsidR="00E06800" w:rsidRPr="00782E84">
        <w:t xml:space="preserve">Il n'y a pas lieu de modifier le Règlement des radiocommunications pour procéder à la vérification du respect du numéro </w:t>
      </w:r>
      <w:r w:rsidR="00E06800" w:rsidRPr="00782E84">
        <w:rPr>
          <w:b/>
          <w:bCs/>
        </w:rPr>
        <w:t>21.5</w:t>
      </w:r>
      <w:r w:rsidR="00E06800" w:rsidRPr="00782E84">
        <w:t xml:space="preserve"> du RR concernant la notification des stations IMT fonctionnant dans la </w:t>
      </w:r>
      <w:r w:rsidR="00E759E4" w:rsidRPr="00782E84">
        <w:t>gamme</w:t>
      </w:r>
      <w:r w:rsidR="00E06800" w:rsidRPr="00782E84">
        <w:t xml:space="preserve"> de fréquences 24,45-27,5 GHz et qui utilisent une antenne composée d'un réseau d'éléments actifs</w:t>
      </w:r>
      <w:r w:rsidR="009515FC" w:rsidRPr="00782E84">
        <w:t>.</w:t>
      </w:r>
    </w:p>
    <w:p w14:paraId="130CE309" w14:textId="77777777" w:rsidR="005836C6" w:rsidRPr="00782E84" w:rsidRDefault="00986238">
      <w:pPr>
        <w:pStyle w:val="Proposal"/>
      </w:pPr>
      <w:r w:rsidRPr="00782E84">
        <w:rPr>
          <w:u w:val="single"/>
        </w:rPr>
        <w:t>NOC</w:t>
      </w:r>
      <w:r w:rsidRPr="00782E84">
        <w:tab/>
        <w:t>KOR/USA/NIG/NZL/VTN/ZWE/134/2</w:t>
      </w:r>
    </w:p>
    <w:p w14:paraId="706E9341" w14:textId="77777777" w:rsidR="00F910EF" w:rsidRPr="00782E84" w:rsidRDefault="00986238" w:rsidP="00073DB2">
      <w:pPr>
        <w:pStyle w:val="Volumetitle"/>
        <w:rPr>
          <w:lang w:val="fr-FR"/>
        </w:rPr>
      </w:pPr>
      <w:bookmarkStart w:id="8" w:name="_Toc327956568"/>
      <w:r w:rsidRPr="00782E84">
        <w:rPr>
          <w:lang w:val="fr-FR"/>
        </w:rPr>
        <w:t>APPENDICES</w:t>
      </w:r>
      <w:bookmarkEnd w:id="8"/>
    </w:p>
    <w:p w14:paraId="5D140D49" w14:textId="7C247F10" w:rsidR="005836C6" w:rsidRPr="00782E84" w:rsidRDefault="00986238" w:rsidP="009515FC">
      <w:pPr>
        <w:pStyle w:val="Reasons"/>
      </w:pPr>
      <w:r w:rsidRPr="00782E84">
        <w:rPr>
          <w:b/>
        </w:rPr>
        <w:t>Motifs:</w:t>
      </w:r>
      <w:r w:rsidRPr="00782E84">
        <w:tab/>
      </w:r>
      <w:r w:rsidR="00E06800" w:rsidRPr="00782E84">
        <w:t xml:space="preserve">Il n'y a pas lieu de modifier le Règlement des radiocommunications pour procéder à la vérification du respect du numéro </w:t>
      </w:r>
      <w:r w:rsidR="00E06800" w:rsidRPr="00782E84">
        <w:rPr>
          <w:b/>
          <w:bCs/>
        </w:rPr>
        <w:t>21.5</w:t>
      </w:r>
      <w:r w:rsidR="00E06800" w:rsidRPr="00782E84">
        <w:t xml:space="preserve"> du RR concernant la notification des stations IMT fonctionnant dans la </w:t>
      </w:r>
      <w:r w:rsidR="00E759E4" w:rsidRPr="00782E84">
        <w:t>gamme</w:t>
      </w:r>
      <w:r w:rsidR="00E06800" w:rsidRPr="00782E84">
        <w:t xml:space="preserve"> de fréquences 24,45-27,5 GHz et qui utilisent une antenne composée d'un réseau d'éléments actifs.</w:t>
      </w:r>
    </w:p>
    <w:p w14:paraId="654EA047" w14:textId="77777777" w:rsidR="005836C6" w:rsidRPr="00782E84" w:rsidRDefault="00986238">
      <w:pPr>
        <w:pStyle w:val="Proposal"/>
      </w:pPr>
      <w:r w:rsidRPr="00782E84">
        <w:rPr>
          <w:u w:val="single"/>
        </w:rPr>
        <w:t>NOC</w:t>
      </w:r>
      <w:r w:rsidRPr="00782E84">
        <w:tab/>
        <w:t>KOR/USA/NIG/NZL/VTN/ZWE/134/3</w:t>
      </w:r>
    </w:p>
    <w:p w14:paraId="1467C02D" w14:textId="77777777" w:rsidR="00F910EF" w:rsidRPr="00782E84" w:rsidRDefault="00986238" w:rsidP="00782E84">
      <w:pPr>
        <w:pStyle w:val="Volumetitle"/>
        <w:rPr>
          <w:lang w:val="fr-FR"/>
        </w:rPr>
      </w:pPr>
      <w:r w:rsidRPr="00782E84">
        <w:rPr>
          <w:lang w:val="fr-FR"/>
        </w:rPr>
        <w:t>RÉSOLUTIONS</w:t>
      </w:r>
    </w:p>
    <w:p w14:paraId="6B4445E7" w14:textId="65A77932" w:rsidR="005836C6" w:rsidRPr="00782E84" w:rsidRDefault="00986238" w:rsidP="009515FC">
      <w:pPr>
        <w:pStyle w:val="Reasons"/>
      </w:pPr>
      <w:r w:rsidRPr="00782E84">
        <w:rPr>
          <w:b/>
        </w:rPr>
        <w:t>Motifs:</w:t>
      </w:r>
      <w:r w:rsidRPr="00782E84">
        <w:tab/>
      </w:r>
      <w:r w:rsidR="00E06800" w:rsidRPr="00782E84">
        <w:t xml:space="preserve">Il n'y a pas lieu de modifier le Règlement des radiocommunications pour procéder à la vérification du respect du numéro </w:t>
      </w:r>
      <w:r w:rsidR="00E06800" w:rsidRPr="00782E84">
        <w:rPr>
          <w:b/>
          <w:bCs/>
        </w:rPr>
        <w:t>21.5</w:t>
      </w:r>
      <w:r w:rsidR="00E06800" w:rsidRPr="00782E84">
        <w:t xml:space="preserve"> du RR concernant la notification des stations IMT fonctionnant dans la </w:t>
      </w:r>
      <w:r w:rsidR="00E759E4" w:rsidRPr="00782E84">
        <w:t xml:space="preserve">gamme </w:t>
      </w:r>
      <w:r w:rsidR="00E06800" w:rsidRPr="00782E84">
        <w:t>de fréquences 24,45-27,5 GHz et qui utilisent une antenne composée d'un réseau d'éléments actifs.</w:t>
      </w:r>
    </w:p>
    <w:p w14:paraId="353A9AAA" w14:textId="77777777" w:rsidR="005836C6" w:rsidRPr="00782E84" w:rsidRDefault="00986238">
      <w:pPr>
        <w:pStyle w:val="Proposal"/>
      </w:pPr>
      <w:r w:rsidRPr="00782E84">
        <w:rPr>
          <w:u w:val="single"/>
        </w:rPr>
        <w:t>NOC</w:t>
      </w:r>
      <w:r w:rsidRPr="00782E84">
        <w:tab/>
        <w:t>KOR/USA/NIG/NZL/VTN/ZWE/134/4</w:t>
      </w:r>
    </w:p>
    <w:p w14:paraId="244C4D64" w14:textId="77777777" w:rsidR="00F910EF" w:rsidRPr="00782E84" w:rsidRDefault="00986238" w:rsidP="00782E84">
      <w:pPr>
        <w:pStyle w:val="Volumetitle"/>
        <w:rPr>
          <w:lang w:val="fr-FR"/>
        </w:rPr>
      </w:pPr>
      <w:r w:rsidRPr="00782E84">
        <w:rPr>
          <w:lang w:val="fr-FR"/>
        </w:rPr>
        <w:t>RECOMMANDATIONS</w:t>
      </w:r>
    </w:p>
    <w:p w14:paraId="54C79288" w14:textId="4686F2DA" w:rsidR="00073DB2" w:rsidRPr="00782E84" w:rsidRDefault="00986238" w:rsidP="009515FC">
      <w:pPr>
        <w:pStyle w:val="Reasons"/>
      </w:pPr>
      <w:r w:rsidRPr="00782E84">
        <w:rPr>
          <w:b/>
        </w:rPr>
        <w:t>Motifs:</w:t>
      </w:r>
      <w:r w:rsidRPr="00782E84">
        <w:tab/>
      </w:r>
      <w:r w:rsidR="00E06800" w:rsidRPr="00782E84">
        <w:t xml:space="preserve">Il n'y a pas lieu de modifier le Règlement des radiocommunications pour procéder à la vérification du respect du numéro </w:t>
      </w:r>
      <w:r w:rsidR="00E06800" w:rsidRPr="00782E84">
        <w:rPr>
          <w:b/>
          <w:bCs/>
        </w:rPr>
        <w:t>21.5</w:t>
      </w:r>
      <w:r w:rsidR="00E06800" w:rsidRPr="00782E84">
        <w:t xml:space="preserve"> du RR concernant la notification des stations IMT fonctionnant dans la</w:t>
      </w:r>
      <w:r w:rsidR="00E759E4" w:rsidRPr="00782E84">
        <w:t xml:space="preserve"> gamme </w:t>
      </w:r>
      <w:r w:rsidR="00E06800" w:rsidRPr="00782E84">
        <w:t>de de fréquences 24,45-27,5 GHz et qui utilisent une antenne composée d'un réseau d'éléments actifs.</w:t>
      </w:r>
    </w:p>
    <w:p w14:paraId="1E41C2CE" w14:textId="3564A867" w:rsidR="005836C6" w:rsidRPr="00782E84" w:rsidRDefault="00073DB2" w:rsidP="00073DB2">
      <w:pPr>
        <w:jc w:val="center"/>
      </w:pPr>
      <w:r w:rsidRPr="00782E84">
        <w:t>______________</w:t>
      </w:r>
    </w:p>
    <w:sectPr w:rsidR="005836C6" w:rsidRPr="00782E84">
      <w:headerReference w:type="default" r:id="rId19"/>
      <w:footerReference w:type="even" r:id="rId20"/>
      <w:footerReference w:type="default" r:id="rId21"/>
      <w:footerReference w:type="first" r:id="rId22"/>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E995B" w14:textId="77777777" w:rsidR="00B64AF0" w:rsidRDefault="00B64AF0">
      <w:r>
        <w:separator/>
      </w:r>
    </w:p>
  </w:endnote>
  <w:endnote w:type="continuationSeparator" w:id="0">
    <w:p w14:paraId="11BC7955" w14:textId="77777777" w:rsidR="00B64AF0" w:rsidRDefault="00B64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E358B" w14:textId="764807EF"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782E84">
      <w:rPr>
        <w:noProof/>
      </w:rPr>
      <w:t>15.11.23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C30D6" w14:textId="27D3CDF5" w:rsidR="00936D25" w:rsidRPr="00986238" w:rsidRDefault="00782E84" w:rsidP="00986238">
    <w:pPr>
      <w:pStyle w:val="Footer"/>
    </w:pPr>
    <w:r>
      <w:fldChar w:fldCharType="begin"/>
    </w:r>
    <w:r>
      <w:instrText xml:space="preserve"> FILENAME \p  \* MERGEFORMAT </w:instrText>
    </w:r>
    <w:r>
      <w:fldChar w:fldCharType="separate"/>
    </w:r>
    <w:r w:rsidR="00E77BD2">
      <w:t>P:\FRA\ITU-R\CONF-R\CMR23\100\134F.docx</w:t>
    </w:r>
    <w:r>
      <w:fldChar w:fldCharType="end"/>
    </w:r>
    <w:r w:rsidR="00986238">
      <w:t xml:space="preserve"> (530321)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57A4A" w14:textId="461CE0D7" w:rsidR="00936D25" w:rsidRPr="00E77BD2" w:rsidRDefault="00E77BD2" w:rsidP="00E77BD2">
    <w:pPr>
      <w:pStyle w:val="Footer"/>
    </w:pPr>
    <w:fldSimple w:instr=" FILENAME \p  \* MERGEFORMAT ">
      <w:r>
        <w:t>P:\FRA\ITU-R\CONF-R\CMR23\100\134F.docx</w:t>
      </w:r>
    </w:fldSimple>
    <w:r>
      <w:t xml:space="preserve"> (530321)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D6FBA" w14:textId="77777777" w:rsidR="00B64AF0" w:rsidRDefault="00B64AF0">
      <w:r>
        <w:rPr>
          <w:b/>
        </w:rPr>
        <w:t>_______________</w:t>
      </w:r>
    </w:p>
  </w:footnote>
  <w:footnote w:type="continuationSeparator" w:id="0">
    <w:p w14:paraId="1DC0ADA4" w14:textId="77777777" w:rsidR="00B64AF0" w:rsidRDefault="00B64AF0">
      <w:r>
        <w:continuationSeparator/>
      </w:r>
    </w:p>
  </w:footnote>
  <w:footnote w:id="1">
    <w:p w14:paraId="01D4E708" w14:textId="77777777" w:rsidR="00F910EF" w:rsidRPr="00815FAF" w:rsidRDefault="00986238" w:rsidP="00485985">
      <w:pPr>
        <w:pStyle w:val="FootnoteText"/>
        <w:rPr>
          <w:lang w:val="fr-CH"/>
        </w:rPr>
      </w:pPr>
      <w:r>
        <w:rPr>
          <w:rStyle w:val="FootnoteReference"/>
        </w:rPr>
        <w:t>1</w:t>
      </w:r>
      <w:r>
        <w:tab/>
      </w:r>
      <w:r w:rsidRPr="00D20FD5">
        <w:rPr>
          <w:lang w:val="fr-CH"/>
        </w:rPr>
        <w:t xml:space="preserve">Ce </w:t>
      </w:r>
      <w:r>
        <w:rPr>
          <w:lang w:val="fr-CH"/>
        </w:rPr>
        <w:t>sous-</w:t>
      </w:r>
      <w:r w:rsidRPr="00D20FD5">
        <w:rPr>
          <w:lang w:val="fr-CH"/>
        </w:rPr>
        <w:t>point de l</w:t>
      </w:r>
      <w:r>
        <w:rPr>
          <w:lang w:val="fr-CH"/>
        </w:rPr>
        <w:t>'</w:t>
      </w:r>
      <w:r w:rsidRPr="00D20FD5">
        <w:rPr>
          <w:lang w:val="fr-CH"/>
        </w:rPr>
        <w:t xml:space="preserve">ordre du jour ne concerne que le </w:t>
      </w:r>
      <w:r>
        <w:rPr>
          <w:lang w:val="fr-CH"/>
        </w:rPr>
        <w:t>r</w:t>
      </w:r>
      <w:r w:rsidRPr="00D20FD5">
        <w:rPr>
          <w:lang w:val="fr-CH"/>
        </w:rPr>
        <w:t>apport du Directeur sur les difficultés rencontrées ou les incohérences constatées dans l</w:t>
      </w:r>
      <w:r>
        <w:rPr>
          <w:lang w:val="fr-CH"/>
        </w:rPr>
        <w:t>'</w:t>
      </w:r>
      <w:r w:rsidRPr="00D20FD5">
        <w:rPr>
          <w:lang w:val="fr-CH"/>
        </w:rPr>
        <w:t>application du Règlement des radiocommunications et les observations formulées par les administrations.</w:t>
      </w:r>
      <w:r>
        <w:rPr>
          <w:lang w:val="fr-CH"/>
        </w:rPr>
        <w:t xml:space="preserve"> </w:t>
      </w:r>
      <w:r w:rsidRPr="00815FAF">
        <w:rPr>
          <w:lang w:val="fr-CH"/>
        </w:rPr>
        <w:t xml:space="preserve">Les administrations sont </w:t>
      </w:r>
      <w:r>
        <w:rPr>
          <w:lang w:val="fr-CH"/>
        </w:rPr>
        <w:t>invité</w:t>
      </w:r>
      <w:r w:rsidRPr="00815FAF">
        <w:rPr>
          <w:lang w:val="fr-CH"/>
        </w:rPr>
        <w:t xml:space="preserve">es à informer le Directeur du Bureau </w:t>
      </w:r>
      <w:r>
        <w:rPr>
          <w:lang w:val="fr-CH"/>
        </w:rPr>
        <w:t>des r</w:t>
      </w:r>
      <w:r w:rsidRPr="00815FAF">
        <w:rPr>
          <w:lang w:val="fr-CH"/>
        </w:rPr>
        <w:t>adiocommunication</w:t>
      </w:r>
      <w:r>
        <w:rPr>
          <w:lang w:val="fr-CH"/>
        </w:rPr>
        <w:t>s</w:t>
      </w:r>
      <w:r w:rsidRPr="00815FAF">
        <w:rPr>
          <w:lang w:val="fr-CH"/>
        </w:rPr>
        <w:t xml:space="preserve"> </w:t>
      </w:r>
      <w:r>
        <w:rPr>
          <w:lang w:val="fr-CH"/>
        </w:rPr>
        <w:t>de toute difficulté rencontrée ou de toute incohérence constatée</w:t>
      </w:r>
      <w:r w:rsidRPr="00815FAF">
        <w:rPr>
          <w:lang w:val="fr-CH"/>
        </w:rPr>
        <w:t xml:space="preserve"> </w:t>
      </w:r>
      <w:r>
        <w:rPr>
          <w:lang w:val="fr-CH"/>
        </w:rPr>
        <w:t>dans l'application du Règlement des radiocommunications.</w:t>
      </w:r>
    </w:p>
  </w:footnote>
  <w:footnote w:id="2">
    <w:p w14:paraId="46206DD4" w14:textId="5B76B12B" w:rsidR="00CF7968" w:rsidRPr="00CF7968" w:rsidRDefault="00CF7968">
      <w:pPr>
        <w:pStyle w:val="FootnoteText"/>
        <w:rPr>
          <w:lang w:val="fr-CH"/>
        </w:rPr>
      </w:pPr>
      <w:r>
        <w:rPr>
          <w:rStyle w:val="FootnoteReference"/>
        </w:rPr>
        <w:t>1</w:t>
      </w:r>
      <w:r>
        <w:tab/>
      </w:r>
      <w:hyperlink r:id="rId1" w:history="1">
        <w:r w:rsidRPr="003A53EE">
          <w:rPr>
            <w:rStyle w:val="Hyperlink"/>
          </w:rPr>
          <w:t>https://www.itu.int/en/ITU-R/terrestrial/tpr/Documents/FXM/</w:t>
        </w:r>
        <w:r w:rsidRPr="003A53EE">
          <w:rPr>
            <w:rStyle w:val="Hyperlink"/>
          </w:rPr>
          <w:t>F</w:t>
        </w:r>
        <w:r w:rsidRPr="003A53EE">
          <w:rPr>
            <w:rStyle w:val="Hyperlink"/>
          </w:rPr>
          <w:t>XM_Guidelines_English/T12%20Notice%20file.pdf</w:t>
        </w:r>
      </w:hyperlink>
    </w:p>
  </w:footnote>
  <w:footnote w:id="3">
    <w:p w14:paraId="1CC780DC" w14:textId="476121B1" w:rsidR="00CF7968" w:rsidRPr="00CF7968" w:rsidRDefault="00CF7968">
      <w:pPr>
        <w:pStyle w:val="FootnoteText"/>
        <w:rPr>
          <w:lang w:val="fr-CH"/>
        </w:rPr>
      </w:pPr>
      <w:r>
        <w:rPr>
          <w:rStyle w:val="FootnoteReference"/>
        </w:rPr>
        <w:t>2</w:t>
      </w:r>
      <w:r>
        <w:tab/>
      </w:r>
      <w:hyperlink r:id="rId2" w:history="1">
        <w:r w:rsidRPr="00511699">
          <w:rPr>
            <w:rStyle w:val="Hyperlink"/>
            <w:lang w:val="fr-CH"/>
          </w:rPr>
          <w:t>https://www.itu.int/en/ITU-R/terrestrial/tpr/Documents/FXM/FXM_Guidelines_English/FXM%20Guid</w:t>
        </w:r>
        <w:r w:rsidRPr="00511699">
          <w:rPr>
            <w:rStyle w:val="Hyperlink"/>
            <w:lang w:val="fr-CH"/>
          </w:rPr>
          <w:t>e</w:t>
        </w:r>
        <w:r w:rsidRPr="00511699">
          <w:rPr>
            <w:rStyle w:val="Hyperlink"/>
            <w:lang w:val="fr-CH"/>
          </w:rPr>
          <w:t>lines_web.pdf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6F33B" w14:textId="1EFB8FAB" w:rsidR="004F1F8E" w:rsidRDefault="004F1F8E" w:rsidP="004F1F8E">
    <w:pPr>
      <w:pStyle w:val="Header"/>
    </w:pPr>
    <w:r>
      <w:fldChar w:fldCharType="begin"/>
    </w:r>
    <w:r>
      <w:instrText xml:space="preserve"> PAGE </w:instrText>
    </w:r>
    <w:r>
      <w:fldChar w:fldCharType="separate"/>
    </w:r>
    <w:r w:rsidR="00511699">
      <w:rPr>
        <w:noProof/>
      </w:rPr>
      <w:t>2</w:t>
    </w:r>
    <w:r>
      <w:fldChar w:fldCharType="end"/>
    </w:r>
  </w:p>
  <w:p w14:paraId="7E7DE28A" w14:textId="77777777" w:rsidR="004F1F8E" w:rsidRDefault="00225CF2" w:rsidP="00FD7AA3">
    <w:pPr>
      <w:pStyle w:val="Header"/>
    </w:pPr>
    <w:r>
      <w:t>WRC</w:t>
    </w:r>
    <w:r w:rsidR="00D3426F">
      <w:t>23</w:t>
    </w:r>
    <w:r w:rsidR="004F1F8E">
      <w:t>/</w:t>
    </w:r>
    <w:r w:rsidR="006A4B45">
      <w:t>134-</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657568400">
    <w:abstractNumId w:val="0"/>
  </w:num>
  <w:num w:numId="2" w16cid:durableId="195062753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73DB2"/>
    <w:rsid w:val="00080E2C"/>
    <w:rsid w:val="00081366"/>
    <w:rsid w:val="000863B3"/>
    <w:rsid w:val="000A4755"/>
    <w:rsid w:val="000A55AE"/>
    <w:rsid w:val="000B2E0C"/>
    <w:rsid w:val="000B3D0C"/>
    <w:rsid w:val="001167B9"/>
    <w:rsid w:val="001267A0"/>
    <w:rsid w:val="0015203F"/>
    <w:rsid w:val="00160C64"/>
    <w:rsid w:val="0018169B"/>
    <w:rsid w:val="0019352B"/>
    <w:rsid w:val="001960D0"/>
    <w:rsid w:val="001A11F6"/>
    <w:rsid w:val="001F17E8"/>
    <w:rsid w:val="00204306"/>
    <w:rsid w:val="00225CF2"/>
    <w:rsid w:val="002327FA"/>
    <w:rsid w:val="00232FD2"/>
    <w:rsid w:val="0026554E"/>
    <w:rsid w:val="002A4622"/>
    <w:rsid w:val="002A6F8F"/>
    <w:rsid w:val="002B17E5"/>
    <w:rsid w:val="002C0EBF"/>
    <w:rsid w:val="002C28A4"/>
    <w:rsid w:val="002D7E0A"/>
    <w:rsid w:val="00315AFE"/>
    <w:rsid w:val="003336B3"/>
    <w:rsid w:val="003411F6"/>
    <w:rsid w:val="003606A6"/>
    <w:rsid w:val="003648FF"/>
    <w:rsid w:val="0036650C"/>
    <w:rsid w:val="00393ACD"/>
    <w:rsid w:val="003A583E"/>
    <w:rsid w:val="003E112B"/>
    <w:rsid w:val="003E1D1C"/>
    <w:rsid w:val="003E7B05"/>
    <w:rsid w:val="003F3719"/>
    <w:rsid w:val="003F6F2D"/>
    <w:rsid w:val="00466211"/>
    <w:rsid w:val="00483196"/>
    <w:rsid w:val="004834A9"/>
    <w:rsid w:val="004B19AD"/>
    <w:rsid w:val="004D01FC"/>
    <w:rsid w:val="004E28C3"/>
    <w:rsid w:val="004F1F8E"/>
    <w:rsid w:val="00511699"/>
    <w:rsid w:val="00512A32"/>
    <w:rsid w:val="005343DA"/>
    <w:rsid w:val="00560874"/>
    <w:rsid w:val="005836C6"/>
    <w:rsid w:val="00586CF2"/>
    <w:rsid w:val="005A7C75"/>
    <w:rsid w:val="005C3768"/>
    <w:rsid w:val="005C6C3F"/>
    <w:rsid w:val="00613635"/>
    <w:rsid w:val="0062093D"/>
    <w:rsid w:val="00637ECF"/>
    <w:rsid w:val="00647B59"/>
    <w:rsid w:val="00690C7B"/>
    <w:rsid w:val="006A4B45"/>
    <w:rsid w:val="006D4724"/>
    <w:rsid w:val="006F5FA2"/>
    <w:rsid w:val="0070076C"/>
    <w:rsid w:val="00701BAE"/>
    <w:rsid w:val="00721F04"/>
    <w:rsid w:val="00730E95"/>
    <w:rsid w:val="007426B9"/>
    <w:rsid w:val="00764342"/>
    <w:rsid w:val="00774362"/>
    <w:rsid w:val="00782E84"/>
    <w:rsid w:val="00786598"/>
    <w:rsid w:val="00790C74"/>
    <w:rsid w:val="007A04E8"/>
    <w:rsid w:val="007B2C34"/>
    <w:rsid w:val="007F282B"/>
    <w:rsid w:val="00830086"/>
    <w:rsid w:val="00851625"/>
    <w:rsid w:val="00860083"/>
    <w:rsid w:val="00863C0A"/>
    <w:rsid w:val="008A3120"/>
    <w:rsid w:val="008A4B97"/>
    <w:rsid w:val="008C5B8E"/>
    <w:rsid w:val="008C5DD5"/>
    <w:rsid w:val="008C7123"/>
    <w:rsid w:val="008D41BE"/>
    <w:rsid w:val="008D58D3"/>
    <w:rsid w:val="008E3BC9"/>
    <w:rsid w:val="009025C7"/>
    <w:rsid w:val="00923064"/>
    <w:rsid w:val="00930FFD"/>
    <w:rsid w:val="00936D25"/>
    <w:rsid w:val="00941EA5"/>
    <w:rsid w:val="009515FC"/>
    <w:rsid w:val="00964700"/>
    <w:rsid w:val="00966C16"/>
    <w:rsid w:val="009747B0"/>
    <w:rsid w:val="00986238"/>
    <w:rsid w:val="0098732F"/>
    <w:rsid w:val="009A045F"/>
    <w:rsid w:val="009A6A2B"/>
    <w:rsid w:val="009C7E7C"/>
    <w:rsid w:val="00A00473"/>
    <w:rsid w:val="00A03C9B"/>
    <w:rsid w:val="00A37105"/>
    <w:rsid w:val="00A606C3"/>
    <w:rsid w:val="00A83B09"/>
    <w:rsid w:val="00A84541"/>
    <w:rsid w:val="00AE36A0"/>
    <w:rsid w:val="00AF5699"/>
    <w:rsid w:val="00B00294"/>
    <w:rsid w:val="00B3749C"/>
    <w:rsid w:val="00B64AF0"/>
    <w:rsid w:val="00B64FD0"/>
    <w:rsid w:val="00BA5BD0"/>
    <w:rsid w:val="00BB1D82"/>
    <w:rsid w:val="00BC217E"/>
    <w:rsid w:val="00BD51C5"/>
    <w:rsid w:val="00BF26E7"/>
    <w:rsid w:val="00C1305F"/>
    <w:rsid w:val="00C53FCA"/>
    <w:rsid w:val="00C71DEB"/>
    <w:rsid w:val="00C76BAF"/>
    <w:rsid w:val="00C814B9"/>
    <w:rsid w:val="00CB685A"/>
    <w:rsid w:val="00CD516F"/>
    <w:rsid w:val="00CF7968"/>
    <w:rsid w:val="00D119A7"/>
    <w:rsid w:val="00D25FBA"/>
    <w:rsid w:val="00D32B28"/>
    <w:rsid w:val="00D3426F"/>
    <w:rsid w:val="00D42954"/>
    <w:rsid w:val="00D66EAC"/>
    <w:rsid w:val="00D730DF"/>
    <w:rsid w:val="00D772F0"/>
    <w:rsid w:val="00D77BDC"/>
    <w:rsid w:val="00DB7920"/>
    <w:rsid w:val="00DC402B"/>
    <w:rsid w:val="00DE0932"/>
    <w:rsid w:val="00DF15E8"/>
    <w:rsid w:val="00DF72E8"/>
    <w:rsid w:val="00E03A27"/>
    <w:rsid w:val="00E049F1"/>
    <w:rsid w:val="00E06800"/>
    <w:rsid w:val="00E25B06"/>
    <w:rsid w:val="00E37A25"/>
    <w:rsid w:val="00E537FF"/>
    <w:rsid w:val="00E60CB2"/>
    <w:rsid w:val="00E6539B"/>
    <w:rsid w:val="00E70A31"/>
    <w:rsid w:val="00E723A7"/>
    <w:rsid w:val="00E759E4"/>
    <w:rsid w:val="00E77BD2"/>
    <w:rsid w:val="00EA3F38"/>
    <w:rsid w:val="00EA5AB6"/>
    <w:rsid w:val="00EC7615"/>
    <w:rsid w:val="00ED16AA"/>
    <w:rsid w:val="00ED6B8D"/>
    <w:rsid w:val="00EE3D7B"/>
    <w:rsid w:val="00EF662E"/>
    <w:rsid w:val="00F10064"/>
    <w:rsid w:val="00F148F1"/>
    <w:rsid w:val="00F711A7"/>
    <w:rsid w:val="00F910EF"/>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5F8912"/>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styleId="Hyperlink">
    <w:name w:val="Hyperlink"/>
    <w:aliases w:val="CEO_Hyperlink,超级链接,ECC Hyperlink"/>
    <w:basedOn w:val="DefaultParagraphFont"/>
    <w:unhideWhenUsed/>
    <w:qFormat/>
    <w:rPr>
      <w:color w:val="0000FF" w:themeColor="hyperlink"/>
      <w:u w:val="single"/>
    </w:rPr>
  </w:style>
  <w:style w:type="character" w:customStyle="1" w:styleId="FootnoteTextChar">
    <w:name w:val="Footnote Text Char"/>
    <w:basedOn w:val="DefaultParagraphFont"/>
    <w:link w:val="FootnoteText"/>
    <w:rsid w:val="009515FC"/>
    <w:rPr>
      <w:rFonts w:ascii="Times New Roman" w:hAnsi="Times New Roman"/>
      <w:sz w:val="24"/>
      <w:lang w:val="fr-FR" w:eastAsia="en-US"/>
    </w:rPr>
  </w:style>
  <w:style w:type="character" w:customStyle="1" w:styleId="UnresolvedMention1">
    <w:name w:val="Unresolved Mention1"/>
    <w:basedOn w:val="DefaultParagraphFont"/>
    <w:uiPriority w:val="99"/>
    <w:semiHidden/>
    <w:unhideWhenUsed/>
    <w:rsid w:val="00DF72E8"/>
    <w:rPr>
      <w:color w:val="605E5C"/>
      <w:shd w:val="clear" w:color="auto" w:fill="E1DFDD"/>
    </w:rPr>
  </w:style>
  <w:style w:type="character" w:styleId="FollowedHyperlink">
    <w:name w:val="FollowedHyperlink"/>
    <w:basedOn w:val="DefaultParagraphFont"/>
    <w:semiHidden/>
    <w:unhideWhenUsed/>
    <w:rsid w:val="009025C7"/>
    <w:rPr>
      <w:color w:val="800080" w:themeColor="followedHyperlink"/>
      <w:u w:val="single"/>
    </w:rPr>
  </w:style>
  <w:style w:type="paragraph" w:styleId="Revision">
    <w:name w:val="Revision"/>
    <w:hidden/>
    <w:uiPriority w:val="99"/>
    <w:semiHidden/>
    <w:rsid w:val="00E25B06"/>
    <w:rPr>
      <w:rFonts w:ascii="Times New Roman" w:hAnsi="Times New Roman"/>
      <w:sz w:val="24"/>
      <w:lang w:val="fr-FR" w:eastAsia="en-US"/>
    </w:rPr>
  </w:style>
  <w:style w:type="character" w:styleId="CommentReference">
    <w:name w:val="annotation reference"/>
    <w:basedOn w:val="DefaultParagraphFont"/>
    <w:semiHidden/>
    <w:unhideWhenUsed/>
    <w:rsid w:val="009747B0"/>
    <w:rPr>
      <w:sz w:val="16"/>
      <w:szCs w:val="16"/>
    </w:rPr>
  </w:style>
  <w:style w:type="paragraph" w:styleId="CommentText">
    <w:name w:val="annotation text"/>
    <w:basedOn w:val="Normal"/>
    <w:link w:val="CommentTextChar"/>
    <w:semiHidden/>
    <w:unhideWhenUsed/>
    <w:rsid w:val="009747B0"/>
    <w:rPr>
      <w:sz w:val="20"/>
    </w:rPr>
  </w:style>
  <w:style w:type="character" w:customStyle="1" w:styleId="CommentTextChar">
    <w:name w:val="Comment Text Char"/>
    <w:basedOn w:val="DefaultParagraphFont"/>
    <w:link w:val="CommentText"/>
    <w:semiHidden/>
    <w:rsid w:val="009747B0"/>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9747B0"/>
    <w:rPr>
      <w:b/>
      <w:bCs/>
    </w:rPr>
  </w:style>
  <w:style w:type="character" w:customStyle="1" w:styleId="CommentSubjectChar">
    <w:name w:val="Comment Subject Char"/>
    <w:basedOn w:val="CommentTextChar"/>
    <w:link w:val="CommentSubject"/>
    <w:semiHidden/>
    <w:rsid w:val="009747B0"/>
    <w:rPr>
      <w:rFonts w:ascii="Times New Roman" w:hAnsi="Times New Roman"/>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9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itu.int/dms_ties/itu-r/md/19/wp5d/c/R19-WP5D-C-1776!H7!MSW-E.docx"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itu.int/md/R16-WRC19-C-0550/fr" TargetMode="External"/><Relationship Id="rId2" Type="http://schemas.openxmlformats.org/officeDocument/2006/relationships/customXml" Target="../customXml/item2.xml"/><Relationship Id="rId16" Type="http://schemas.openxmlformats.org/officeDocument/2006/relationships/hyperlink" Target="https://www.itu.int/md/R00-CA-CIR-0251/f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itu.int/md/R16-WRC19-C-0573/fr"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R16-WRC19-C-0550/fr"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itu.int/en/ITU-R/terrestrial/tpr/Documents/FXM/FXM_Guidelines_English/FXM%20Guidelines_web.pdf" TargetMode="External"/><Relationship Id="rId1" Type="http://schemas.openxmlformats.org/officeDocument/2006/relationships/hyperlink" Target="https://www.itu.int/en/ITU-R/terrestrial/tpr/Documents/FXM/FXM_Guidelines_English/T12%20Notice%20fi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R23-WRC23-C-0134!!MSW-F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D11AFA9D-00B0-4845-B007-D91E3237F58C}">
  <ds:schemaRefs>
    <ds:schemaRef ds:uri="http://schemas.microsoft.com/sharepoint/events"/>
  </ds:schemaRefs>
</ds:datastoreItem>
</file>

<file path=customXml/itemProps3.xml><?xml version="1.0" encoding="utf-8"?>
<ds:datastoreItem xmlns:ds="http://schemas.openxmlformats.org/officeDocument/2006/customXml" ds:itemID="{21E1B5C3-51E5-46A8-8D3D-E73B34D020B0}">
  <ds:schemaRefs>
    <ds:schemaRef ds:uri="http://schemas.microsoft.com/office/2006/documentManagement/types"/>
    <ds:schemaRef ds:uri="http://purl.org/dc/dcmitype/"/>
    <ds:schemaRef ds:uri="http://schemas.microsoft.com/office/infopath/2007/PartnerControls"/>
    <ds:schemaRef ds:uri="http://purl.org/dc/elements/1.1/"/>
    <ds:schemaRef ds:uri="http://purl.org/dc/terms/"/>
    <ds:schemaRef ds:uri="996b2e75-67fd-4955-a3b0-5ab9934cb50b"/>
    <ds:schemaRef ds:uri="http://schemas.microsoft.com/office/2006/metadata/properties"/>
    <ds:schemaRef ds:uri="http://www.w3.org/XML/1998/namespace"/>
    <ds:schemaRef ds:uri="http://schemas.openxmlformats.org/package/2006/metadata/core-properties"/>
    <ds:schemaRef ds:uri="32a1a8c5-2265-4ebc-b7a0-2071e2c5c9bb"/>
  </ds:schemaRefs>
</ds:datastoreItem>
</file>

<file path=customXml/itemProps4.xml><?xml version="1.0" encoding="utf-8"?>
<ds:datastoreItem xmlns:ds="http://schemas.openxmlformats.org/officeDocument/2006/customXml" ds:itemID="{EF322484-D91D-4E43-8069-9A54795BDE0E}">
  <ds:schemaRefs>
    <ds:schemaRef ds:uri="http://schemas.openxmlformats.org/officeDocument/2006/bibliography"/>
  </ds:schemaRefs>
</ds:datastoreItem>
</file>

<file path=customXml/itemProps5.xml><?xml version="1.0" encoding="utf-8"?>
<ds:datastoreItem xmlns:ds="http://schemas.openxmlformats.org/officeDocument/2006/customXml" ds:itemID="{2092E11A-3F5A-4C15-B51F-F228E1529A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937</Words>
  <Characters>5800</Characters>
  <Application>Microsoft Office Word</Application>
  <DocSecurity>0</DocSecurity>
  <Lines>48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R23-WRC23-C-0134!!MSW-F</vt:lpstr>
      <vt:lpstr>R23-WRC23-C-0134!!MSW-F</vt:lpstr>
    </vt:vector>
  </TitlesOfParts>
  <Manager>Secrétariat général - Pool</Manager>
  <Company>Union internationale des télécommunications (UIT)</Company>
  <LinksUpToDate>false</LinksUpToDate>
  <CharactersWithSpaces>6724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R23-WRC23-C-0134!!MSW-F</dc:title>
  <dc:subject>Conférence mondiale des radiocommunications - 2019</dc:subject>
  <dc:creator>Documents Proposals Manager (DPM)</dc:creator>
  <cp:keywords>DPM_v2023.11.6.1_prod</cp:keywords>
  <dc:description/>
  <cp:lastModifiedBy>French</cp:lastModifiedBy>
  <cp:revision>6</cp:revision>
  <cp:lastPrinted>2003-06-05T19:34:00Z</cp:lastPrinted>
  <dcterms:created xsi:type="dcterms:W3CDTF">2023-11-15T07:33:00Z</dcterms:created>
  <dcterms:modified xsi:type="dcterms:W3CDTF">2023-11-15T08:58:00Z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