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5538E" w14:paraId="5BE2BBEC" w14:textId="77777777" w:rsidTr="00F320AA">
        <w:trPr>
          <w:cantSplit/>
        </w:trPr>
        <w:tc>
          <w:tcPr>
            <w:tcW w:w="1418" w:type="dxa"/>
            <w:vAlign w:val="center"/>
          </w:tcPr>
          <w:p w14:paraId="50385372" w14:textId="77777777" w:rsidR="00F320AA" w:rsidRPr="00C5538E" w:rsidRDefault="00F320AA" w:rsidP="00F320AA">
            <w:pPr>
              <w:spacing w:before="0"/>
              <w:rPr>
                <w:rFonts w:ascii="Verdana" w:hAnsi="Verdana"/>
                <w:position w:val="6"/>
              </w:rPr>
            </w:pPr>
            <w:r w:rsidRPr="00C5538E">
              <w:rPr>
                <w:noProof/>
              </w:rPr>
              <w:drawing>
                <wp:inline distT="0" distB="0" distL="0" distR="0" wp14:anchorId="58A82F0A" wp14:editId="4721723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BE616EE" w14:textId="77777777" w:rsidR="00F320AA" w:rsidRPr="00C5538E" w:rsidRDefault="00F320AA" w:rsidP="00F320AA">
            <w:pPr>
              <w:spacing w:before="400" w:after="48" w:line="240" w:lineRule="atLeast"/>
              <w:rPr>
                <w:rFonts w:ascii="Verdana" w:hAnsi="Verdana"/>
                <w:position w:val="6"/>
              </w:rPr>
            </w:pPr>
            <w:r w:rsidRPr="00C5538E">
              <w:rPr>
                <w:rFonts w:ascii="Verdana" w:hAnsi="Verdana" w:cs="Times"/>
                <w:b/>
                <w:position w:val="6"/>
                <w:sz w:val="22"/>
                <w:szCs w:val="22"/>
              </w:rPr>
              <w:t>World Radiocommunication Conference (WRC-23)</w:t>
            </w:r>
            <w:r w:rsidRPr="00C5538E">
              <w:rPr>
                <w:rFonts w:ascii="Verdana" w:hAnsi="Verdana" w:cs="Times"/>
                <w:b/>
                <w:position w:val="6"/>
                <w:sz w:val="26"/>
                <w:szCs w:val="26"/>
              </w:rPr>
              <w:br/>
            </w:r>
            <w:r w:rsidRPr="00C5538E">
              <w:rPr>
                <w:rFonts w:ascii="Verdana" w:hAnsi="Verdana"/>
                <w:b/>
                <w:bCs/>
                <w:position w:val="6"/>
                <w:sz w:val="18"/>
                <w:szCs w:val="18"/>
              </w:rPr>
              <w:t>Dubai, 20 November - 15 December 2023</w:t>
            </w:r>
          </w:p>
        </w:tc>
        <w:tc>
          <w:tcPr>
            <w:tcW w:w="1951" w:type="dxa"/>
            <w:vAlign w:val="center"/>
          </w:tcPr>
          <w:p w14:paraId="650A6C1F" w14:textId="77777777" w:rsidR="00F320AA" w:rsidRPr="00C5538E" w:rsidRDefault="00EB0812" w:rsidP="00F320AA">
            <w:pPr>
              <w:spacing w:before="0" w:line="240" w:lineRule="atLeast"/>
            </w:pPr>
            <w:r w:rsidRPr="00C5538E">
              <w:rPr>
                <w:noProof/>
              </w:rPr>
              <w:drawing>
                <wp:inline distT="0" distB="0" distL="0" distR="0" wp14:anchorId="692885AB" wp14:editId="529CE67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5538E" w14:paraId="567CA556" w14:textId="77777777">
        <w:trPr>
          <w:cantSplit/>
        </w:trPr>
        <w:tc>
          <w:tcPr>
            <w:tcW w:w="6911" w:type="dxa"/>
            <w:gridSpan w:val="2"/>
            <w:tcBorders>
              <w:bottom w:val="single" w:sz="12" w:space="0" w:color="auto"/>
            </w:tcBorders>
          </w:tcPr>
          <w:p w14:paraId="245044B2" w14:textId="77777777" w:rsidR="00A066F1" w:rsidRPr="00C5538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6683316" w14:textId="77777777" w:rsidR="00A066F1" w:rsidRPr="00C5538E" w:rsidRDefault="00A066F1" w:rsidP="00A066F1">
            <w:pPr>
              <w:spacing w:before="0" w:line="240" w:lineRule="atLeast"/>
              <w:rPr>
                <w:rFonts w:ascii="Verdana" w:hAnsi="Verdana"/>
                <w:szCs w:val="24"/>
              </w:rPr>
            </w:pPr>
          </w:p>
        </w:tc>
      </w:tr>
      <w:tr w:rsidR="00A066F1" w:rsidRPr="00C5538E" w14:paraId="1362AF7D" w14:textId="77777777">
        <w:trPr>
          <w:cantSplit/>
        </w:trPr>
        <w:tc>
          <w:tcPr>
            <w:tcW w:w="6911" w:type="dxa"/>
            <w:gridSpan w:val="2"/>
            <w:tcBorders>
              <w:top w:val="single" w:sz="12" w:space="0" w:color="auto"/>
            </w:tcBorders>
          </w:tcPr>
          <w:p w14:paraId="06DFC5FD" w14:textId="77777777" w:rsidR="00A066F1" w:rsidRPr="00C5538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1BB240C" w14:textId="77777777" w:rsidR="00A066F1" w:rsidRPr="00C5538E" w:rsidRDefault="00A066F1" w:rsidP="00A066F1">
            <w:pPr>
              <w:spacing w:before="0" w:line="240" w:lineRule="atLeast"/>
              <w:rPr>
                <w:rFonts w:ascii="Verdana" w:hAnsi="Verdana"/>
                <w:sz w:val="20"/>
              </w:rPr>
            </w:pPr>
          </w:p>
        </w:tc>
      </w:tr>
      <w:tr w:rsidR="00A066F1" w:rsidRPr="00C5538E" w14:paraId="5CFAE999" w14:textId="77777777">
        <w:trPr>
          <w:cantSplit/>
          <w:trHeight w:val="23"/>
        </w:trPr>
        <w:tc>
          <w:tcPr>
            <w:tcW w:w="6911" w:type="dxa"/>
            <w:gridSpan w:val="2"/>
            <w:shd w:val="clear" w:color="auto" w:fill="auto"/>
          </w:tcPr>
          <w:p w14:paraId="4BF2FAB1" w14:textId="77777777" w:rsidR="00A066F1" w:rsidRPr="00C5538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5538E">
              <w:rPr>
                <w:rFonts w:ascii="Verdana" w:hAnsi="Verdana"/>
                <w:sz w:val="20"/>
                <w:szCs w:val="20"/>
              </w:rPr>
              <w:t>PLENARY MEETING</w:t>
            </w:r>
          </w:p>
        </w:tc>
        <w:tc>
          <w:tcPr>
            <w:tcW w:w="3120" w:type="dxa"/>
            <w:gridSpan w:val="2"/>
          </w:tcPr>
          <w:p w14:paraId="43883F8D" w14:textId="77777777" w:rsidR="00A066F1" w:rsidRPr="00C5538E" w:rsidRDefault="00E55816" w:rsidP="00AA666F">
            <w:pPr>
              <w:tabs>
                <w:tab w:val="left" w:pos="851"/>
              </w:tabs>
              <w:spacing w:before="0" w:line="240" w:lineRule="atLeast"/>
              <w:rPr>
                <w:rFonts w:ascii="Verdana" w:hAnsi="Verdana"/>
                <w:sz w:val="20"/>
              </w:rPr>
            </w:pPr>
            <w:r w:rsidRPr="00C5538E">
              <w:rPr>
                <w:rFonts w:ascii="Verdana" w:hAnsi="Verdana"/>
                <w:b/>
                <w:sz w:val="20"/>
              </w:rPr>
              <w:t>Addendum 2 to</w:t>
            </w:r>
            <w:r w:rsidRPr="00C5538E">
              <w:rPr>
                <w:rFonts w:ascii="Verdana" w:hAnsi="Verdana"/>
                <w:b/>
                <w:sz w:val="20"/>
              </w:rPr>
              <w:br/>
              <w:t>Document 128</w:t>
            </w:r>
            <w:r w:rsidR="00A066F1" w:rsidRPr="00C5538E">
              <w:rPr>
                <w:rFonts w:ascii="Verdana" w:hAnsi="Verdana"/>
                <w:b/>
                <w:sz w:val="20"/>
              </w:rPr>
              <w:t>-</w:t>
            </w:r>
            <w:r w:rsidR="005E10C9" w:rsidRPr="00C5538E">
              <w:rPr>
                <w:rFonts w:ascii="Verdana" w:hAnsi="Verdana"/>
                <w:b/>
                <w:sz w:val="20"/>
              </w:rPr>
              <w:t>E</w:t>
            </w:r>
          </w:p>
        </w:tc>
      </w:tr>
      <w:tr w:rsidR="00A066F1" w:rsidRPr="00C5538E" w14:paraId="67A85123" w14:textId="77777777">
        <w:trPr>
          <w:cantSplit/>
          <w:trHeight w:val="23"/>
        </w:trPr>
        <w:tc>
          <w:tcPr>
            <w:tcW w:w="6911" w:type="dxa"/>
            <w:gridSpan w:val="2"/>
            <w:shd w:val="clear" w:color="auto" w:fill="auto"/>
          </w:tcPr>
          <w:p w14:paraId="20E08992" w14:textId="77777777" w:rsidR="00A066F1" w:rsidRPr="00C5538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10A6A99" w14:textId="77777777" w:rsidR="00A066F1" w:rsidRPr="00C5538E" w:rsidRDefault="00420873" w:rsidP="00A066F1">
            <w:pPr>
              <w:tabs>
                <w:tab w:val="left" w:pos="993"/>
              </w:tabs>
              <w:spacing w:before="0"/>
              <w:rPr>
                <w:rFonts w:ascii="Verdana" w:hAnsi="Verdana"/>
                <w:sz w:val="20"/>
              </w:rPr>
            </w:pPr>
            <w:r w:rsidRPr="00C5538E">
              <w:rPr>
                <w:rFonts w:ascii="Verdana" w:hAnsi="Verdana"/>
                <w:b/>
                <w:sz w:val="20"/>
              </w:rPr>
              <w:t>29 October 2023</w:t>
            </w:r>
          </w:p>
        </w:tc>
      </w:tr>
      <w:tr w:rsidR="00A066F1" w:rsidRPr="00C5538E" w14:paraId="3D8B4F98" w14:textId="77777777">
        <w:trPr>
          <w:cantSplit/>
          <w:trHeight w:val="23"/>
        </w:trPr>
        <w:tc>
          <w:tcPr>
            <w:tcW w:w="6911" w:type="dxa"/>
            <w:gridSpan w:val="2"/>
            <w:shd w:val="clear" w:color="auto" w:fill="auto"/>
          </w:tcPr>
          <w:p w14:paraId="3F3D9896" w14:textId="77777777" w:rsidR="00A066F1" w:rsidRPr="00C5538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9138969" w14:textId="77777777" w:rsidR="00A066F1" w:rsidRPr="00C5538E" w:rsidRDefault="00E55816" w:rsidP="00A066F1">
            <w:pPr>
              <w:tabs>
                <w:tab w:val="left" w:pos="993"/>
              </w:tabs>
              <w:spacing w:before="0"/>
              <w:rPr>
                <w:rFonts w:ascii="Verdana" w:hAnsi="Verdana"/>
                <w:b/>
                <w:sz w:val="20"/>
              </w:rPr>
            </w:pPr>
            <w:r w:rsidRPr="00C5538E">
              <w:rPr>
                <w:rFonts w:ascii="Verdana" w:hAnsi="Verdana"/>
                <w:b/>
                <w:sz w:val="20"/>
              </w:rPr>
              <w:t>Original: English</w:t>
            </w:r>
          </w:p>
        </w:tc>
      </w:tr>
      <w:tr w:rsidR="00A066F1" w:rsidRPr="00C5538E" w14:paraId="5EA0295A" w14:textId="77777777" w:rsidTr="00025864">
        <w:trPr>
          <w:cantSplit/>
          <w:trHeight w:val="23"/>
        </w:trPr>
        <w:tc>
          <w:tcPr>
            <w:tcW w:w="10031" w:type="dxa"/>
            <w:gridSpan w:val="4"/>
            <w:shd w:val="clear" w:color="auto" w:fill="auto"/>
          </w:tcPr>
          <w:p w14:paraId="24795AE1" w14:textId="77777777" w:rsidR="00A066F1" w:rsidRPr="00C5538E" w:rsidRDefault="00A066F1" w:rsidP="00A066F1">
            <w:pPr>
              <w:tabs>
                <w:tab w:val="left" w:pos="993"/>
              </w:tabs>
              <w:spacing w:before="0"/>
              <w:rPr>
                <w:rFonts w:ascii="Verdana" w:hAnsi="Verdana"/>
                <w:b/>
                <w:sz w:val="20"/>
              </w:rPr>
            </w:pPr>
          </w:p>
        </w:tc>
      </w:tr>
      <w:tr w:rsidR="00E55816" w:rsidRPr="00C5538E" w14:paraId="7EB51A57" w14:textId="77777777" w:rsidTr="00025864">
        <w:trPr>
          <w:cantSplit/>
          <w:trHeight w:val="23"/>
        </w:trPr>
        <w:tc>
          <w:tcPr>
            <w:tcW w:w="10031" w:type="dxa"/>
            <w:gridSpan w:val="4"/>
            <w:shd w:val="clear" w:color="auto" w:fill="auto"/>
          </w:tcPr>
          <w:p w14:paraId="415F43B4" w14:textId="77777777" w:rsidR="00E55816" w:rsidRPr="00C5538E" w:rsidRDefault="00884D60" w:rsidP="00E55816">
            <w:pPr>
              <w:pStyle w:val="Source"/>
            </w:pPr>
            <w:r w:rsidRPr="00C5538E">
              <w:t>Brunei Darussalam/Indonesia (Republic of)/Singapore (Republic of)</w:t>
            </w:r>
          </w:p>
        </w:tc>
      </w:tr>
      <w:tr w:rsidR="00E55816" w:rsidRPr="00C5538E" w14:paraId="68F59386" w14:textId="77777777" w:rsidTr="00025864">
        <w:trPr>
          <w:cantSplit/>
          <w:trHeight w:val="23"/>
        </w:trPr>
        <w:tc>
          <w:tcPr>
            <w:tcW w:w="10031" w:type="dxa"/>
            <w:gridSpan w:val="4"/>
            <w:shd w:val="clear" w:color="auto" w:fill="auto"/>
          </w:tcPr>
          <w:p w14:paraId="04C08687" w14:textId="77777777" w:rsidR="00E55816" w:rsidRPr="00C5538E" w:rsidRDefault="007D5320" w:rsidP="00E55816">
            <w:pPr>
              <w:pStyle w:val="Title1"/>
            </w:pPr>
            <w:r w:rsidRPr="00C5538E">
              <w:t>Proposals for the work of the conference</w:t>
            </w:r>
          </w:p>
        </w:tc>
      </w:tr>
      <w:tr w:rsidR="00E55816" w:rsidRPr="00C5538E" w14:paraId="4273FF6C" w14:textId="77777777" w:rsidTr="00025864">
        <w:trPr>
          <w:cantSplit/>
          <w:trHeight w:val="23"/>
        </w:trPr>
        <w:tc>
          <w:tcPr>
            <w:tcW w:w="10031" w:type="dxa"/>
            <w:gridSpan w:val="4"/>
            <w:shd w:val="clear" w:color="auto" w:fill="auto"/>
          </w:tcPr>
          <w:p w14:paraId="30297B82" w14:textId="77777777" w:rsidR="00E55816" w:rsidRPr="00C5538E" w:rsidRDefault="00E55816" w:rsidP="00E55816">
            <w:pPr>
              <w:pStyle w:val="Title2"/>
            </w:pPr>
          </w:p>
        </w:tc>
      </w:tr>
      <w:tr w:rsidR="00A538A6" w:rsidRPr="00C5538E" w14:paraId="528DA600" w14:textId="77777777" w:rsidTr="00025864">
        <w:trPr>
          <w:cantSplit/>
          <w:trHeight w:val="23"/>
        </w:trPr>
        <w:tc>
          <w:tcPr>
            <w:tcW w:w="10031" w:type="dxa"/>
            <w:gridSpan w:val="4"/>
            <w:shd w:val="clear" w:color="auto" w:fill="auto"/>
          </w:tcPr>
          <w:p w14:paraId="771A99DD" w14:textId="77777777" w:rsidR="00A538A6" w:rsidRPr="00C5538E" w:rsidRDefault="004B13CB" w:rsidP="004B13CB">
            <w:pPr>
              <w:pStyle w:val="Agendaitem"/>
              <w:rPr>
                <w:lang w:val="en-GB"/>
              </w:rPr>
            </w:pPr>
            <w:r w:rsidRPr="00C5538E">
              <w:rPr>
                <w:lang w:val="en-GB"/>
              </w:rPr>
              <w:t>Agenda item 1.2</w:t>
            </w:r>
          </w:p>
        </w:tc>
      </w:tr>
    </w:tbl>
    <w:bookmarkEnd w:id="4"/>
    <w:bookmarkEnd w:id="5"/>
    <w:p w14:paraId="1F262B70" w14:textId="77777777" w:rsidR="00187BD9" w:rsidRPr="00C5538E" w:rsidRDefault="00FD3A1F" w:rsidP="00B81EAE">
      <w:r w:rsidRPr="00C5538E">
        <w:t>1.2</w:t>
      </w:r>
      <w:r w:rsidRPr="00C5538E">
        <w:tab/>
      </w:r>
      <w:r w:rsidRPr="00C5538E">
        <w:rPr>
          <w:rFonts w:eastAsia="MS Mincho"/>
        </w:rPr>
        <w:t>to consider identification of the frequency bands 3 300-3 400 MHz, 3 600</w:t>
      </w:r>
      <w:r w:rsidRPr="00C5538E">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C5538E">
        <w:rPr>
          <w:rFonts w:eastAsia="MS Mincho"/>
          <w:b/>
          <w:bCs/>
        </w:rPr>
        <w:t>245</w:t>
      </w:r>
      <w:r w:rsidRPr="00C5538E">
        <w:rPr>
          <w:rFonts w:eastAsia="MS Mincho"/>
          <w:b/>
        </w:rPr>
        <w:t xml:space="preserve"> (WRC</w:t>
      </w:r>
      <w:r w:rsidRPr="00C5538E">
        <w:rPr>
          <w:rFonts w:eastAsia="MS Mincho"/>
          <w:b/>
        </w:rPr>
        <w:noBreakHyphen/>
        <w:t>19)</w:t>
      </w:r>
      <w:r w:rsidRPr="00C5538E">
        <w:rPr>
          <w:rFonts w:eastAsia="MS Mincho"/>
          <w:bCs/>
        </w:rPr>
        <w:t>;</w:t>
      </w:r>
      <w:r w:rsidRPr="00C5538E">
        <w:t xml:space="preserve"> </w:t>
      </w:r>
    </w:p>
    <w:p w14:paraId="55D8B97D" w14:textId="77777777" w:rsidR="00102CF7" w:rsidRPr="00C5538E" w:rsidRDefault="00102CF7" w:rsidP="00102CF7">
      <w:pPr>
        <w:pStyle w:val="Headingb"/>
        <w:rPr>
          <w:rFonts w:eastAsiaTheme="minorEastAsia"/>
          <w:lang w:val="en-GB"/>
        </w:rPr>
      </w:pPr>
      <w:r w:rsidRPr="00C5538E">
        <w:rPr>
          <w:rFonts w:eastAsiaTheme="minorEastAsia"/>
          <w:lang w:val="en-GB"/>
        </w:rPr>
        <w:t>Introduction</w:t>
      </w:r>
    </w:p>
    <w:p w14:paraId="7650CCA5" w14:textId="77777777" w:rsidR="00102CF7" w:rsidRPr="00C5538E" w:rsidRDefault="00102CF7" w:rsidP="00102CF7">
      <w:pPr>
        <w:rPr>
          <w:rFonts w:eastAsia="MS Mincho"/>
          <w:lang w:eastAsia="ja-JP"/>
        </w:rPr>
      </w:pPr>
      <w:r w:rsidRPr="00C5538E">
        <w:rPr>
          <w:lang w:eastAsia="zh-CN"/>
        </w:rPr>
        <w:t xml:space="preserve">Asia Pacific Telecommunity (APT) supports identification of the frequency band 7 025-7 125 MHz for IMT globally through Method 5C together with a new WRC Resolution, in which, the provisions for ensuring </w:t>
      </w:r>
      <w:r w:rsidRPr="00C5538E">
        <w:rPr>
          <w:lang w:eastAsia="ja-JP"/>
        </w:rPr>
        <w:t>the protection, continued use and future development of the fixed-satellite service (</w:t>
      </w:r>
      <w:r w:rsidRPr="00C5538E">
        <w:t>Earth-to-space and space-to-Earth</w:t>
      </w:r>
      <w:r w:rsidRPr="00C5538E">
        <w:rPr>
          <w:lang w:eastAsia="ja-JP"/>
        </w:rPr>
        <w:t xml:space="preserve">) and fixed service are included. </w:t>
      </w:r>
    </w:p>
    <w:p w14:paraId="14C7C6C9" w14:textId="2C3E4F79" w:rsidR="00102CF7" w:rsidRPr="00C5538E" w:rsidRDefault="00102CF7" w:rsidP="00102CF7">
      <w:pPr>
        <w:rPr>
          <w:rFonts w:eastAsiaTheme="minorEastAsia"/>
          <w:kern w:val="2"/>
          <w:szCs w:val="24"/>
          <w:lang w:eastAsia="zh-CN"/>
        </w:rPr>
      </w:pPr>
      <w:r w:rsidRPr="00C5538E">
        <w:rPr>
          <w:lang w:eastAsia="zh-CN"/>
        </w:rPr>
        <w:t xml:space="preserve">These services are not limited to 7 025-7 125 MHz but are allocated to the entire 6 425-7 125 MHz or part thereof, i.e. </w:t>
      </w:r>
      <w:r w:rsidRPr="00C5538E">
        <w:t>FSS uplink (6 425-7 075 MHz), FSS downlink (6 700-7 075 MHz) and FS (6 425-7 125 MHz).</w:t>
      </w:r>
      <w:r w:rsidRPr="00C5538E">
        <w:rPr>
          <w:lang w:eastAsia="zh-CN"/>
        </w:rPr>
        <w:t xml:space="preserve"> </w:t>
      </w:r>
      <w:r w:rsidRPr="00C5538E">
        <w:rPr>
          <w:kern w:val="2"/>
          <w:szCs w:val="24"/>
          <w:lang w:eastAsia="zh-CN"/>
        </w:rPr>
        <w:t>ITU-R Working Party (WP) 5D has diligently conducted sharing and compatibility studies between IMT and incumbent services for the frequency range 6 425-7 125 MHz with the associated parameters. The parameters for the FSS uplink, FSS downlink and FS which are provided by the ITU-R expert groups are the same for the entire allocation and they are not differentiated into the separate frequency bands 6 425-7 025 MHz and 7 025-7 125 MHz (as defined in this agenda item).</w:t>
      </w:r>
    </w:p>
    <w:p w14:paraId="4F21D5C6" w14:textId="7558C201" w:rsidR="00102CF7" w:rsidRPr="00C5538E" w:rsidRDefault="00102CF7" w:rsidP="00102CF7">
      <w:pPr>
        <w:rPr>
          <w:lang w:eastAsia="zh-CN"/>
        </w:rPr>
      </w:pPr>
      <w:r w:rsidRPr="00C5538E">
        <w:rPr>
          <w:kern w:val="2"/>
          <w:szCs w:val="24"/>
          <w:lang w:eastAsia="zh-CN"/>
        </w:rPr>
        <w:t xml:space="preserve">In this regard, the provisions specified for the 7 025-7 125 MHz in the new WRC Resolution as contained in APT Common Proposal are sufficient to protect the same allocation in 6 425-7 025 MHz. Hence, the new WRC Resolution could strive for commonality in provisions for both frequency bands. For protecting FSS uplink, the proponents believe sharing is feasible and no additional condition is needed. However, if additional condition is deemed necessary, the proponents support Example 3 of Alternative 2 under Method 5C as contained in the CPM Report. </w:t>
      </w:r>
    </w:p>
    <w:p w14:paraId="6012F514" w14:textId="4B695ED7" w:rsidR="00102CF7" w:rsidRPr="00C5538E" w:rsidRDefault="00102CF7" w:rsidP="00102CF7">
      <w:pPr>
        <w:pStyle w:val="Headingb"/>
        <w:rPr>
          <w:rFonts w:eastAsiaTheme="minorEastAsia"/>
          <w:lang w:val="en-GB"/>
        </w:rPr>
      </w:pPr>
      <w:r w:rsidRPr="00C5538E">
        <w:rPr>
          <w:rFonts w:eastAsiaTheme="minorEastAsia"/>
          <w:lang w:val="en-GB"/>
        </w:rPr>
        <w:lastRenderedPageBreak/>
        <w:t>Proposal</w:t>
      </w:r>
    </w:p>
    <w:p w14:paraId="5250EC89" w14:textId="77777777" w:rsidR="00102CF7" w:rsidRPr="00C5538E" w:rsidRDefault="00102CF7" w:rsidP="007255E1">
      <w:pPr>
        <w:keepLines/>
        <w:rPr>
          <w:rFonts w:eastAsiaTheme="minorEastAsia"/>
          <w:lang w:eastAsia="zh-CN"/>
        </w:rPr>
      </w:pPr>
      <w:r w:rsidRPr="00C5538E">
        <w:rPr>
          <w:lang w:eastAsia="zh-CN"/>
        </w:rPr>
        <w:t>The proponents support identification of the frequency band 7 025-7 125 MHz for IMT globally through Method 5C together with a new WRC Resolution. In particular, the proponents support Example 3 of Alternative 2 under Method 5C as contained in the CPM Report. The proponents are considering whether this proposed new WRC Resolution could be combined with a potential WRC Resolution for 6 425-7 125 MHz in Region 1, if agreed.</w:t>
      </w:r>
    </w:p>
    <w:p w14:paraId="165D2E93" w14:textId="77777777" w:rsidR="00241FA2" w:rsidRPr="00C5538E" w:rsidRDefault="00241FA2" w:rsidP="00EB54B2"/>
    <w:p w14:paraId="0FD06A70" w14:textId="77777777" w:rsidR="00187BD9" w:rsidRPr="00C5538E" w:rsidRDefault="00187BD9" w:rsidP="00187BD9">
      <w:pPr>
        <w:tabs>
          <w:tab w:val="clear" w:pos="1134"/>
          <w:tab w:val="clear" w:pos="1871"/>
          <w:tab w:val="clear" w:pos="2268"/>
        </w:tabs>
        <w:overflowPunct/>
        <w:autoSpaceDE/>
        <w:autoSpaceDN/>
        <w:adjustRightInd/>
        <w:spacing w:before="0"/>
        <w:textAlignment w:val="auto"/>
      </w:pPr>
      <w:r w:rsidRPr="00C5538E">
        <w:br w:type="page"/>
      </w:r>
    </w:p>
    <w:p w14:paraId="49900488" w14:textId="77777777" w:rsidR="00FD3A1F" w:rsidRPr="00C5538E" w:rsidRDefault="00FD3A1F" w:rsidP="007F1392">
      <w:pPr>
        <w:pStyle w:val="ArtNo"/>
        <w:spacing w:before="0"/>
      </w:pPr>
      <w:bookmarkStart w:id="6" w:name="_Toc42842383"/>
      <w:r w:rsidRPr="00C5538E">
        <w:lastRenderedPageBreak/>
        <w:t xml:space="preserve">ARTICLE </w:t>
      </w:r>
      <w:r w:rsidRPr="00C5538E">
        <w:rPr>
          <w:rStyle w:val="href"/>
          <w:rFonts w:eastAsiaTheme="majorEastAsia"/>
          <w:color w:val="000000"/>
        </w:rPr>
        <w:t>5</w:t>
      </w:r>
      <w:bookmarkEnd w:id="6"/>
    </w:p>
    <w:p w14:paraId="350AB7F0" w14:textId="77777777" w:rsidR="00FD3A1F" w:rsidRPr="00C5538E" w:rsidRDefault="00FD3A1F" w:rsidP="007F1392">
      <w:pPr>
        <w:pStyle w:val="Arttitle"/>
      </w:pPr>
      <w:bookmarkStart w:id="7" w:name="_Toc327956583"/>
      <w:bookmarkStart w:id="8" w:name="_Toc42842384"/>
      <w:r w:rsidRPr="00C5538E">
        <w:t>Frequency allocations</w:t>
      </w:r>
      <w:bookmarkEnd w:id="7"/>
      <w:bookmarkEnd w:id="8"/>
    </w:p>
    <w:p w14:paraId="773F468E" w14:textId="77777777" w:rsidR="00FD3A1F" w:rsidRPr="00C5538E" w:rsidRDefault="00FD3A1F" w:rsidP="007F1392">
      <w:pPr>
        <w:pStyle w:val="Section1"/>
        <w:keepNext/>
      </w:pPr>
      <w:r w:rsidRPr="00C5538E">
        <w:t>Section IV – Table of Frequency Allocations</w:t>
      </w:r>
      <w:r w:rsidRPr="00C5538E">
        <w:br/>
      </w:r>
      <w:r w:rsidRPr="00C5538E">
        <w:rPr>
          <w:b w:val="0"/>
          <w:bCs/>
        </w:rPr>
        <w:t xml:space="preserve">(See No. </w:t>
      </w:r>
      <w:r w:rsidRPr="00C5538E">
        <w:t>2.1</w:t>
      </w:r>
      <w:r w:rsidRPr="00C5538E">
        <w:rPr>
          <w:b w:val="0"/>
          <w:bCs/>
        </w:rPr>
        <w:t>)</w:t>
      </w:r>
      <w:r w:rsidRPr="00C5538E">
        <w:rPr>
          <w:b w:val="0"/>
          <w:bCs/>
        </w:rPr>
        <w:br/>
      </w:r>
      <w:r w:rsidRPr="00C5538E">
        <w:br/>
      </w:r>
    </w:p>
    <w:p w14:paraId="5182A3A8" w14:textId="77777777" w:rsidR="005059AF" w:rsidRPr="00C5538E" w:rsidRDefault="00FD3A1F">
      <w:pPr>
        <w:pStyle w:val="Proposal"/>
      </w:pPr>
      <w:r w:rsidRPr="00C5538E">
        <w:t>MOD</w:t>
      </w:r>
      <w:r w:rsidRPr="00C5538E">
        <w:tab/>
        <w:t>BRU/INS/SNG/128A2/1</w:t>
      </w:r>
    </w:p>
    <w:p w14:paraId="1BCD376E" w14:textId="77777777" w:rsidR="00FD3A1F" w:rsidRPr="00C5538E" w:rsidRDefault="00FD3A1F" w:rsidP="007F1392">
      <w:pPr>
        <w:pStyle w:val="Tabletitle"/>
      </w:pPr>
      <w:r w:rsidRPr="00C5538E">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C5538E" w14:paraId="2961315E"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AD430CF" w14:textId="77777777" w:rsidR="00FD3A1F" w:rsidRPr="00C5538E" w:rsidRDefault="00FD3A1F" w:rsidP="007F1392">
            <w:pPr>
              <w:pStyle w:val="Tablehead"/>
            </w:pPr>
            <w:r w:rsidRPr="00C5538E">
              <w:t>Allocation to services</w:t>
            </w:r>
          </w:p>
        </w:tc>
      </w:tr>
      <w:tr w:rsidR="007F1392" w:rsidRPr="00C5538E" w14:paraId="2505B5BE" w14:textId="77777777" w:rsidTr="007F1392">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10AFB785" w14:textId="77777777" w:rsidR="00FD3A1F" w:rsidRPr="00C5538E" w:rsidRDefault="00FD3A1F" w:rsidP="007F1392">
            <w:pPr>
              <w:pStyle w:val="Tablehead"/>
            </w:pPr>
            <w:r w:rsidRPr="00C5538E">
              <w:t>Region 1</w:t>
            </w:r>
          </w:p>
        </w:tc>
        <w:tc>
          <w:tcPr>
            <w:tcW w:w="3099" w:type="dxa"/>
            <w:tcBorders>
              <w:top w:val="single" w:sz="4" w:space="0" w:color="auto"/>
              <w:left w:val="single" w:sz="6" w:space="0" w:color="auto"/>
              <w:bottom w:val="single" w:sz="6" w:space="0" w:color="auto"/>
              <w:right w:val="single" w:sz="6" w:space="0" w:color="auto"/>
            </w:tcBorders>
            <w:hideMark/>
          </w:tcPr>
          <w:p w14:paraId="40203106" w14:textId="77777777" w:rsidR="00FD3A1F" w:rsidRPr="00C5538E" w:rsidRDefault="00FD3A1F" w:rsidP="007F1392">
            <w:pPr>
              <w:pStyle w:val="Tablehead"/>
            </w:pPr>
            <w:r w:rsidRPr="00C5538E">
              <w:t>Region 2</w:t>
            </w:r>
          </w:p>
        </w:tc>
        <w:tc>
          <w:tcPr>
            <w:tcW w:w="3100" w:type="dxa"/>
            <w:tcBorders>
              <w:top w:val="single" w:sz="4" w:space="0" w:color="auto"/>
              <w:left w:val="single" w:sz="6" w:space="0" w:color="auto"/>
              <w:bottom w:val="single" w:sz="6" w:space="0" w:color="auto"/>
              <w:right w:val="single" w:sz="6" w:space="0" w:color="auto"/>
            </w:tcBorders>
            <w:hideMark/>
          </w:tcPr>
          <w:p w14:paraId="2E058680" w14:textId="77777777" w:rsidR="00FD3A1F" w:rsidRPr="00C5538E" w:rsidRDefault="00FD3A1F" w:rsidP="007F1392">
            <w:pPr>
              <w:pStyle w:val="Tablehead"/>
            </w:pPr>
            <w:r w:rsidRPr="00C5538E">
              <w:t>Region 3</w:t>
            </w:r>
          </w:p>
        </w:tc>
      </w:tr>
      <w:tr w:rsidR="007F1392" w:rsidRPr="00C5538E" w14:paraId="187D904C"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719FA4F" w14:textId="77777777" w:rsidR="00FD3A1F" w:rsidRPr="00C5538E" w:rsidRDefault="00FD3A1F" w:rsidP="007F1392">
            <w:pPr>
              <w:pStyle w:val="TableTextS5"/>
              <w:spacing w:line="220" w:lineRule="exact"/>
              <w:rPr>
                <w:color w:val="000000"/>
              </w:rPr>
            </w:pPr>
            <w:r w:rsidRPr="00C5538E">
              <w:rPr>
                <w:rStyle w:val="Tablefreq"/>
              </w:rPr>
              <w:t>6 700-7 075</w:t>
            </w:r>
            <w:r w:rsidRPr="00C5538E">
              <w:rPr>
                <w:color w:val="000000"/>
              </w:rPr>
              <w:tab/>
              <w:t>FIXED</w:t>
            </w:r>
          </w:p>
          <w:p w14:paraId="6AA4A30E" w14:textId="77777777" w:rsidR="00FD3A1F" w:rsidRPr="00C5538E" w:rsidRDefault="00FD3A1F" w:rsidP="007F1392">
            <w:pPr>
              <w:pStyle w:val="TableTextS5"/>
              <w:spacing w:line="220" w:lineRule="exact"/>
              <w:rPr>
                <w:color w:val="000000"/>
              </w:rPr>
            </w:pPr>
            <w:r w:rsidRPr="00C5538E">
              <w:rPr>
                <w:color w:val="000000"/>
              </w:rPr>
              <w:tab/>
            </w:r>
            <w:r w:rsidRPr="00C5538E">
              <w:rPr>
                <w:color w:val="000000"/>
              </w:rPr>
              <w:tab/>
            </w:r>
            <w:r w:rsidRPr="00C5538E">
              <w:rPr>
                <w:color w:val="000000"/>
              </w:rPr>
              <w:tab/>
            </w:r>
            <w:r w:rsidRPr="00C5538E">
              <w:rPr>
                <w:color w:val="000000"/>
              </w:rPr>
              <w:tab/>
              <w:t xml:space="preserve">FIXED-SATELLITE (Earth-to-space) (space-to-Earth)  </w:t>
            </w:r>
            <w:r w:rsidRPr="00C5538E">
              <w:rPr>
                <w:rStyle w:val="Artref"/>
                <w:color w:val="000000"/>
              </w:rPr>
              <w:t>5.441</w:t>
            </w:r>
          </w:p>
          <w:p w14:paraId="491041AD" w14:textId="7B369529" w:rsidR="00FD3A1F" w:rsidRPr="00C5538E" w:rsidRDefault="00FD3A1F" w:rsidP="007F1392">
            <w:pPr>
              <w:pStyle w:val="TableTextS5"/>
              <w:spacing w:line="220" w:lineRule="exact"/>
              <w:rPr>
                <w:color w:val="000000"/>
              </w:rPr>
            </w:pPr>
            <w:r w:rsidRPr="00C5538E">
              <w:rPr>
                <w:color w:val="000000"/>
              </w:rPr>
              <w:tab/>
            </w:r>
            <w:r w:rsidRPr="00C5538E">
              <w:rPr>
                <w:color w:val="000000"/>
              </w:rPr>
              <w:tab/>
            </w:r>
            <w:r w:rsidRPr="00C5538E">
              <w:rPr>
                <w:color w:val="000000"/>
              </w:rPr>
              <w:tab/>
            </w:r>
            <w:r w:rsidRPr="00C5538E">
              <w:rPr>
                <w:color w:val="000000"/>
              </w:rPr>
              <w:tab/>
              <w:t>MOBILE</w:t>
            </w:r>
            <w:ins w:id="9" w:author="Fernandez Jimenez, Virginia" w:date="2023-11-03T12:47:00Z">
              <w:r w:rsidR="002D5E1B" w:rsidRPr="00C5538E">
                <w:rPr>
                  <w:color w:val="000000"/>
                </w:rPr>
                <w:t xml:space="preserve">  ADD </w:t>
              </w:r>
              <w:r w:rsidR="002D5E1B" w:rsidRPr="00C5538E">
                <w:rPr>
                  <w:rStyle w:val="Artref"/>
                </w:rPr>
                <w:t>5.C12</w:t>
              </w:r>
            </w:ins>
          </w:p>
          <w:p w14:paraId="0FB471C7" w14:textId="77777777" w:rsidR="00FD3A1F" w:rsidRPr="00C5538E" w:rsidRDefault="00FD3A1F" w:rsidP="007F1392">
            <w:pPr>
              <w:pStyle w:val="TableTextS5"/>
              <w:spacing w:line="220" w:lineRule="exact"/>
              <w:rPr>
                <w:color w:val="000000"/>
              </w:rPr>
            </w:pPr>
            <w:r w:rsidRPr="00C5538E">
              <w:rPr>
                <w:color w:val="000000"/>
              </w:rPr>
              <w:tab/>
            </w:r>
            <w:r w:rsidRPr="00C5538E">
              <w:rPr>
                <w:color w:val="000000"/>
              </w:rPr>
              <w:tab/>
            </w:r>
            <w:r w:rsidRPr="00C5538E">
              <w:rPr>
                <w:color w:val="000000"/>
              </w:rPr>
              <w:tab/>
            </w:r>
            <w:r w:rsidRPr="00C5538E">
              <w:rPr>
                <w:color w:val="000000"/>
              </w:rPr>
              <w:tab/>
            </w:r>
            <w:r w:rsidRPr="00C5538E">
              <w:rPr>
                <w:rStyle w:val="Artref"/>
                <w:color w:val="000000"/>
              </w:rPr>
              <w:t>5.458</w:t>
            </w:r>
            <w:r w:rsidRPr="00C5538E">
              <w:rPr>
                <w:color w:val="000000"/>
              </w:rPr>
              <w:t xml:space="preserve">  </w:t>
            </w:r>
            <w:r w:rsidRPr="00C5538E">
              <w:rPr>
                <w:rStyle w:val="Artref"/>
                <w:color w:val="000000"/>
              </w:rPr>
              <w:t>5.458A</w:t>
            </w:r>
            <w:r w:rsidRPr="00C5538E">
              <w:rPr>
                <w:color w:val="000000"/>
              </w:rPr>
              <w:t xml:space="preserve">  </w:t>
            </w:r>
            <w:r w:rsidRPr="00C5538E">
              <w:rPr>
                <w:rStyle w:val="Artref"/>
                <w:color w:val="000000"/>
              </w:rPr>
              <w:t>5.458B</w:t>
            </w:r>
          </w:p>
        </w:tc>
      </w:tr>
      <w:tr w:rsidR="007F1392" w:rsidRPr="00C5538E" w14:paraId="7D4AA159"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4158582" w14:textId="77777777" w:rsidR="00FD3A1F" w:rsidRPr="00C5538E" w:rsidRDefault="00FD3A1F" w:rsidP="007F1392">
            <w:pPr>
              <w:pStyle w:val="TableTextS5"/>
              <w:spacing w:line="220" w:lineRule="exact"/>
              <w:rPr>
                <w:color w:val="000000"/>
              </w:rPr>
            </w:pPr>
            <w:r w:rsidRPr="00C5538E">
              <w:rPr>
                <w:rStyle w:val="Tablefreq"/>
              </w:rPr>
              <w:t>7 075-7 145</w:t>
            </w:r>
            <w:r w:rsidRPr="00C5538E">
              <w:rPr>
                <w:color w:val="000000"/>
              </w:rPr>
              <w:tab/>
              <w:t>FIXED</w:t>
            </w:r>
          </w:p>
          <w:p w14:paraId="68AF9428" w14:textId="638AD267" w:rsidR="00FD3A1F" w:rsidRPr="00C5538E" w:rsidRDefault="00FD3A1F" w:rsidP="007F1392">
            <w:pPr>
              <w:pStyle w:val="TableTextS5"/>
              <w:spacing w:line="220" w:lineRule="exact"/>
              <w:rPr>
                <w:color w:val="000000"/>
              </w:rPr>
            </w:pPr>
            <w:r w:rsidRPr="00C5538E">
              <w:rPr>
                <w:color w:val="000000"/>
              </w:rPr>
              <w:tab/>
            </w:r>
            <w:r w:rsidRPr="00C5538E">
              <w:rPr>
                <w:color w:val="000000"/>
              </w:rPr>
              <w:tab/>
            </w:r>
            <w:r w:rsidRPr="00C5538E">
              <w:rPr>
                <w:color w:val="000000"/>
              </w:rPr>
              <w:tab/>
            </w:r>
            <w:r w:rsidRPr="00C5538E">
              <w:rPr>
                <w:color w:val="000000"/>
              </w:rPr>
              <w:tab/>
              <w:t>MOBILE</w:t>
            </w:r>
            <w:ins w:id="10" w:author="Fernandez Jimenez, Virginia" w:date="2023-11-03T12:47:00Z">
              <w:r w:rsidR="002D5E1B" w:rsidRPr="00C5538E">
                <w:rPr>
                  <w:color w:val="000000"/>
                </w:rPr>
                <w:t xml:space="preserve">  ADD </w:t>
              </w:r>
              <w:r w:rsidR="002D5E1B" w:rsidRPr="00C5538E">
                <w:rPr>
                  <w:rStyle w:val="Artref"/>
                </w:rPr>
                <w:t>5.C12</w:t>
              </w:r>
            </w:ins>
          </w:p>
          <w:p w14:paraId="32D3AAC2" w14:textId="77777777" w:rsidR="00FD3A1F" w:rsidRPr="00C5538E" w:rsidRDefault="00FD3A1F" w:rsidP="007F1392">
            <w:pPr>
              <w:pStyle w:val="TableTextS5"/>
              <w:spacing w:line="220" w:lineRule="exact"/>
              <w:rPr>
                <w:color w:val="000000"/>
              </w:rPr>
            </w:pPr>
            <w:r w:rsidRPr="00C5538E">
              <w:rPr>
                <w:color w:val="000000"/>
              </w:rPr>
              <w:tab/>
            </w:r>
            <w:r w:rsidRPr="00C5538E">
              <w:rPr>
                <w:color w:val="000000"/>
              </w:rPr>
              <w:tab/>
            </w:r>
            <w:r w:rsidRPr="00C5538E">
              <w:rPr>
                <w:color w:val="000000"/>
              </w:rPr>
              <w:tab/>
            </w:r>
            <w:r w:rsidRPr="00C5538E">
              <w:rPr>
                <w:color w:val="000000"/>
              </w:rPr>
              <w:tab/>
            </w:r>
            <w:r w:rsidRPr="00C5538E">
              <w:rPr>
                <w:rStyle w:val="Artref"/>
                <w:color w:val="000000"/>
              </w:rPr>
              <w:t>5.458</w:t>
            </w:r>
            <w:r w:rsidRPr="00C5538E">
              <w:rPr>
                <w:color w:val="000000"/>
              </w:rPr>
              <w:t xml:space="preserve">  </w:t>
            </w:r>
            <w:r w:rsidRPr="00C5538E">
              <w:rPr>
                <w:rStyle w:val="Artref"/>
                <w:color w:val="000000"/>
              </w:rPr>
              <w:t>5.459</w:t>
            </w:r>
          </w:p>
        </w:tc>
      </w:tr>
    </w:tbl>
    <w:p w14:paraId="2796F96A" w14:textId="77726694" w:rsidR="005059AF" w:rsidRPr="00C5538E" w:rsidRDefault="00FD3A1F">
      <w:pPr>
        <w:pStyle w:val="Reasons"/>
      </w:pPr>
      <w:r w:rsidRPr="00C5538E">
        <w:rPr>
          <w:b/>
        </w:rPr>
        <w:t>Reasons:</w:t>
      </w:r>
      <w:r w:rsidRPr="00C5538E">
        <w:tab/>
      </w:r>
      <w:r w:rsidR="00673D39" w:rsidRPr="00C5538E">
        <w:rPr>
          <w:rFonts w:eastAsiaTheme="minorEastAsia"/>
        </w:rPr>
        <w:t>This is</w:t>
      </w:r>
      <w:r w:rsidR="00673D39" w:rsidRPr="00C5538E">
        <w:rPr>
          <w:rFonts w:eastAsiaTheme="minorEastAsia"/>
          <w:lang w:eastAsia="zh-CN"/>
        </w:rPr>
        <w:t xml:space="preserve"> to identify the frequency band 7 025-7 125 MHz for IMT globally by creating a new RR footnote with conditions which are contained in a draft new WRC Resolution.</w:t>
      </w:r>
    </w:p>
    <w:p w14:paraId="65EB2116" w14:textId="77777777" w:rsidR="005059AF" w:rsidRPr="00C5538E" w:rsidRDefault="00FD3A1F">
      <w:pPr>
        <w:pStyle w:val="Proposal"/>
      </w:pPr>
      <w:r w:rsidRPr="00C5538E">
        <w:t>ADD</w:t>
      </w:r>
      <w:r w:rsidRPr="00C5538E">
        <w:tab/>
        <w:t>BRU/INS/SNG/128A2/2</w:t>
      </w:r>
      <w:r w:rsidRPr="00C5538E">
        <w:rPr>
          <w:vanish/>
          <w:color w:val="7F7F7F" w:themeColor="text1" w:themeTint="80"/>
          <w:vertAlign w:val="superscript"/>
        </w:rPr>
        <w:t>#1373</w:t>
      </w:r>
    </w:p>
    <w:p w14:paraId="08613112" w14:textId="015D83B6" w:rsidR="00FD3A1F" w:rsidRPr="00C5538E" w:rsidRDefault="00FD3A1F" w:rsidP="007F71FA">
      <w:pPr>
        <w:pStyle w:val="Note"/>
        <w:rPr>
          <w:iCs/>
          <w:lang w:eastAsia="zh-CN"/>
        </w:rPr>
      </w:pPr>
      <w:r w:rsidRPr="00C5538E">
        <w:rPr>
          <w:rStyle w:val="Artdef"/>
        </w:rPr>
        <w:t>5.C12</w:t>
      </w:r>
      <w:r w:rsidRPr="00C5538E">
        <w:rPr>
          <w:iCs/>
          <w:lang w:eastAsia="zh-CN"/>
        </w:rPr>
        <w:tab/>
        <w:t xml:space="preserve">The frequency band 7 025-7 125 MHz is identified for use by administrations wishing to </w:t>
      </w:r>
      <w:r w:rsidRPr="00C5538E">
        <w:t>implement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sidR="007255E1" w:rsidRPr="00C5538E">
        <w:t xml:space="preserve"> </w:t>
      </w:r>
      <w:r w:rsidRPr="00C5538E">
        <w:rPr>
          <w:b/>
          <w:bCs/>
        </w:rPr>
        <w:t>[</w:t>
      </w:r>
      <w:r w:rsidR="000837EA" w:rsidRPr="00C5538E">
        <w:rPr>
          <w:b/>
          <w:bCs/>
        </w:rPr>
        <w:t>BRU/INS/SNG/A12/7GHz</w:t>
      </w:r>
      <w:r w:rsidRPr="00C5538E">
        <w:rPr>
          <w:b/>
          <w:bCs/>
        </w:rPr>
        <w:t>] (WRC</w:t>
      </w:r>
      <w:r w:rsidRPr="00C5538E">
        <w:rPr>
          <w:b/>
          <w:bCs/>
        </w:rPr>
        <w:noBreakHyphen/>
        <w:t>23)</w:t>
      </w:r>
      <w:r w:rsidRPr="00C5538E">
        <w:t xml:space="preserve"> applies.</w:t>
      </w:r>
      <w:r w:rsidRPr="00C5538E">
        <w:rPr>
          <w:sz w:val="16"/>
        </w:rPr>
        <w:t>     (WRC</w:t>
      </w:r>
      <w:r w:rsidR="00370237" w:rsidRPr="00C5538E">
        <w:rPr>
          <w:sz w:val="16"/>
        </w:rPr>
        <w:noBreakHyphen/>
      </w:r>
      <w:r w:rsidRPr="00C5538E">
        <w:rPr>
          <w:sz w:val="16"/>
        </w:rPr>
        <w:t>23)</w:t>
      </w:r>
    </w:p>
    <w:p w14:paraId="13A43E7B" w14:textId="23D725DA" w:rsidR="005059AF" w:rsidRPr="00C5538E" w:rsidRDefault="00FD3A1F">
      <w:pPr>
        <w:pStyle w:val="Reasons"/>
      </w:pPr>
      <w:r w:rsidRPr="00C5538E">
        <w:rPr>
          <w:b/>
        </w:rPr>
        <w:t>Reasons:</w:t>
      </w:r>
      <w:r w:rsidRPr="00C5538E">
        <w:tab/>
      </w:r>
      <w:r w:rsidR="00A5023E" w:rsidRPr="00C5538E">
        <w:t>This is</w:t>
      </w:r>
      <w:r w:rsidR="00A5023E" w:rsidRPr="00C5538E">
        <w:rPr>
          <w:lang w:eastAsia="zh-CN"/>
        </w:rPr>
        <w:t xml:space="preserve"> to identify the frequency band 7 025-7 125 MHz for IMT globally by creating a new RR footnote with conditions which are contained in a draft new WRC Resolution.</w:t>
      </w:r>
    </w:p>
    <w:p w14:paraId="1EFDBE57" w14:textId="77777777" w:rsidR="005059AF" w:rsidRPr="00C5538E" w:rsidRDefault="00FD3A1F">
      <w:pPr>
        <w:pStyle w:val="Proposal"/>
      </w:pPr>
      <w:r w:rsidRPr="00C5538E">
        <w:t>ADD</w:t>
      </w:r>
      <w:r w:rsidRPr="00C5538E">
        <w:tab/>
        <w:t>BRU/INS/SNG/128A2/3</w:t>
      </w:r>
      <w:r w:rsidRPr="00C5538E">
        <w:rPr>
          <w:vanish/>
          <w:color w:val="7F7F7F" w:themeColor="text1" w:themeTint="80"/>
          <w:vertAlign w:val="superscript"/>
        </w:rPr>
        <w:t>#1370</w:t>
      </w:r>
    </w:p>
    <w:p w14:paraId="077BD84A" w14:textId="62AC76AE" w:rsidR="00FD3A1F" w:rsidRPr="00C5538E" w:rsidRDefault="00FD3A1F" w:rsidP="003B6B24">
      <w:pPr>
        <w:pStyle w:val="ResNo"/>
      </w:pPr>
      <w:r w:rsidRPr="00C5538E">
        <w:t>draft new Resolution [</w:t>
      </w:r>
      <w:r w:rsidR="008243DF" w:rsidRPr="00C5538E">
        <w:t>BRU/INS/SNG/A12/7</w:t>
      </w:r>
      <w:r w:rsidR="00DE41EC" w:rsidRPr="00C5538E">
        <w:t> </w:t>
      </w:r>
      <w:r w:rsidR="008243DF" w:rsidRPr="00C5538E">
        <w:t>GHz</w:t>
      </w:r>
      <w:r w:rsidRPr="00C5538E">
        <w:t>] (WRC</w:t>
      </w:r>
      <w:r w:rsidRPr="00C5538E">
        <w:noBreakHyphen/>
        <w:t>23)</w:t>
      </w:r>
    </w:p>
    <w:p w14:paraId="7289486B" w14:textId="4EEF6B4A" w:rsidR="00FD3A1F" w:rsidRPr="00C5538E" w:rsidRDefault="00FD3A1F" w:rsidP="003B6B24">
      <w:pPr>
        <w:pStyle w:val="Restitle"/>
      </w:pPr>
      <w:bookmarkStart w:id="11" w:name="_Toc35789321"/>
      <w:bookmarkStart w:id="12" w:name="_Toc35857018"/>
      <w:bookmarkStart w:id="13" w:name="_Toc35877653"/>
      <w:bookmarkStart w:id="14" w:name="_Toc35963596"/>
      <w:bookmarkStart w:id="15" w:name="_Toc39649452"/>
      <w:r w:rsidRPr="00C5538E">
        <w:t>Terrestrial component of</w:t>
      </w:r>
      <w:r w:rsidRPr="00C5538E">
        <w:rPr>
          <w:lang w:eastAsia="ja-JP"/>
        </w:rPr>
        <w:t xml:space="preserve"> International Mobile Telecommunications in the frequency band </w:t>
      </w:r>
      <w:bookmarkEnd w:id="11"/>
      <w:bookmarkEnd w:id="12"/>
      <w:bookmarkEnd w:id="13"/>
      <w:bookmarkEnd w:id="14"/>
      <w:bookmarkEnd w:id="15"/>
      <w:r w:rsidRPr="00C5538E">
        <w:t>7 025-7 125 MHz in all Regions</w:t>
      </w:r>
    </w:p>
    <w:p w14:paraId="17AC1C65" w14:textId="77777777" w:rsidR="00FD3A1F" w:rsidRPr="00C5538E" w:rsidRDefault="00FD3A1F" w:rsidP="00523A91">
      <w:pPr>
        <w:pStyle w:val="Normalaftertitle0"/>
        <w:keepNext/>
      </w:pPr>
      <w:r w:rsidRPr="00C5538E">
        <w:t xml:space="preserve">The World Radiocommunication Conference (Dubai, 2023), </w:t>
      </w:r>
    </w:p>
    <w:p w14:paraId="40CA1B58" w14:textId="77777777" w:rsidR="00FD3A1F" w:rsidRPr="00C5538E" w:rsidRDefault="00FD3A1F" w:rsidP="00BD7AD0">
      <w:pPr>
        <w:pStyle w:val="Call"/>
      </w:pPr>
      <w:r w:rsidRPr="00C5538E">
        <w:t>considering</w:t>
      </w:r>
    </w:p>
    <w:p w14:paraId="4E889530" w14:textId="77777777" w:rsidR="00A24E38" w:rsidRPr="00C5538E" w:rsidRDefault="00A24E38" w:rsidP="00A24E38">
      <w:r w:rsidRPr="00C5538E">
        <w:rPr>
          <w:i/>
          <w:color w:val="000000"/>
        </w:rPr>
        <w:t>a)</w:t>
      </w:r>
      <w:r w:rsidRPr="00C5538E">
        <w:rPr>
          <w:i/>
          <w:color w:val="000000"/>
        </w:rPr>
        <w:tab/>
      </w:r>
      <w:r w:rsidRPr="00C5538E">
        <w:t>that International Mobile Telecommunications (IMT), including IMT</w:t>
      </w:r>
      <w:r w:rsidRPr="00C5538E">
        <w:noBreakHyphen/>
        <w:t>2000, IMT</w:t>
      </w:r>
      <w:r w:rsidRPr="00C5538E">
        <w:noBreakHyphen/>
        <w:t>Advanced and IMT</w:t>
      </w:r>
      <w:r w:rsidRPr="00C5538E">
        <w:noBreakHyphen/>
        <w:t>2020, is the ITU vision of global mobile access, and is intended to provide telecommunication services on a worldwide scale, regardless of location and type of network or terminal;</w:t>
      </w:r>
      <w:r w:rsidRPr="00C5538E">
        <w:rPr>
          <w:rFonts w:eastAsia="???"/>
        </w:rPr>
        <w:t xml:space="preserve"> </w:t>
      </w:r>
    </w:p>
    <w:p w14:paraId="68D02442" w14:textId="77777777" w:rsidR="00A24E38" w:rsidRPr="00C5538E" w:rsidRDefault="00A24E38" w:rsidP="00A24E38">
      <w:pPr>
        <w:rPr>
          <w:i/>
        </w:rPr>
      </w:pPr>
      <w:r w:rsidRPr="00C5538E">
        <w:rPr>
          <w:i/>
          <w:color w:val="000000"/>
        </w:rPr>
        <w:lastRenderedPageBreak/>
        <w:t>b)</w:t>
      </w:r>
      <w:r w:rsidRPr="00C5538E">
        <w:rPr>
          <w:i/>
          <w:color w:val="000000"/>
        </w:rPr>
        <w:tab/>
      </w:r>
      <w:r w:rsidRPr="00C5538E">
        <w:t xml:space="preserve">that harmonized worldwide frequency bands for IMT are desirable </w:t>
      </w:r>
      <w:proofErr w:type="gramStart"/>
      <w:r w:rsidRPr="00C5538E">
        <w:t>in order to</w:t>
      </w:r>
      <w:proofErr w:type="gramEnd"/>
      <w:r w:rsidRPr="00C5538E">
        <w:t xml:space="preserve"> achieve global roaming and the benefits of economies of scale;</w:t>
      </w:r>
    </w:p>
    <w:p w14:paraId="140BDF4E" w14:textId="77777777" w:rsidR="00A24E38" w:rsidRPr="00C5538E" w:rsidRDefault="00A24E38" w:rsidP="00A24E38">
      <w:r w:rsidRPr="00C5538E">
        <w:rPr>
          <w:i/>
        </w:rPr>
        <w:t>c)</w:t>
      </w:r>
      <w:r w:rsidRPr="00C5538E">
        <w:tab/>
        <w:t>that identification of frequency bands allocated to the mobile service for IMT may change the sharing situation regarding applications of services to which the frequency band is already allocated, and may require regulatory actions;</w:t>
      </w:r>
    </w:p>
    <w:p w14:paraId="26827952" w14:textId="77777777" w:rsidR="00A24E38" w:rsidRPr="00C5538E" w:rsidRDefault="00A24E38" w:rsidP="00A24E38">
      <w:r w:rsidRPr="00C5538E">
        <w:rPr>
          <w:i/>
          <w:iCs/>
        </w:rPr>
        <w:t>d)</w:t>
      </w:r>
      <w:r w:rsidRPr="00C5538E">
        <w:tab/>
        <w:t>that the ITU Radiocommunication Sector (ITU</w:t>
      </w:r>
      <w:r w:rsidRPr="00C5538E">
        <w:noBreakHyphen/>
        <w:t>R) has studied, in preparation for WRC</w:t>
      </w:r>
      <w:r w:rsidRPr="00C5538E">
        <w:noBreakHyphen/>
        <w:t>23, sharing and compatibility with services allocated in the frequency band 7 025</w:t>
      </w:r>
      <w:r w:rsidRPr="00C5538E">
        <w:noBreakHyphen/>
        <w:t xml:space="preserve">7 125 MHz, </w:t>
      </w:r>
      <w:r w:rsidRPr="00C5538E">
        <w:rPr>
          <w:rFonts w:eastAsia="SimSun"/>
        </w:rPr>
        <w:t xml:space="preserve">and its adjacent band, as appropriate, </w:t>
      </w:r>
      <w:r w:rsidRPr="00C5538E">
        <w:t>based on characteristics available at that time, and results may change if these characteristics change;</w:t>
      </w:r>
    </w:p>
    <w:p w14:paraId="76750B4A" w14:textId="77777777" w:rsidR="00A24E38" w:rsidRPr="00C5538E" w:rsidRDefault="00A24E38" w:rsidP="00A24E38">
      <w:r w:rsidRPr="00C5538E">
        <w:rPr>
          <w:i/>
          <w:iCs/>
        </w:rPr>
        <w:t>e)</w:t>
      </w:r>
      <w:r w:rsidRPr="00C5538E">
        <w:tab/>
        <w:t>that it is assumed that a very limited number of IMT base stations will be communicating with a positive elevation angle towards IMT indoor mobile stations;</w:t>
      </w:r>
    </w:p>
    <w:p w14:paraId="033F012F" w14:textId="77777777" w:rsidR="00A24E38" w:rsidRPr="00C5538E" w:rsidRDefault="00A24E38" w:rsidP="00A24E38">
      <w:r w:rsidRPr="00C5538E">
        <w:rPr>
          <w:i/>
          <w:iCs/>
        </w:rPr>
        <w:t>f)</w:t>
      </w:r>
      <w:r w:rsidRPr="00C5538E">
        <w:tab/>
        <w:t>that the frequency band 7 025-7 125 MHz, or part thereof, is allocated on a primary basis to the fixed, mobile, fixed-satellite (Earth-to-space and space-to-Earth) and space operation services (Earth-to-space),</w:t>
      </w:r>
    </w:p>
    <w:p w14:paraId="567C245D" w14:textId="77777777" w:rsidR="00FD3A1F" w:rsidRPr="00C5538E" w:rsidRDefault="00FD3A1F" w:rsidP="003602CA">
      <w:pPr>
        <w:pStyle w:val="Call"/>
      </w:pPr>
      <w:r w:rsidRPr="00C5538E">
        <w:t>noting</w:t>
      </w:r>
    </w:p>
    <w:p w14:paraId="738BECC2" w14:textId="77777777" w:rsidR="00FD3A1F" w:rsidRPr="00C5538E" w:rsidRDefault="00FD3A1F" w:rsidP="003602CA">
      <w:r w:rsidRPr="00C5538E">
        <w:rPr>
          <w:i/>
        </w:rPr>
        <w:t>a)</w:t>
      </w:r>
      <w:r w:rsidRPr="00C5538E">
        <w:rPr>
          <w:i/>
        </w:rPr>
        <w:tab/>
      </w:r>
      <w:r w:rsidRPr="00C5538E">
        <w:t>Resolutions </w:t>
      </w:r>
      <w:r w:rsidRPr="00C5538E">
        <w:rPr>
          <w:b/>
          <w:bCs/>
        </w:rPr>
        <w:t>223 (Rev.WRC</w:t>
      </w:r>
      <w:r w:rsidRPr="00C5538E">
        <w:rPr>
          <w:b/>
          <w:bCs/>
        </w:rPr>
        <w:noBreakHyphen/>
        <w:t>19)</w:t>
      </w:r>
      <w:r w:rsidRPr="00C5538E">
        <w:t xml:space="preserve">, </w:t>
      </w:r>
      <w:r w:rsidRPr="00C5538E">
        <w:rPr>
          <w:b/>
          <w:bCs/>
        </w:rPr>
        <w:t>224 (Rev.WRC</w:t>
      </w:r>
      <w:r w:rsidRPr="00C5538E">
        <w:rPr>
          <w:b/>
          <w:bCs/>
        </w:rPr>
        <w:noBreakHyphen/>
        <w:t>19)</w:t>
      </w:r>
      <w:r w:rsidRPr="00C5538E">
        <w:t xml:space="preserve">, </w:t>
      </w:r>
      <w:r w:rsidRPr="00C5538E">
        <w:rPr>
          <w:b/>
          <w:bCs/>
        </w:rPr>
        <w:t>225 (Rev.WRC</w:t>
      </w:r>
      <w:r w:rsidRPr="00C5538E">
        <w:rPr>
          <w:b/>
          <w:bCs/>
        </w:rPr>
        <w:noBreakHyphen/>
        <w:t>12)</w:t>
      </w:r>
      <w:r w:rsidRPr="00C5538E">
        <w:t>,</w:t>
      </w:r>
      <w:r w:rsidRPr="00C5538E">
        <w:rPr>
          <w:b/>
          <w:bCs/>
        </w:rPr>
        <w:t xml:space="preserve"> 241 (WRC</w:t>
      </w:r>
      <w:r w:rsidRPr="00C5538E">
        <w:rPr>
          <w:b/>
          <w:bCs/>
        </w:rPr>
        <w:noBreakHyphen/>
        <w:t>19)</w:t>
      </w:r>
      <w:r w:rsidRPr="00C5538E">
        <w:t>,</w:t>
      </w:r>
      <w:r w:rsidRPr="00C5538E">
        <w:rPr>
          <w:b/>
          <w:bCs/>
        </w:rPr>
        <w:t xml:space="preserve"> 242 (WRC</w:t>
      </w:r>
      <w:r w:rsidRPr="00C5538E">
        <w:rPr>
          <w:b/>
          <w:bCs/>
        </w:rPr>
        <w:noBreakHyphen/>
        <w:t xml:space="preserve">19) </w:t>
      </w:r>
      <w:r w:rsidRPr="00C5538E">
        <w:t>and </w:t>
      </w:r>
      <w:r w:rsidRPr="00C5538E">
        <w:rPr>
          <w:b/>
          <w:bCs/>
        </w:rPr>
        <w:t>243 (WRC</w:t>
      </w:r>
      <w:r w:rsidRPr="00C5538E">
        <w:rPr>
          <w:b/>
          <w:bCs/>
        </w:rPr>
        <w:noBreakHyphen/>
        <w:t>19)</w:t>
      </w:r>
      <w:r w:rsidRPr="00C5538E">
        <w:t>, which also relate to IMT;</w:t>
      </w:r>
    </w:p>
    <w:p w14:paraId="5A06BAAC" w14:textId="77777777" w:rsidR="00FD3A1F" w:rsidRPr="00C5538E" w:rsidRDefault="00FD3A1F" w:rsidP="003602CA">
      <w:r w:rsidRPr="00C5538E">
        <w:rPr>
          <w:i/>
          <w:iCs/>
        </w:rPr>
        <w:t>b)</w:t>
      </w:r>
      <w:r w:rsidRPr="00C5538E">
        <w:tab/>
        <w:t>that the IMT terrestrial radio interfaces as defined in Recommendations ITU</w:t>
      </w:r>
      <w:r w:rsidRPr="00C5538E">
        <w:noBreakHyphen/>
        <w:t>R M.1457, ITU</w:t>
      </w:r>
      <w:r w:rsidRPr="00C5538E">
        <w:noBreakHyphen/>
        <w:t xml:space="preserve">R M.2012 </w:t>
      </w:r>
      <w:r w:rsidRPr="00C5538E">
        <w:rPr>
          <w:rFonts w:eastAsia="SimSun"/>
          <w:lang w:eastAsia="zh-CN"/>
        </w:rPr>
        <w:t>and</w:t>
      </w:r>
      <w:r w:rsidRPr="00C5538E">
        <w:rPr>
          <w:rFonts w:eastAsia="SimSun"/>
        </w:rPr>
        <w:t xml:space="preserve"> ITU</w:t>
      </w:r>
      <w:r w:rsidRPr="00C5538E">
        <w:rPr>
          <w:rFonts w:eastAsia="SimSun"/>
        </w:rPr>
        <w:noBreakHyphen/>
        <w:t>R M.2150</w:t>
      </w:r>
      <w:r w:rsidRPr="00C5538E">
        <w:t xml:space="preserve"> are expected to evolve within the framework of ITU</w:t>
      </w:r>
      <w:r w:rsidRPr="00C5538E">
        <w:noBreakHyphen/>
        <w:t>R beyond those initially specified, to provide enhanced services and services beyond those envisaged in the initial implementation;</w:t>
      </w:r>
    </w:p>
    <w:p w14:paraId="4F343D6A" w14:textId="75EF6DA3" w:rsidR="00FD3A1F" w:rsidRPr="00C5538E" w:rsidRDefault="00FD3A1F" w:rsidP="003602CA">
      <w:pPr>
        <w:rPr>
          <w:iCs/>
        </w:rPr>
      </w:pPr>
      <w:r w:rsidRPr="00C5538E">
        <w:rPr>
          <w:i/>
          <w:iCs/>
        </w:rPr>
        <w:t>c)</w:t>
      </w:r>
      <w:r w:rsidRPr="00C5538E">
        <w:tab/>
        <w:t xml:space="preserve">that </w:t>
      </w:r>
      <w:r w:rsidRPr="00C5538E">
        <w:rPr>
          <w:iCs/>
        </w:rPr>
        <w:t>ITU</w:t>
      </w:r>
      <w:r w:rsidRPr="00C5538E">
        <w:rPr>
          <w:iCs/>
        </w:rPr>
        <w:noBreakHyphen/>
        <w:t>R has developed its vision defining the framework and overall objectives of IMT towards 2030 and beyond to drive the future developments for IMT</w:t>
      </w:r>
      <w:r w:rsidR="00A24E38" w:rsidRPr="00C5538E">
        <w:rPr>
          <w:iCs/>
        </w:rPr>
        <w:t>,</w:t>
      </w:r>
    </w:p>
    <w:p w14:paraId="700A6D3A" w14:textId="77777777" w:rsidR="00FD3A1F" w:rsidRPr="00C5538E" w:rsidRDefault="00FD3A1F" w:rsidP="003602CA">
      <w:pPr>
        <w:pStyle w:val="Call"/>
      </w:pPr>
      <w:r w:rsidRPr="00C5538E">
        <w:t>recognizing</w:t>
      </w:r>
    </w:p>
    <w:p w14:paraId="5B0D4C12" w14:textId="77777777" w:rsidR="00FD3A1F" w:rsidRPr="00C5538E" w:rsidRDefault="00FD3A1F" w:rsidP="003602CA">
      <w:pPr>
        <w:rPr>
          <w:rFonts w:eastAsia="???"/>
        </w:rPr>
      </w:pPr>
      <w:r w:rsidRPr="00C5538E">
        <w:rPr>
          <w:rFonts w:eastAsia="???"/>
          <w:i/>
          <w:iCs/>
        </w:rPr>
        <w:t>a)</w:t>
      </w:r>
      <w:r w:rsidRPr="00C5538E">
        <w:rPr>
          <w:rFonts w:eastAsia="???"/>
        </w:rPr>
        <w:tab/>
        <w:t xml:space="preserve">that the identification of a </w:t>
      </w:r>
      <w:r w:rsidRPr="00C5538E">
        <w:t>frequency</w:t>
      </w:r>
      <w:r w:rsidRPr="00C5538E">
        <w:rPr>
          <w:rFonts w:eastAsia="???"/>
        </w:rPr>
        <w:t xml:space="preserve"> band for IMT does not establish priority in the Radio Regulations and does not preclude the use of the</w:t>
      </w:r>
      <w:r w:rsidRPr="00C5538E">
        <w:t xml:space="preserve"> frequency</w:t>
      </w:r>
      <w:r w:rsidRPr="00C5538E">
        <w:rPr>
          <w:rFonts w:eastAsia="???"/>
        </w:rPr>
        <w:t xml:space="preserve"> band by any application of the services to which it is allocated;</w:t>
      </w:r>
    </w:p>
    <w:p w14:paraId="41F05915" w14:textId="77777777" w:rsidR="00FD3A1F" w:rsidRPr="00C5538E" w:rsidRDefault="00FD3A1F" w:rsidP="003602CA">
      <w:pPr>
        <w:rPr>
          <w:rFonts w:eastAsia="???"/>
          <w:iCs/>
        </w:rPr>
      </w:pPr>
      <w:r w:rsidRPr="00C5538E">
        <w:rPr>
          <w:rFonts w:eastAsia="???"/>
          <w:i/>
        </w:rPr>
        <w:t>b)</w:t>
      </w:r>
      <w:r w:rsidRPr="00C5538E">
        <w:rPr>
          <w:rFonts w:eastAsia="???"/>
          <w:iCs/>
        </w:rPr>
        <w:tab/>
        <w:t xml:space="preserve">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w:t>
      </w:r>
      <w:proofErr w:type="gramStart"/>
      <w:r w:rsidRPr="00C5538E">
        <w:rPr>
          <w:rFonts w:eastAsia="???"/>
          <w:iCs/>
        </w:rPr>
        <w:t>station</w:t>
      </w:r>
      <w:proofErr w:type="gramEnd"/>
      <w:r w:rsidRPr="00C5538E">
        <w:rPr>
          <w:rFonts w:eastAsia="???"/>
          <w:iCs/>
        </w:rPr>
        <w:t xml:space="preserve"> and orbital parameters of the feeder links for non-GSO FSS (space-to-Earth);</w:t>
      </w:r>
    </w:p>
    <w:p w14:paraId="6B983596" w14:textId="77777777" w:rsidR="006C4395" w:rsidRPr="00C5538E" w:rsidRDefault="006C4395" w:rsidP="006C4395">
      <w:pPr>
        <w:rPr>
          <w:rFonts w:eastAsia="???"/>
          <w:i/>
        </w:rPr>
      </w:pPr>
      <w:r w:rsidRPr="00C5538E">
        <w:rPr>
          <w:rFonts w:eastAsia="???"/>
          <w:i/>
        </w:rPr>
        <w:t>c)</w:t>
      </w:r>
      <w:r w:rsidRPr="00C5538E">
        <w:rPr>
          <w:rFonts w:eastAsia="???"/>
        </w:rPr>
        <w:tab/>
        <w:t>that some administrations are planning 7 025-7 125 MHz or portions thereof for IMT;</w:t>
      </w:r>
    </w:p>
    <w:p w14:paraId="609B12B3" w14:textId="77777777" w:rsidR="009D08D7" w:rsidRPr="00C5538E" w:rsidRDefault="009D08D7" w:rsidP="009D08D7">
      <w:r w:rsidRPr="00C5538E">
        <w:rPr>
          <w:rFonts w:eastAsia="???"/>
          <w:i/>
        </w:rPr>
        <w:t>d)</w:t>
      </w:r>
      <w:r w:rsidRPr="00C5538E">
        <w:rPr>
          <w:rFonts w:eastAsia="???"/>
          <w:iCs/>
        </w:rPr>
        <w:tab/>
        <w:t>that some administrations are using and planning 7 025-7 125 MHz or portions thereof for other applications of the mobile service, including other wireless access systems</w:t>
      </w:r>
      <w:r w:rsidRPr="00C5538E">
        <w:t>,</w:t>
      </w:r>
    </w:p>
    <w:p w14:paraId="69C1F428" w14:textId="77777777" w:rsidR="00FD3A1F" w:rsidRPr="00C5538E" w:rsidRDefault="00FD3A1F" w:rsidP="003602CA">
      <w:pPr>
        <w:pStyle w:val="Call"/>
      </w:pPr>
      <w:r w:rsidRPr="00C5538E">
        <w:t>resolves</w:t>
      </w:r>
    </w:p>
    <w:p w14:paraId="50C07FBE" w14:textId="052FD2F7" w:rsidR="00FD3A1F" w:rsidRPr="00C5538E" w:rsidRDefault="00FD3A1F" w:rsidP="003602CA">
      <w:pPr>
        <w:rPr>
          <w:lang w:eastAsia="ja-JP"/>
        </w:rPr>
      </w:pPr>
      <w:r w:rsidRPr="00C5538E">
        <w:rPr>
          <w:lang w:eastAsia="ja-JP"/>
        </w:rPr>
        <w:t>1</w:t>
      </w:r>
      <w:r w:rsidRPr="00C5538E">
        <w:rPr>
          <w:lang w:eastAsia="ja-JP"/>
        </w:rPr>
        <w:tab/>
        <w:t>that administrations wishing to implement IMT consider use of the frequency band 7 025-7 125 MHz identified for IMT in all Regions in No. </w:t>
      </w:r>
      <w:r w:rsidRPr="00C5538E">
        <w:rPr>
          <w:rStyle w:val="Artref"/>
          <w:b/>
          <w:bCs/>
        </w:rPr>
        <w:t>5.C12</w:t>
      </w:r>
      <w:r w:rsidRPr="00C5538E">
        <w:rPr>
          <w:lang w:eastAsia="ja-JP"/>
        </w:rPr>
        <w:t xml:space="preserve">, </w:t>
      </w:r>
      <w:proofErr w:type="gramStart"/>
      <w:r w:rsidRPr="00C5538E">
        <w:rPr>
          <w:lang w:eastAsia="ja-JP"/>
        </w:rPr>
        <w:t>taking into account</w:t>
      </w:r>
      <w:proofErr w:type="gramEnd"/>
      <w:r w:rsidRPr="00C5538E">
        <w:rPr>
          <w:lang w:eastAsia="ja-JP"/>
        </w:rPr>
        <w:t xml:space="preserve"> the latest relevant ITU</w:t>
      </w:r>
      <w:r w:rsidRPr="00C5538E">
        <w:rPr>
          <w:lang w:eastAsia="ja-JP"/>
        </w:rPr>
        <w:noBreakHyphen/>
        <w:t>R Recommendations;</w:t>
      </w:r>
    </w:p>
    <w:p w14:paraId="612AEFBA" w14:textId="77777777" w:rsidR="00460D48" w:rsidRPr="00C5538E" w:rsidRDefault="00460D48" w:rsidP="00460D48">
      <w:pPr>
        <w:rPr>
          <w:lang w:eastAsia="ja-JP"/>
        </w:rPr>
      </w:pPr>
      <w:r w:rsidRPr="00C5538E">
        <w:rPr>
          <w:lang w:eastAsia="ja-JP"/>
        </w:rPr>
        <w:t>2</w:t>
      </w:r>
      <w:r w:rsidRPr="00C5538E">
        <w:rPr>
          <w:lang w:eastAsia="ja-JP"/>
        </w:rPr>
        <w:tab/>
        <w:t>that administrations wishing to implement IMT in the frequency band 7 025-7 075 MHz shall apply the following conditions to IMT to ensure the protection, continued use and future development of the fixed-satellite service (Earth-to-space):</w:t>
      </w:r>
    </w:p>
    <w:p w14:paraId="541E9774" w14:textId="77777777" w:rsidR="00460D48" w:rsidRPr="00C5538E" w:rsidRDefault="00460D48" w:rsidP="00460D48">
      <w:r w:rsidRPr="00C5538E">
        <w:rPr>
          <w:lang w:eastAsia="ja-JP"/>
        </w:rPr>
        <w:lastRenderedPageBreak/>
        <w:t>2.1</w:t>
      </w:r>
      <w:r w:rsidRPr="00C5538E">
        <w:rPr>
          <w:lang w:eastAsia="ja-JP"/>
        </w:rPr>
        <w:tab/>
      </w:r>
      <w:r w:rsidRPr="00C5538E">
        <w:t>the level of expected equivalent isotropically radiated power (e.i.r.p.) emitted by an IMT base station as a function of vertical angle above the horizon in the frequency band 7 025-7 075 MHz or part thereof shall not exceed the following values:</w:t>
      </w:r>
    </w:p>
    <w:p w14:paraId="37779010" w14:textId="77777777" w:rsidR="00453548" w:rsidRPr="00C5538E" w:rsidRDefault="00453548" w:rsidP="004535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453548" w:rsidRPr="00C5538E" w14:paraId="26BC7042" w14:textId="77777777" w:rsidTr="0047559A">
        <w:tc>
          <w:tcPr>
            <w:tcW w:w="4814" w:type="dxa"/>
            <w:vAlign w:val="center"/>
            <w:hideMark/>
          </w:tcPr>
          <w:p w14:paraId="4D3BCD9F" w14:textId="77777777" w:rsidR="00453548" w:rsidRPr="00C5538E" w:rsidRDefault="00453548" w:rsidP="0047559A">
            <w:pPr>
              <w:pStyle w:val="Tablehead"/>
              <w:rPr>
                <w:lang w:eastAsia="zh-CN"/>
              </w:rPr>
            </w:pPr>
            <w:r w:rsidRPr="00C5538E">
              <w:rPr>
                <w:lang w:eastAsia="zh-CN"/>
              </w:rPr>
              <w:t>Vertical angle measurement window</w:t>
            </w:r>
            <w:r w:rsidRPr="00C5538E">
              <w:rPr>
                <w:lang w:eastAsia="zh-CN"/>
              </w:rPr>
              <w:br/>
            </w:r>
            <w:r w:rsidRPr="00C5538E">
              <w:rPr>
                <w:rFonts w:eastAsia="Calibri"/>
              </w:rPr>
              <w:t>θ</w:t>
            </w:r>
            <w:r w:rsidRPr="00C5538E">
              <w:rPr>
                <w:rFonts w:eastAsia="Calibri"/>
                <w:i/>
                <w:iCs/>
                <w:vertAlign w:val="subscript"/>
              </w:rPr>
              <w:t>L</w:t>
            </w:r>
            <w:r w:rsidRPr="00C5538E">
              <w:rPr>
                <w:rFonts w:eastAsia="Calibri"/>
              </w:rPr>
              <w:t> ≤ θ &lt; θ</w:t>
            </w:r>
            <w:r w:rsidRPr="00C5538E">
              <w:rPr>
                <w:rFonts w:eastAsia="Calibri"/>
                <w:i/>
                <w:iCs/>
                <w:vertAlign w:val="subscript"/>
              </w:rPr>
              <w:t>H</w:t>
            </w:r>
            <w:r w:rsidRPr="00C5538E">
              <w:rPr>
                <w:lang w:eastAsia="zh-CN"/>
              </w:rPr>
              <w:br/>
              <w:t>(vertical angle θ above horizon)</w:t>
            </w:r>
          </w:p>
        </w:tc>
        <w:tc>
          <w:tcPr>
            <w:tcW w:w="4815" w:type="dxa"/>
            <w:vAlign w:val="center"/>
            <w:hideMark/>
          </w:tcPr>
          <w:p w14:paraId="0A4C288D" w14:textId="77777777" w:rsidR="00453548" w:rsidRPr="00C5538E" w:rsidRDefault="00453548" w:rsidP="0047559A">
            <w:pPr>
              <w:pStyle w:val="Tablehead"/>
              <w:rPr>
                <w:lang w:eastAsia="zh-CN"/>
              </w:rPr>
            </w:pPr>
            <w:r w:rsidRPr="00C5538E">
              <w:rPr>
                <w:rFonts w:eastAsia="SimSun"/>
                <w:lang w:eastAsia="zh-CN"/>
              </w:rPr>
              <w:t xml:space="preserve">Expected e.i.r.p. </w:t>
            </w:r>
            <w:r w:rsidRPr="00C5538E">
              <w:rPr>
                <w:rFonts w:eastAsia="SimSun"/>
                <w:lang w:eastAsia="zh-CN"/>
              </w:rPr>
              <w:br/>
              <w:t xml:space="preserve">(dBm/MHz) </w:t>
            </w:r>
            <w:r w:rsidRPr="00C5538E">
              <w:rPr>
                <w:rFonts w:eastAsia="SimSun"/>
                <w:lang w:eastAsia="zh-CN"/>
              </w:rPr>
              <w:br/>
              <w:t>(NOTE 1)</w:t>
            </w:r>
          </w:p>
        </w:tc>
      </w:tr>
      <w:tr w:rsidR="00453548" w:rsidRPr="00C5538E" w14:paraId="689DA804" w14:textId="77777777" w:rsidTr="0047559A">
        <w:tc>
          <w:tcPr>
            <w:tcW w:w="4814" w:type="dxa"/>
            <w:hideMark/>
          </w:tcPr>
          <w:p w14:paraId="262B4EF2" w14:textId="77777777" w:rsidR="00453548" w:rsidRPr="00C5538E" w:rsidRDefault="00453548" w:rsidP="00EC5B4C">
            <w:pPr>
              <w:pStyle w:val="Tabletext"/>
              <w:keepNext/>
              <w:jc w:val="center"/>
              <w:rPr>
                <w:lang w:eastAsia="zh-CN"/>
              </w:rPr>
            </w:pPr>
            <w:r w:rsidRPr="00C5538E">
              <w:t>0</w:t>
            </w:r>
            <w:r w:rsidRPr="00C5538E">
              <w:sym w:font="Symbol" w:char="F0B0"/>
            </w:r>
            <w:r w:rsidRPr="00C5538E">
              <w:t xml:space="preserve"> </w:t>
            </w:r>
            <w:r w:rsidRPr="00C5538E">
              <w:rPr>
                <w:lang w:eastAsia="zh-CN"/>
              </w:rPr>
              <w:t>≤</w:t>
            </w:r>
            <w:r w:rsidRPr="00C5538E">
              <w:rPr>
                <w:i/>
                <w:iCs/>
                <w:lang w:eastAsia="zh-CN"/>
              </w:rPr>
              <w:t xml:space="preserve"> </w:t>
            </w:r>
            <w:r w:rsidRPr="00C5538E">
              <w:rPr>
                <w:lang w:eastAsia="zh-CN"/>
              </w:rPr>
              <w:t>θ &lt;</w:t>
            </w:r>
            <w:r w:rsidRPr="00C5538E">
              <w:t xml:space="preserve"> 5</w:t>
            </w:r>
            <w:r w:rsidRPr="00C5538E">
              <w:sym w:font="Symbol" w:char="F0B0"/>
            </w:r>
          </w:p>
        </w:tc>
        <w:tc>
          <w:tcPr>
            <w:tcW w:w="4815" w:type="dxa"/>
            <w:hideMark/>
          </w:tcPr>
          <w:p w14:paraId="668071E1" w14:textId="77777777" w:rsidR="00453548" w:rsidRPr="00C5538E" w:rsidRDefault="00453548" w:rsidP="00EC5B4C">
            <w:pPr>
              <w:pStyle w:val="Tabletext"/>
              <w:keepNext/>
              <w:jc w:val="center"/>
            </w:pPr>
            <w:r w:rsidRPr="00C5538E">
              <w:t>32</w:t>
            </w:r>
          </w:p>
        </w:tc>
      </w:tr>
      <w:tr w:rsidR="00453548" w:rsidRPr="00C5538E" w14:paraId="48B06E0B" w14:textId="77777777" w:rsidTr="0047559A">
        <w:tc>
          <w:tcPr>
            <w:tcW w:w="4814" w:type="dxa"/>
            <w:hideMark/>
          </w:tcPr>
          <w:p w14:paraId="03439525" w14:textId="77777777" w:rsidR="00453548" w:rsidRPr="00C5538E" w:rsidRDefault="00453548" w:rsidP="00EC5B4C">
            <w:pPr>
              <w:pStyle w:val="Tabletext"/>
              <w:keepNext/>
              <w:jc w:val="center"/>
            </w:pPr>
            <w:r w:rsidRPr="00C5538E">
              <w:t>5</w:t>
            </w:r>
            <w:r w:rsidRPr="00C5538E">
              <w:sym w:font="Symbol" w:char="F0B0"/>
            </w:r>
            <w:r w:rsidRPr="00C5538E">
              <w:t xml:space="preserve"> </w:t>
            </w:r>
            <w:r w:rsidRPr="00C5538E">
              <w:rPr>
                <w:lang w:eastAsia="zh-CN"/>
              </w:rPr>
              <w:t>≤</w:t>
            </w:r>
            <w:r w:rsidRPr="00C5538E">
              <w:rPr>
                <w:i/>
                <w:iCs/>
                <w:lang w:eastAsia="zh-CN"/>
              </w:rPr>
              <w:t xml:space="preserve"> </w:t>
            </w:r>
            <w:r w:rsidRPr="00C5538E">
              <w:rPr>
                <w:lang w:eastAsia="zh-CN"/>
              </w:rPr>
              <w:t>θ</w:t>
            </w:r>
            <w:r w:rsidRPr="00C5538E">
              <w:rPr>
                <w:i/>
                <w:iCs/>
                <w:lang w:eastAsia="zh-CN"/>
              </w:rPr>
              <w:t xml:space="preserve"> </w:t>
            </w:r>
            <w:r w:rsidRPr="00C5538E">
              <w:rPr>
                <w:lang w:eastAsia="zh-CN"/>
              </w:rPr>
              <w:t>&lt;</w:t>
            </w:r>
            <w:r w:rsidRPr="00C5538E">
              <w:t xml:space="preserve"> 10</w:t>
            </w:r>
            <w:r w:rsidRPr="00C5538E">
              <w:sym w:font="Symbol" w:char="F0B0"/>
            </w:r>
          </w:p>
        </w:tc>
        <w:tc>
          <w:tcPr>
            <w:tcW w:w="4815" w:type="dxa"/>
            <w:hideMark/>
          </w:tcPr>
          <w:p w14:paraId="52BD714D" w14:textId="77777777" w:rsidR="00453548" w:rsidRPr="00C5538E" w:rsidRDefault="00453548" w:rsidP="00EC5B4C">
            <w:pPr>
              <w:pStyle w:val="Tabletext"/>
              <w:keepNext/>
              <w:jc w:val="center"/>
            </w:pPr>
            <w:r w:rsidRPr="00C5538E">
              <w:t>28</w:t>
            </w:r>
          </w:p>
        </w:tc>
      </w:tr>
      <w:tr w:rsidR="00453548" w:rsidRPr="00C5538E" w14:paraId="199B5499" w14:textId="77777777" w:rsidTr="0047559A">
        <w:tc>
          <w:tcPr>
            <w:tcW w:w="4814" w:type="dxa"/>
            <w:hideMark/>
          </w:tcPr>
          <w:p w14:paraId="337A6906" w14:textId="77777777" w:rsidR="00453548" w:rsidRPr="00C5538E" w:rsidRDefault="00453548" w:rsidP="00EC5B4C">
            <w:pPr>
              <w:pStyle w:val="Tabletext"/>
              <w:keepNext/>
              <w:jc w:val="center"/>
            </w:pPr>
            <w:r w:rsidRPr="00C5538E">
              <w:t>10</w:t>
            </w:r>
            <w:r w:rsidRPr="00C5538E">
              <w:sym w:font="Symbol" w:char="F0B0"/>
            </w:r>
            <w:r w:rsidRPr="00C5538E">
              <w:t xml:space="preserve"> </w:t>
            </w:r>
            <w:r w:rsidRPr="00C5538E">
              <w:rPr>
                <w:lang w:eastAsia="zh-CN"/>
              </w:rPr>
              <w:t>≤ θ</w:t>
            </w:r>
            <w:r w:rsidRPr="00C5538E">
              <w:rPr>
                <w:i/>
                <w:iCs/>
                <w:lang w:eastAsia="zh-CN"/>
              </w:rPr>
              <w:t xml:space="preserve"> </w:t>
            </w:r>
            <w:r w:rsidRPr="00C5538E">
              <w:rPr>
                <w:lang w:eastAsia="zh-CN"/>
              </w:rPr>
              <w:t>&lt;</w:t>
            </w:r>
            <w:r w:rsidRPr="00C5538E">
              <w:t xml:space="preserve"> 15</w:t>
            </w:r>
            <w:r w:rsidRPr="00C5538E">
              <w:sym w:font="Symbol" w:char="F0B0"/>
            </w:r>
          </w:p>
        </w:tc>
        <w:tc>
          <w:tcPr>
            <w:tcW w:w="4815" w:type="dxa"/>
            <w:hideMark/>
          </w:tcPr>
          <w:p w14:paraId="7A1BDA87" w14:textId="77777777" w:rsidR="00453548" w:rsidRPr="00C5538E" w:rsidRDefault="00453548" w:rsidP="00EC5B4C">
            <w:pPr>
              <w:pStyle w:val="Tabletext"/>
              <w:keepNext/>
              <w:jc w:val="center"/>
            </w:pPr>
            <w:r w:rsidRPr="00C5538E">
              <w:t>24</w:t>
            </w:r>
          </w:p>
        </w:tc>
      </w:tr>
      <w:tr w:rsidR="00453548" w:rsidRPr="00C5538E" w14:paraId="61F6570D" w14:textId="77777777" w:rsidTr="0047559A">
        <w:tc>
          <w:tcPr>
            <w:tcW w:w="4814" w:type="dxa"/>
            <w:hideMark/>
          </w:tcPr>
          <w:p w14:paraId="77092641" w14:textId="77777777" w:rsidR="00453548" w:rsidRPr="00C5538E" w:rsidRDefault="00453548" w:rsidP="00EC5B4C">
            <w:pPr>
              <w:pStyle w:val="Tabletext"/>
              <w:keepNext/>
              <w:jc w:val="center"/>
            </w:pPr>
            <w:r w:rsidRPr="00C5538E">
              <w:t>15</w:t>
            </w:r>
            <w:r w:rsidRPr="00C5538E">
              <w:sym w:font="Symbol" w:char="F0B0"/>
            </w:r>
            <w:r w:rsidRPr="00C5538E">
              <w:t xml:space="preserve"> </w:t>
            </w:r>
            <w:r w:rsidRPr="00C5538E">
              <w:rPr>
                <w:lang w:eastAsia="zh-CN"/>
              </w:rPr>
              <w:t>≤ θ &lt;</w:t>
            </w:r>
            <w:r w:rsidRPr="00C5538E">
              <w:t xml:space="preserve"> 20</w:t>
            </w:r>
            <w:r w:rsidRPr="00C5538E">
              <w:sym w:font="Symbol" w:char="F0B0"/>
            </w:r>
          </w:p>
        </w:tc>
        <w:tc>
          <w:tcPr>
            <w:tcW w:w="4815" w:type="dxa"/>
            <w:hideMark/>
          </w:tcPr>
          <w:p w14:paraId="350D800E" w14:textId="77777777" w:rsidR="00453548" w:rsidRPr="00C5538E" w:rsidRDefault="00453548" w:rsidP="00EC5B4C">
            <w:pPr>
              <w:pStyle w:val="Tabletext"/>
              <w:keepNext/>
              <w:jc w:val="center"/>
            </w:pPr>
            <w:r w:rsidRPr="00C5538E">
              <w:t>24</w:t>
            </w:r>
          </w:p>
        </w:tc>
      </w:tr>
      <w:tr w:rsidR="00453548" w:rsidRPr="00C5538E" w14:paraId="543916CD" w14:textId="77777777" w:rsidTr="0047559A">
        <w:tc>
          <w:tcPr>
            <w:tcW w:w="4814" w:type="dxa"/>
            <w:hideMark/>
          </w:tcPr>
          <w:p w14:paraId="42766FE1" w14:textId="77777777" w:rsidR="00453548" w:rsidRPr="00C5538E" w:rsidRDefault="00453548" w:rsidP="00EC5B4C">
            <w:pPr>
              <w:pStyle w:val="Tabletext"/>
              <w:keepNext/>
              <w:jc w:val="center"/>
            </w:pPr>
            <w:r w:rsidRPr="00C5538E">
              <w:t>20</w:t>
            </w:r>
            <w:r w:rsidRPr="00C5538E">
              <w:sym w:font="Symbol" w:char="F0B0"/>
            </w:r>
            <w:r w:rsidRPr="00C5538E">
              <w:t xml:space="preserve"> </w:t>
            </w:r>
            <w:r w:rsidRPr="00C5538E">
              <w:rPr>
                <w:lang w:eastAsia="zh-CN"/>
              </w:rPr>
              <w:t>≤ θ &lt;</w:t>
            </w:r>
            <w:r w:rsidRPr="00C5538E">
              <w:t xml:space="preserve"> 30</w:t>
            </w:r>
            <w:r w:rsidRPr="00C5538E">
              <w:sym w:font="Symbol" w:char="F0B0"/>
            </w:r>
          </w:p>
        </w:tc>
        <w:tc>
          <w:tcPr>
            <w:tcW w:w="4815" w:type="dxa"/>
            <w:hideMark/>
          </w:tcPr>
          <w:p w14:paraId="54AEE2A1" w14:textId="77777777" w:rsidR="00453548" w:rsidRPr="00C5538E" w:rsidRDefault="00453548" w:rsidP="00EC5B4C">
            <w:pPr>
              <w:pStyle w:val="Tabletext"/>
              <w:keepNext/>
              <w:jc w:val="center"/>
            </w:pPr>
            <w:r w:rsidRPr="00C5538E">
              <w:t>20</w:t>
            </w:r>
          </w:p>
        </w:tc>
      </w:tr>
      <w:tr w:rsidR="00453548" w:rsidRPr="00C5538E" w14:paraId="313E97EF" w14:textId="77777777" w:rsidTr="0047559A">
        <w:tc>
          <w:tcPr>
            <w:tcW w:w="4814" w:type="dxa"/>
            <w:hideMark/>
          </w:tcPr>
          <w:p w14:paraId="2D2C87EC" w14:textId="77777777" w:rsidR="00453548" w:rsidRPr="00C5538E" w:rsidRDefault="00453548" w:rsidP="00EC5B4C">
            <w:pPr>
              <w:pStyle w:val="Tabletext"/>
              <w:keepNext/>
              <w:jc w:val="center"/>
            </w:pPr>
            <w:r w:rsidRPr="00C5538E">
              <w:t>30</w:t>
            </w:r>
            <w:r w:rsidRPr="00C5538E">
              <w:sym w:font="Symbol" w:char="F0B0"/>
            </w:r>
            <w:r w:rsidRPr="00C5538E">
              <w:t xml:space="preserve"> </w:t>
            </w:r>
            <w:r w:rsidRPr="00C5538E">
              <w:rPr>
                <w:lang w:eastAsia="zh-CN"/>
              </w:rPr>
              <w:t>≤ θ &lt;</w:t>
            </w:r>
            <w:r w:rsidRPr="00C5538E">
              <w:t xml:space="preserve"> 60</w:t>
            </w:r>
            <w:r w:rsidRPr="00C5538E">
              <w:sym w:font="Symbol" w:char="F0B0"/>
            </w:r>
          </w:p>
        </w:tc>
        <w:tc>
          <w:tcPr>
            <w:tcW w:w="4815" w:type="dxa"/>
            <w:hideMark/>
          </w:tcPr>
          <w:p w14:paraId="20672D39" w14:textId="77777777" w:rsidR="00453548" w:rsidRPr="00C5538E" w:rsidRDefault="00453548" w:rsidP="00EC5B4C">
            <w:pPr>
              <w:pStyle w:val="Tabletext"/>
              <w:keepNext/>
              <w:jc w:val="center"/>
            </w:pPr>
            <w:r w:rsidRPr="00C5538E">
              <w:t>18</w:t>
            </w:r>
          </w:p>
        </w:tc>
      </w:tr>
      <w:tr w:rsidR="00453548" w:rsidRPr="00C5538E" w14:paraId="233B098C" w14:textId="77777777" w:rsidTr="0047559A">
        <w:tc>
          <w:tcPr>
            <w:tcW w:w="4814" w:type="dxa"/>
            <w:tcBorders>
              <w:bottom w:val="single" w:sz="4" w:space="0" w:color="auto"/>
            </w:tcBorders>
            <w:hideMark/>
          </w:tcPr>
          <w:p w14:paraId="49577674" w14:textId="77777777" w:rsidR="00453548" w:rsidRPr="00C5538E" w:rsidRDefault="00453548" w:rsidP="00EC5B4C">
            <w:pPr>
              <w:pStyle w:val="Tabletext"/>
              <w:keepNext/>
              <w:jc w:val="center"/>
            </w:pPr>
            <w:r w:rsidRPr="00C5538E">
              <w:t>60</w:t>
            </w:r>
            <w:r w:rsidRPr="00C5538E">
              <w:sym w:font="Symbol" w:char="F0B0"/>
            </w:r>
            <w:r w:rsidRPr="00C5538E">
              <w:t xml:space="preserve"> </w:t>
            </w:r>
            <w:r w:rsidRPr="00C5538E">
              <w:rPr>
                <w:lang w:eastAsia="zh-CN"/>
              </w:rPr>
              <w:t>≤ θ</w:t>
            </w:r>
            <w:r w:rsidRPr="00C5538E">
              <w:rPr>
                <w:i/>
                <w:iCs/>
                <w:lang w:eastAsia="zh-CN"/>
              </w:rPr>
              <w:t xml:space="preserve"> </w:t>
            </w:r>
            <w:r w:rsidRPr="00C5538E">
              <w:rPr>
                <w:lang w:eastAsia="zh-CN"/>
              </w:rPr>
              <w:t>≤</w:t>
            </w:r>
            <w:r w:rsidRPr="00C5538E">
              <w:t xml:space="preserve"> 90</w:t>
            </w:r>
            <w:r w:rsidRPr="00C5538E">
              <w:sym w:font="Symbol" w:char="F0B0"/>
            </w:r>
          </w:p>
        </w:tc>
        <w:tc>
          <w:tcPr>
            <w:tcW w:w="4815" w:type="dxa"/>
            <w:tcBorders>
              <w:bottom w:val="single" w:sz="4" w:space="0" w:color="auto"/>
            </w:tcBorders>
            <w:hideMark/>
          </w:tcPr>
          <w:p w14:paraId="3B6816AF" w14:textId="77777777" w:rsidR="00453548" w:rsidRPr="00C5538E" w:rsidRDefault="00453548" w:rsidP="00EC5B4C">
            <w:pPr>
              <w:pStyle w:val="Tabletext"/>
              <w:keepNext/>
              <w:jc w:val="center"/>
            </w:pPr>
            <w:r w:rsidRPr="00C5538E">
              <w:t>17</w:t>
            </w:r>
          </w:p>
        </w:tc>
      </w:tr>
      <w:tr w:rsidR="00453548" w:rsidRPr="00C5538E" w14:paraId="69F25AD4" w14:textId="77777777" w:rsidTr="0047559A">
        <w:tc>
          <w:tcPr>
            <w:tcW w:w="9629" w:type="dxa"/>
            <w:gridSpan w:val="2"/>
            <w:tcBorders>
              <w:top w:val="single" w:sz="4" w:space="0" w:color="auto"/>
              <w:left w:val="nil"/>
              <w:bottom w:val="nil"/>
              <w:right w:val="nil"/>
            </w:tcBorders>
            <w:hideMark/>
          </w:tcPr>
          <w:p w14:paraId="2AEA0EC3" w14:textId="77777777" w:rsidR="00453548" w:rsidRPr="00C5538E" w:rsidRDefault="00453548" w:rsidP="0047559A">
            <w:pPr>
              <w:pStyle w:val="Tablelegend"/>
            </w:pPr>
            <w:r w:rsidRPr="00C5538E">
              <w:t>NOTE 1: The expected e.i.r.p. is defined as the average value of the e.i.r.p., with the averaging being performed:</w:t>
            </w:r>
          </w:p>
          <w:p w14:paraId="70450C94" w14:textId="77777777" w:rsidR="00453548" w:rsidRPr="00C5538E" w:rsidRDefault="00453548" w:rsidP="0047559A">
            <w:pPr>
              <w:pStyle w:val="Tablelegend"/>
              <w:ind w:left="284" w:hanging="284"/>
            </w:pPr>
            <w:r w:rsidRPr="00C5538E">
              <w:t>–</w:t>
            </w:r>
            <w:r w:rsidRPr="00C5538E">
              <w:tab/>
              <w:t>over horizontal angles between −180</w:t>
            </w:r>
            <w:r w:rsidRPr="00C5538E">
              <w:rPr>
                <w:szCs w:val="18"/>
              </w:rPr>
              <w:sym w:font="Symbol" w:char="F0B0"/>
            </w:r>
            <w:r w:rsidRPr="00C5538E">
              <w:t xml:space="preserve"> to +180</w:t>
            </w:r>
            <w:r w:rsidRPr="00C5538E">
              <w:rPr>
                <w:szCs w:val="18"/>
              </w:rPr>
              <w:sym w:font="Symbol" w:char="F0B0"/>
            </w:r>
            <w:r w:rsidRPr="00C5538E">
              <w:t xml:space="preserve">, and the IMT base station beamforming in a specific direction within its steering range, </w:t>
            </w:r>
          </w:p>
          <w:p w14:paraId="24007D62" w14:textId="77777777" w:rsidR="00453548" w:rsidRPr="00C5538E" w:rsidRDefault="00453548" w:rsidP="0047559A">
            <w:pPr>
              <w:pStyle w:val="Tablelegend"/>
              <w:ind w:left="284" w:hanging="284"/>
            </w:pPr>
            <w:r w:rsidRPr="00C5538E">
              <w:t>–</w:t>
            </w:r>
            <w:r w:rsidRPr="00C5538E">
              <w:tab/>
              <w:t>over different beamforming directions within the IMT base station steering range, and</w:t>
            </w:r>
          </w:p>
          <w:p w14:paraId="41D6D691" w14:textId="77777777" w:rsidR="00453548" w:rsidRPr="00C5538E" w:rsidRDefault="00453548" w:rsidP="0047559A">
            <w:pPr>
              <w:pStyle w:val="Tablelegend"/>
              <w:ind w:left="284" w:hanging="284"/>
            </w:pPr>
            <w:r w:rsidRPr="00C5538E">
              <w:t>–</w:t>
            </w:r>
            <w:r w:rsidRPr="00C5538E">
              <w:tab/>
              <w:t>over the specified vertical angle measurement window θ</w:t>
            </w:r>
            <w:r w:rsidRPr="00C5538E">
              <w:rPr>
                <w:i/>
                <w:iCs/>
                <w:vertAlign w:val="subscript"/>
              </w:rPr>
              <w:t>L</w:t>
            </w:r>
            <w:r w:rsidRPr="00C5538E">
              <w:t> ≤ θ &lt; θ</w:t>
            </w:r>
            <w:r w:rsidRPr="00C5538E">
              <w:rPr>
                <w:i/>
                <w:iCs/>
                <w:vertAlign w:val="subscript"/>
              </w:rPr>
              <w:t>H</w:t>
            </w:r>
            <w:r w:rsidRPr="00C5538E">
              <w:t>.</w:t>
            </w:r>
          </w:p>
        </w:tc>
      </w:tr>
    </w:tbl>
    <w:p w14:paraId="059A6DAE" w14:textId="77777777" w:rsidR="00453548" w:rsidRPr="00C5538E" w:rsidRDefault="00453548" w:rsidP="00453548">
      <w:pPr>
        <w:pStyle w:val="Tablefin"/>
      </w:pPr>
    </w:p>
    <w:p w14:paraId="6628D246" w14:textId="7C272A9B" w:rsidR="00FD3A1F" w:rsidRPr="00C5538E" w:rsidRDefault="00FD3A1F" w:rsidP="00FF7E85">
      <w:pPr>
        <w:pStyle w:val="Call"/>
      </w:pPr>
      <w:r w:rsidRPr="00C5538E">
        <w:t>invites administrations</w:t>
      </w:r>
    </w:p>
    <w:p w14:paraId="4717BC05" w14:textId="77777777" w:rsidR="00FD3A1F" w:rsidRPr="00C5538E" w:rsidRDefault="00FD3A1F" w:rsidP="00FF7E85">
      <w:pPr>
        <w:rPr>
          <w:lang w:eastAsia="ja-JP"/>
        </w:rPr>
      </w:pPr>
      <w:r w:rsidRPr="00C5538E">
        <w:rPr>
          <w:lang w:eastAsia="ja-JP"/>
        </w:rPr>
        <w:t xml:space="preserve">to </w:t>
      </w:r>
      <w:proofErr w:type="gramStart"/>
      <w:r w:rsidRPr="00C5538E">
        <w:rPr>
          <w:lang w:eastAsia="ja-JP"/>
        </w:rPr>
        <w:t>take into account</w:t>
      </w:r>
      <w:proofErr w:type="gramEnd"/>
      <w:r w:rsidRPr="00C5538E">
        <w:rPr>
          <w:lang w:eastAsia="ja-JP"/>
        </w:rPr>
        <w:t xml:space="preserve"> the benefits of harmonized utilization of the spectrum for the terrestrial component of IMT,</w:t>
      </w:r>
    </w:p>
    <w:p w14:paraId="7494D791" w14:textId="77777777" w:rsidR="00FD3A1F" w:rsidRPr="00C5538E" w:rsidRDefault="00FD3A1F" w:rsidP="00FF7E85">
      <w:pPr>
        <w:pStyle w:val="Call"/>
      </w:pPr>
      <w:r w:rsidRPr="00C5538E">
        <w:t>invites the ITU Radiocommunication Sector</w:t>
      </w:r>
    </w:p>
    <w:p w14:paraId="0D1EC805" w14:textId="6C67660B" w:rsidR="00FD3A1F" w:rsidRPr="00C5538E" w:rsidRDefault="00FD3A1F" w:rsidP="00FF7E85">
      <w:pPr>
        <w:rPr>
          <w:lang w:eastAsia="ja-JP"/>
        </w:rPr>
      </w:pPr>
      <w:r w:rsidRPr="00C5538E">
        <w:rPr>
          <w:lang w:eastAsia="ja-JP"/>
        </w:rPr>
        <w:t>1</w:t>
      </w:r>
      <w:r w:rsidRPr="00C5538E">
        <w:rPr>
          <w:lang w:eastAsia="ja-JP"/>
        </w:rPr>
        <w:tab/>
        <w:t xml:space="preserve">to develop harmonized frequency arrangements to facilitate IMT deployment in the frequency band </w:t>
      </w:r>
      <w:r w:rsidRPr="00C5538E">
        <w:rPr>
          <w:color w:val="000000"/>
          <w:lang w:eastAsia="en-GB"/>
        </w:rPr>
        <w:t>7 025-7 125 MHz in all Regions</w:t>
      </w:r>
      <w:r w:rsidRPr="00C5538E">
        <w:rPr>
          <w:lang w:eastAsia="ja-JP"/>
        </w:rPr>
        <w:t>;</w:t>
      </w:r>
    </w:p>
    <w:p w14:paraId="70EC227C" w14:textId="77777777" w:rsidR="00FD3A1F" w:rsidRPr="00C5538E" w:rsidRDefault="00FD3A1F" w:rsidP="00FF7E85">
      <w:r w:rsidRPr="00C5538E">
        <w:t>2</w:t>
      </w:r>
      <w:r w:rsidRPr="00C5538E">
        <w:tab/>
        <w:t>to continue providing guidance to ensure that IMT can meet the telecommunication needs of developing countries;</w:t>
      </w:r>
    </w:p>
    <w:p w14:paraId="35E3CDDC" w14:textId="77777777" w:rsidR="00E00BF9" w:rsidRPr="00C5538E" w:rsidRDefault="00E00BF9" w:rsidP="00E00BF9">
      <w:bookmarkStart w:id="16" w:name="_Hlk24450799"/>
      <w:r w:rsidRPr="00C5538E">
        <w:t>3</w:t>
      </w:r>
      <w:r w:rsidRPr="00C5538E">
        <w:tab/>
        <w:t xml:space="preserve">to develop a recommendation to address methods for the determination of </w:t>
      </w:r>
      <w:r w:rsidRPr="00C5538E">
        <w:rPr>
          <w:rFonts w:eastAsia="Batang"/>
        </w:rPr>
        <w:t>geographic zones</w:t>
      </w:r>
      <w:r w:rsidRPr="00C5538E">
        <w:t xml:space="preserve"> for the coexistence between IMT base stations in the frequency band 7 025-7 125 MHz and non-GSO earth stations in the frequency band 6 700-7 075 MHz;</w:t>
      </w:r>
    </w:p>
    <w:bookmarkEnd w:id="16"/>
    <w:p w14:paraId="60AC3528" w14:textId="77777777" w:rsidR="00180493" w:rsidRPr="00C5538E" w:rsidRDefault="00180493" w:rsidP="00180493">
      <w:r w:rsidRPr="00C5538E">
        <w:t>4</w:t>
      </w:r>
      <w:r w:rsidRPr="00C5538E">
        <w:tab/>
      </w:r>
      <w:r w:rsidRPr="00C5538E">
        <w:rPr>
          <w:lang w:eastAsia="ja-JP"/>
        </w:rPr>
        <w:t>to update existing ITU</w:t>
      </w:r>
      <w:r w:rsidRPr="00C5538E">
        <w:rPr>
          <w:lang w:eastAsia="ja-JP"/>
        </w:rPr>
        <w:noBreakHyphen/>
        <w:t>R Recommendations/Reports or develop new ITU</w:t>
      </w:r>
      <w:r w:rsidRPr="00C5538E">
        <w:rPr>
          <w:lang w:eastAsia="ja-JP"/>
        </w:rPr>
        <w:noBreakHyphen/>
        <w:t>R Recommendations, as appropriate, to provide information and assistance to the concerned administrations on possible coordination of FS stations with IMT stations in the frequency band 7 025-7 125 MHz</w:t>
      </w:r>
      <w:r w:rsidRPr="00C5538E">
        <w:t>;</w:t>
      </w:r>
    </w:p>
    <w:p w14:paraId="4980346B" w14:textId="77777777" w:rsidR="00180493" w:rsidRPr="00C5538E" w:rsidRDefault="00180493" w:rsidP="00180493">
      <w:r w:rsidRPr="00C5538E">
        <w:rPr>
          <w:lang w:eastAsia="ja-JP"/>
        </w:rPr>
        <w:t>5</w:t>
      </w:r>
      <w:r w:rsidRPr="00C5538E">
        <w:rPr>
          <w:lang w:eastAsia="ja-JP"/>
        </w:rPr>
        <w:tab/>
        <w:t>to develop ITU</w:t>
      </w:r>
      <w:r w:rsidRPr="00C5538E">
        <w:rPr>
          <w:lang w:eastAsia="ja-JP"/>
        </w:rPr>
        <w:noBreakHyphen/>
        <w:t>R Recommendations and/or Reports, as appropriate, to assist administrations in ensuring the efficient use of the frequency band 7 025-7 125 MHz through coexistence mechanisms between IMT and other applications of the mobile service, including other wireless access systems</w:t>
      </w:r>
      <w:r w:rsidRPr="00C5538E">
        <w:t>,</w:t>
      </w:r>
    </w:p>
    <w:p w14:paraId="726DBD98" w14:textId="77777777" w:rsidR="00FD3A1F" w:rsidRPr="00C5538E" w:rsidRDefault="00FD3A1F" w:rsidP="00FF7E85">
      <w:pPr>
        <w:pStyle w:val="Call"/>
      </w:pPr>
      <w:r w:rsidRPr="00C5538E">
        <w:t>instructs the Director of the Radiocommunication Bureau</w:t>
      </w:r>
    </w:p>
    <w:p w14:paraId="770F5A17" w14:textId="77777777" w:rsidR="00FD3A1F" w:rsidRPr="00C5538E" w:rsidRDefault="00FD3A1F" w:rsidP="00FF7E85">
      <w:r w:rsidRPr="00C5538E">
        <w:t>to bring this Resolution to the attention of relevant international organizations.</w:t>
      </w:r>
    </w:p>
    <w:p w14:paraId="23001786" w14:textId="31415140" w:rsidR="005059AF" w:rsidRPr="00C5538E" w:rsidRDefault="00FD3A1F">
      <w:pPr>
        <w:pStyle w:val="Reasons"/>
      </w:pPr>
      <w:r w:rsidRPr="00C5538E">
        <w:rPr>
          <w:b/>
        </w:rPr>
        <w:t>Reasons:</w:t>
      </w:r>
      <w:r w:rsidRPr="00C5538E">
        <w:tab/>
      </w:r>
      <w:r w:rsidR="000500FE" w:rsidRPr="00C5538E">
        <w:t>This is</w:t>
      </w:r>
      <w:r w:rsidR="000500FE" w:rsidRPr="00C5538E">
        <w:rPr>
          <w:lang w:eastAsia="zh-CN"/>
        </w:rPr>
        <w:t xml:space="preserve"> to identify the frequency band 7 025-7 125 MHz for IMT globally by creating a new RR footnote with conditions which are contained in a draft new WRC Resolution.</w:t>
      </w:r>
    </w:p>
    <w:p w14:paraId="55932A33" w14:textId="77777777" w:rsidR="005059AF" w:rsidRPr="00C5538E" w:rsidRDefault="00FD3A1F">
      <w:pPr>
        <w:pStyle w:val="Proposal"/>
      </w:pPr>
      <w:r w:rsidRPr="00C5538E">
        <w:lastRenderedPageBreak/>
        <w:t>SUP</w:t>
      </w:r>
      <w:r w:rsidRPr="00C5538E">
        <w:tab/>
        <w:t>BRU/INS/SNG/128A2/4</w:t>
      </w:r>
      <w:r w:rsidRPr="00C5538E">
        <w:rPr>
          <w:vanish/>
          <w:color w:val="7F7F7F" w:themeColor="text1" w:themeTint="80"/>
          <w:vertAlign w:val="superscript"/>
        </w:rPr>
        <w:t>#1391</w:t>
      </w:r>
    </w:p>
    <w:p w14:paraId="09C6BB0D" w14:textId="77777777" w:rsidR="00FD3A1F" w:rsidRPr="00C5538E" w:rsidRDefault="00FD3A1F" w:rsidP="00982A86">
      <w:pPr>
        <w:pStyle w:val="ResNo"/>
      </w:pPr>
      <w:r w:rsidRPr="00C5538E">
        <w:t xml:space="preserve">RESOLUTION </w:t>
      </w:r>
      <w:r w:rsidRPr="00C5538E">
        <w:rPr>
          <w:rStyle w:val="href"/>
        </w:rPr>
        <w:t>245</w:t>
      </w:r>
      <w:r w:rsidRPr="00C5538E">
        <w:t xml:space="preserve"> (WRC</w:t>
      </w:r>
      <w:r w:rsidRPr="00C5538E">
        <w:noBreakHyphen/>
        <w:t>19)</w:t>
      </w:r>
    </w:p>
    <w:p w14:paraId="28029101" w14:textId="77777777" w:rsidR="00FD3A1F" w:rsidRPr="00C5538E" w:rsidRDefault="00FD3A1F" w:rsidP="003B6B24">
      <w:pPr>
        <w:pStyle w:val="Restitle"/>
      </w:pPr>
      <w:r w:rsidRPr="00C5538E">
        <w:t xml:space="preserve">Studies on frequency-related matters for the terrestrial component of International Mobile Telecommunications identification in the frequency bands 3 300-3 400 MHz, 3 600-3 800 MHz, 6 425-7 025 MHz, </w:t>
      </w:r>
      <w:r w:rsidRPr="00C5538E">
        <w:br/>
        <w:t>7 025-7 125 MHz and 10.0-10.5 GHz</w:t>
      </w:r>
    </w:p>
    <w:p w14:paraId="05819E72" w14:textId="20630838" w:rsidR="005059AF" w:rsidRPr="00C5538E" w:rsidRDefault="00FD3A1F">
      <w:pPr>
        <w:pStyle w:val="Reasons"/>
      </w:pPr>
      <w:r w:rsidRPr="00C5538E">
        <w:rPr>
          <w:b/>
        </w:rPr>
        <w:t>Reasons:</w:t>
      </w:r>
      <w:r w:rsidRPr="00C5538E">
        <w:tab/>
        <w:t>The work is now complete on WRC-23 agenda item 1.2.</w:t>
      </w:r>
    </w:p>
    <w:p w14:paraId="185A4A2E" w14:textId="77777777" w:rsidR="00EC5B4C" w:rsidRPr="00C5538E" w:rsidRDefault="00EC5B4C" w:rsidP="00EC5B4C"/>
    <w:p w14:paraId="5ADC8DD1" w14:textId="77777777" w:rsidR="00EC5B4C" w:rsidRPr="00C5538E" w:rsidRDefault="00EC5B4C">
      <w:pPr>
        <w:jc w:val="center"/>
      </w:pPr>
      <w:r w:rsidRPr="00C5538E">
        <w:t>______________</w:t>
      </w:r>
    </w:p>
    <w:sectPr w:rsidR="00EC5B4C" w:rsidRPr="00C5538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F2B3" w14:textId="77777777" w:rsidR="0022757F" w:rsidRDefault="0022757F">
      <w:r>
        <w:separator/>
      </w:r>
    </w:p>
  </w:endnote>
  <w:endnote w:type="continuationSeparator" w:id="0">
    <w:p w14:paraId="7B320957"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B4CE" w14:textId="77777777" w:rsidR="00E45D05" w:rsidRDefault="00E45D05">
    <w:pPr>
      <w:framePr w:wrap="around" w:vAnchor="text" w:hAnchor="margin" w:xAlign="right" w:y="1"/>
    </w:pPr>
    <w:r>
      <w:fldChar w:fldCharType="begin"/>
    </w:r>
    <w:r>
      <w:instrText xml:space="preserve">PAGE  </w:instrText>
    </w:r>
    <w:r>
      <w:fldChar w:fldCharType="end"/>
    </w:r>
  </w:p>
  <w:p w14:paraId="3695000E" w14:textId="0443356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004B0">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C77A" w14:textId="1BFA0C09" w:rsidR="00E45D05" w:rsidRDefault="00E45D05" w:rsidP="009B1EA1">
    <w:pPr>
      <w:pStyle w:val="Footer"/>
    </w:pPr>
    <w:r>
      <w:fldChar w:fldCharType="begin"/>
    </w:r>
    <w:r w:rsidRPr="0041348E">
      <w:rPr>
        <w:lang w:val="en-US"/>
      </w:rPr>
      <w:instrText xml:space="preserve"> FILENAME \p  \* MERGEFORMAT </w:instrText>
    </w:r>
    <w:r>
      <w:fldChar w:fldCharType="separate"/>
    </w:r>
    <w:r w:rsidR="00DE41EC">
      <w:rPr>
        <w:lang w:val="en-US"/>
      </w:rPr>
      <w:t>P:\ENG\ITU-R\CONF-R\CMR23\100\128ADD02E.doc</w:t>
    </w:r>
    <w:r>
      <w:fldChar w:fldCharType="end"/>
    </w:r>
    <w:r w:rsidR="00DE41EC">
      <w:t xml:space="preserve"> (530294)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02BE" w14:textId="36B4A6EC" w:rsidR="00DE41EC" w:rsidRDefault="00DE41EC">
    <w:pPr>
      <w:pStyle w:val="Footer"/>
    </w:pPr>
    <w:r>
      <w:fldChar w:fldCharType="begin"/>
    </w:r>
    <w:r w:rsidRPr="00DE41EC">
      <w:instrText xml:space="preserve"> FILENAME \p \* MERGEFORMAT </w:instrText>
    </w:r>
    <w:r>
      <w:fldChar w:fldCharType="separate"/>
    </w:r>
    <w:r w:rsidRPr="00DE41EC">
      <w:t>P:\ENG\ITU-R\CONF-R\CMR23\100\128ADD02E.doc</w:t>
    </w:r>
    <w:r>
      <w:fldChar w:fldCharType="end"/>
    </w:r>
    <w:r>
      <w:t xml:space="preserve"> (530294)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53E5" w14:textId="77777777" w:rsidR="0022757F" w:rsidRDefault="0022757F">
      <w:r>
        <w:rPr>
          <w:b/>
        </w:rPr>
        <w:t>_______________</w:t>
      </w:r>
    </w:p>
  </w:footnote>
  <w:footnote w:type="continuationSeparator" w:id="0">
    <w:p w14:paraId="1253BBF5"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2AE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160BE87" w14:textId="77777777" w:rsidR="00A066F1" w:rsidRPr="00A066F1" w:rsidRDefault="00BC75DE" w:rsidP="00241FA2">
    <w:pPr>
      <w:pStyle w:val="Header"/>
    </w:pPr>
    <w:r>
      <w:t>WRC</w:t>
    </w:r>
    <w:r w:rsidR="006D70B0">
      <w:t>23</w:t>
    </w:r>
    <w:r w:rsidR="00A066F1">
      <w:t>/</w:t>
    </w:r>
    <w:bookmarkStart w:id="17" w:name="OLE_LINK1"/>
    <w:bookmarkStart w:id="18" w:name="OLE_LINK2"/>
    <w:bookmarkStart w:id="19" w:name="OLE_LINK3"/>
    <w:r w:rsidR="00EB55C6">
      <w:t>128(Add.2)</w:t>
    </w:r>
    <w:bookmarkEnd w:id="17"/>
    <w:bookmarkEnd w:id="18"/>
    <w:bookmarkEnd w:id="1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2561163">
    <w:abstractNumId w:val="0"/>
  </w:num>
  <w:num w:numId="2" w16cid:durableId="123713094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4B0"/>
    <w:rsid w:val="000041EA"/>
    <w:rsid w:val="00022A29"/>
    <w:rsid w:val="000355FD"/>
    <w:rsid w:val="000500FE"/>
    <w:rsid w:val="00051E39"/>
    <w:rsid w:val="000705F2"/>
    <w:rsid w:val="00077239"/>
    <w:rsid w:val="0007795D"/>
    <w:rsid w:val="000837EA"/>
    <w:rsid w:val="00086491"/>
    <w:rsid w:val="00091346"/>
    <w:rsid w:val="0009706C"/>
    <w:rsid w:val="000D154B"/>
    <w:rsid w:val="000D2DAF"/>
    <w:rsid w:val="000E463E"/>
    <w:rsid w:val="000F73FF"/>
    <w:rsid w:val="00102CF7"/>
    <w:rsid w:val="00114CF7"/>
    <w:rsid w:val="00116C7A"/>
    <w:rsid w:val="00123B68"/>
    <w:rsid w:val="00126F2E"/>
    <w:rsid w:val="00146F6F"/>
    <w:rsid w:val="00161F26"/>
    <w:rsid w:val="00180493"/>
    <w:rsid w:val="00187BD9"/>
    <w:rsid w:val="00190B55"/>
    <w:rsid w:val="001C3B5F"/>
    <w:rsid w:val="001D058F"/>
    <w:rsid w:val="002009EA"/>
    <w:rsid w:val="00202756"/>
    <w:rsid w:val="00202CA0"/>
    <w:rsid w:val="00216B6D"/>
    <w:rsid w:val="0022757F"/>
    <w:rsid w:val="00241FA2"/>
    <w:rsid w:val="00271316"/>
    <w:rsid w:val="002B349C"/>
    <w:rsid w:val="002D16DA"/>
    <w:rsid w:val="002D58BE"/>
    <w:rsid w:val="002D5E1B"/>
    <w:rsid w:val="002F4747"/>
    <w:rsid w:val="00302605"/>
    <w:rsid w:val="00361B37"/>
    <w:rsid w:val="00370237"/>
    <w:rsid w:val="00377BD3"/>
    <w:rsid w:val="00384088"/>
    <w:rsid w:val="003852CE"/>
    <w:rsid w:val="0039169B"/>
    <w:rsid w:val="003A7F8C"/>
    <w:rsid w:val="003B2284"/>
    <w:rsid w:val="003B532E"/>
    <w:rsid w:val="003D0F8B"/>
    <w:rsid w:val="003E0DB6"/>
    <w:rsid w:val="003F3D76"/>
    <w:rsid w:val="0041348E"/>
    <w:rsid w:val="00420873"/>
    <w:rsid w:val="00453548"/>
    <w:rsid w:val="00460D48"/>
    <w:rsid w:val="00492075"/>
    <w:rsid w:val="004969AD"/>
    <w:rsid w:val="004A26C4"/>
    <w:rsid w:val="004B13CB"/>
    <w:rsid w:val="004D26EA"/>
    <w:rsid w:val="004D2BFB"/>
    <w:rsid w:val="004D5D5C"/>
    <w:rsid w:val="004F3DC0"/>
    <w:rsid w:val="0050139F"/>
    <w:rsid w:val="005059AF"/>
    <w:rsid w:val="0055140B"/>
    <w:rsid w:val="005861D7"/>
    <w:rsid w:val="005964AB"/>
    <w:rsid w:val="005C099A"/>
    <w:rsid w:val="005C31A5"/>
    <w:rsid w:val="005E10C9"/>
    <w:rsid w:val="005E290B"/>
    <w:rsid w:val="005E61DD"/>
    <w:rsid w:val="005F04D8"/>
    <w:rsid w:val="006023DF"/>
    <w:rsid w:val="00615426"/>
    <w:rsid w:val="00616219"/>
    <w:rsid w:val="00645B7D"/>
    <w:rsid w:val="00655473"/>
    <w:rsid w:val="00657DE0"/>
    <w:rsid w:val="00673D39"/>
    <w:rsid w:val="00685313"/>
    <w:rsid w:val="00692833"/>
    <w:rsid w:val="006A6E9B"/>
    <w:rsid w:val="006B7C2A"/>
    <w:rsid w:val="006C23DA"/>
    <w:rsid w:val="006C4395"/>
    <w:rsid w:val="006D70B0"/>
    <w:rsid w:val="006E3D45"/>
    <w:rsid w:val="0070607A"/>
    <w:rsid w:val="007149F9"/>
    <w:rsid w:val="007255E1"/>
    <w:rsid w:val="00733A30"/>
    <w:rsid w:val="00745AEE"/>
    <w:rsid w:val="00750F10"/>
    <w:rsid w:val="007742CA"/>
    <w:rsid w:val="00790D70"/>
    <w:rsid w:val="007A6F1F"/>
    <w:rsid w:val="007D5320"/>
    <w:rsid w:val="00800972"/>
    <w:rsid w:val="00804475"/>
    <w:rsid w:val="00811633"/>
    <w:rsid w:val="00814037"/>
    <w:rsid w:val="008243DF"/>
    <w:rsid w:val="00841216"/>
    <w:rsid w:val="00842AF0"/>
    <w:rsid w:val="0086171E"/>
    <w:rsid w:val="00872FC8"/>
    <w:rsid w:val="008845D0"/>
    <w:rsid w:val="00884D60"/>
    <w:rsid w:val="00896E56"/>
    <w:rsid w:val="008B32B0"/>
    <w:rsid w:val="008B43F2"/>
    <w:rsid w:val="008B6CFF"/>
    <w:rsid w:val="009274B4"/>
    <w:rsid w:val="00934EA2"/>
    <w:rsid w:val="00944A5C"/>
    <w:rsid w:val="00952A66"/>
    <w:rsid w:val="009B1EA1"/>
    <w:rsid w:val="009B7C9A"/>
    <w:rsid w:val="009C56E5"/>
    <w:rsid w:val="009C7716"/>
    <w:rsid w:val="009D08D7"/>
    <w:rsid w:val="009E5FC8"/>
    <w:rsid w:val="009E687A"/>
    <w:rsid w:val="009F236F"/>
    <w:rsid w:val="00A066F1"/>
    <w:rsid w:val="00A141AF"/>
    <w:rsid w:val="00A16D29"/>
    <w:rsid w:val="00A24E38"/>
    <w:rsid w:val="00A30305"/>
    <w:rsid w:val="00A31D2D"/>
    <w:rsid w:val="00A4600A"/>
    <w:rsid w:val="00A5023E"/>
    <w:rsid w:val="00A538A6"/>
    <w:rsid w:val="00A54C25"/>
    <w:rsid w:val="00A710E7"/>
    <w:rsid w:val="00A7372E"/>
    <w:rsid w:val="00A8284C"/>
    <w:rsid w:val="00A93B85"/>
    <w:rsid w:val="00AA0B18"/>
    <w:rsid w:val="00AA3C65"/>
    <w:rsid w:val="00AA666F"/>
    <w:rsid w:val="00AD7914"/>
    <w:rsid w:val="00AE2B4A"/>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538E"/>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41EC"/>
    <w:rsid w:val="00DE5692"/>
    <w:rsid w:val="00DE6300"/>
    <w:rsid w:val="00DF4BC6"/>
    <w:rsid w:val="00DF78E0"/>
    <w:rsid w:val="00E00BF9"/>
    <w:rsid w:val="00E03C94"/>
    <w:rsid w:val="00E205BC"/>
    <w:rsid w:val="00E26226"/>
    <w:rsid w:val="00E45D05"/>
    <w:rsid w:val="00E55816"/>
    <w:rsid w:val="00E55AEF"/>
    <w:rsid w:val="00E976C1"/>
    <w:rsid w:val="00EA12E5"/>
    <w:rsid w:val="00EB0812"/>
    <w:rsid w:val="00EB54B2"/>
    <w:rsid w:val="00EB55C6"/>
    <w:rsid w:val="00EC5B4C"/>
    <w:rsid w:val="00EF1932"/>
    <w:rsid w:val="00EF71B6"/>
    <w:rsid w:val="00F02766"/>
    <w:rsid w:val="00F05BD4"/>
    <w:rsid w:val="00F06473"/>
    <w:rsid w:val="00F320AA"/>
    <w:rsid w:val="00F6155B"/>
    <w:rsid w:val="00F65C19"/>
    <w:rsid w:val="00F822B0"/>
    <w:rsid w:val="00FD08E2"/>
    <w:rsid w:val="00FD18DA"/>
    <w:rsid w:val="00FD2546"/>
    <w:rsid w:val="00FD3A1F"/>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A4D2C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D5E1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R23-WRC23-C-0128!A2!MSW-E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E1BD-FB2B-4075-8E30-EB6874664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BE624-A027-4417-A3D9-421BF89FE32F}">
  <ds:schemaRefs>
    <ds:schemaRef ds:uri="http://schemas.microsoft.com/sharepoint/events"/>
  </ds:schemaRefs>
</ds:datastoreItem>
</file>

<file path=customXml/itemProps3.xml><?xml version="1.0" encoding="utf-8"?>
<ds:datastoreItem xmlns:ds="http://schemas.openxmlformats.org/officeDocument/2006/customXml" ds:itemID="{0EA30443-930E-401A-AEF2-B9746A3E1F99}">
  <ds:schemaRefs>
    <ds:schemaRef ds:uri="http://schemas.microsoft.com/sharepoint/v3/contenttype/forms"/>
  </ds:schemaRefs>
</ds:datastoreItem>
</file>

<file path=customXml/itemProps4.xml><?xml version="1.0" encoding="utf-8"?>
<ds:datastoreItem xmlns:ds="http://schemas.openxmlformats.org/officeDocument/2006/customXml" ds:itemID="{BC30BF76-FBBD-41E9-92EF-BB4DE703D0B7}">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0D4D25D3-5D6E-4CE4-B526-9E02ECB4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1601</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R23-WRC23-C-0128!A2!MSW-E</vt:lpstr>
    </vt:vector>
  </TitlesOfParts>
  <Manager>General Secretariat - Pool</Manager>
  <Company>International Telecommunication Union (ITU)</Company>
  <LinksUpToDate>false</LinksUpToDate>
  <CharactersWithSpaces>10325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R23-WRC23-C-0128!A2!MSW-E</dc:title>
  <dc:subject>World Radiocommunication Conference - 2023</dc:subject>
  <dc:creator>Documents Proposals Manager (DPM)</dc:creator>
  <cp:keywords>DPM_v2023.8.1.1_prod</cp:keywords>
  <dc:description>Uploaded on 2015.07.06</dc:description>
  <cp:lastModifiedBy>TPU E kt</cp:lastModifiedBy>
  <cp:revision>7</cp:revision>
  <cp:lastPrinted>2017-02-10T08:23:00Z</cp:lastPrinted>
  <dcterms:created xsi:type="dcterms:W3CDTF">2023-11-06T15:13:00Z</dcterms:created>
  <dcterms:modified xsi:type="dcterms:W3CDTF">2023-11-07T19:38:00Z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