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6A7A1C" w14:paraId="2B885585" w14:textId="77777777" w:rsidTr="0080079E">
        <w:trPr>
          <w:cantSplit/>
        </w:trPr>
        <w:tc>
          <w:tcPr>
            <w:tcW w:w="1418" w:type="dxa"/>
            <w:vAlign w:val="center"/>
          </w:tcPr>
          <w:p w14:paraId="6D05CD68" w14:textId="77777777" w:rsidR="0080079E" w:rsidRPr="006A7A1C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6A7A1C">
              <w:rPr>
                <w:noProof/>
              </w:rPr>
              <w:drawing>
                <wp:inline distT="0" distB="0" distL="0" distR="0" wp14:anchorId="1F76267C" wp14:editId="12AF364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2A6076B" w14:textId="77777777" w:rsidR="0080079E" w:rsidRPr="006A7A1C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A7A1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6A7A1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6A7A1C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0677586F" w14:textId="77777777" w:rsidR="0080079E" w:rsidRPr="006A7A1C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6A7A1C">
              <w:rPr>
                <w:noProof/>
              </w:rPr>
              <w:drawing>
                <wp:inline distT="0" distB="0" distL="0" distR="0" wp14:anchorId="66C2AD84" wp14:editId="55878BB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6A7A1C" w14:paraId="3C4A2D7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84595D3" w14:textId="77777777" w:rsidR="0090121B" w:rsidRPr="006A7A1C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0919693" w14:textId="77777777" w:rsidR="0090121B" w:rsidRPr="006A7A1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6A7A1C" w14:paraId="7833812C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4BFF512" w14:textId="77777777" w:rsidR="0090121B" w:rsidRPr="006A7A1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3297327" w14:textId="77777777" w:rsidR="0090121B" w:rsidRPr="006A7A1C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6A7A1C" w14:paraId="21DF2EB0" w14:textId="77777777" w:rsidTr="0090121B">
        <w:trPr>
          <w:cantSplit/>
        </w:trPr>
        <w:tc>
          <w:tcPr>
            <w:tcW w:w="6911" w:type="dxa"/>
            <w:gridSpan w:val="2"/>
          </w:tcPr>
          <w:p w14:paraId="6AEF654D" w14:textId="77777777" w:rsidR="0090121B" w:rsidRPr="006A7A1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6A7A1C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D0E1F99" w14:textId="77777777" w:rsidR="0090121B" w:rsidRPr="006A7A1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6A7A1C">
              <w:rPr>
                <w:rFonts w:ascii="Verdana" w:hAnsi="Verdana"/>
                <w:b/>
                <w:sz w:val="18"/>
                <w:szCs w:val="18"/>
              </w:rPr>
              <w:t>Addéndum 27 al</w:t>
            </w:r>
            <w:r w:rsidRPr="006A7A1C">
              <w:rPr>
                <w:rFonts w:ascii="Verdana" w:hAnsi="Verdana"/>
                <w:b/>
                <w:sz w:val="18"/>
                <w:szCs w:val="18"/>
              </w:rPr>
              <w:br/>
              <w:t>Documento 127</w:t>
            </w:r>
            <w:r w:rsidR="0090121B" w:rsidRPr="006A7A1C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6A7A1C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6A7A1C" w14:paraId="113EDBBE" w14:textId="77777777" w:rsidTr="0090121B">
        <w:trPr>
          <w:cantSplit/>
        </w:trPr>
        <w:tc>
          <w:tcPr>
            <w:tcW w:w="6911" w:type="dxa"/>
            <w:gridSpan w:val="2"/>
          </w:tcPr>
          <w:p w14:paraId="0A0EE464" w14:textId="77777777" w:rsidR="000A5B9A" w:rsidRPr="006A7A1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85C8A9F" w14:textId="77777777" w:rsidR="000A5B9A" w:rsidRPr="006A7A1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A7A1C">
              <w:rPr>
                <w:rFonts w:ascii="Verdana" w:hAnsi="Verdana"/>
                <w:b/>
                <w:sz w:val="18"/>
                <w:szCs w:val="18"/>
              </w:rPr>
              <w:t>29 de octubre de 2023</w:t>
            </w:r>
          </w:p>
        </w:tc>
      </w:tr>
      <w:tr w:rsidR="000A5B9A" w:rsidRPr="006A7A1C" w14:paraId="1716C459" w14:textId="77777777" w:rsidTr="0090121B">
        <w:trPr>
          <w:cantSplit/>
        </w:trPr>
        <w:tc>
          <w:tcPr>
            <w:tcW w:w="6911" w:type="dxa"/>
            <w:gridSpan w:val="2"/>
          </w:tcPr>
          <w:p w14:paraId="3380C3BE" w14:textId="77777777" w:rsidR="000A5B9A" w:rsidRPr="006A7A1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6DE220F2" w14:textId="77777777" w:rsidR="000A5B9A" w:rsidRPr="006A7A1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A7A1C">
              <w:rPr>
                <w:rFonts w:ascii="Verdana" w:hAnsi="Verdana"/>
                <w:b/>
                <w:sz w:val="18"/>
                <w:szCs w:val="18"/>
              </w:rPr>
              <w:t>Original: español</w:t>
            </w:r>
          </w:p>
        </w:tc>
      </w:tr>
      <w:tr w:rsidR="000A5B9A" w:rsidRPr="006A7A1C" w14:paraId="00FD4CAA" w14:textId="77777777" w:rsidTr="006744FC">
        <w:trPr>
          <w:cantSplit/>
        </w:trPr>
        <w:tc>
          <w:tcPr>
            <w:tcW w:w="10031" w:type="dxa"/>
            <w:gridSpan w:val="4"/>
          </w:tcPr>
          <w:p w14:paraId="5F775B7A" w14:textId="77777777" w:rsidR="000A5B9A" w:rsidRPr="006A7A1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6A7A1C" w14:paraId="1B7438F1" w14:textId="77777777" w:rsidTr="0050008E">
        <w:trPr>
          <w:cantSplit/>
        </w:trPr>
        <w:tc>
          <w:tcPr>
            <w:tcW w:w="10031" w:type="dxa"/>
            <w:gridSpan w:val="4"/>
          </w:tcPr>
          <w:p w14:paraId="1072B41B" w14:textId="77777777" w:rsidR="000A5B9A" w:rsidRPr="006A7A1C" w:rsidRDefault="000A5B9A" w:rsidP="000A5B9A">
            <w:pPr>
              <w:pStyle w:val="Source"/>
            </w:pPr>
            <w:bookmarkStart w:id="2" w:name="dsource" w:colFirst="0" w:colLast="0"/>
            <w:r w:rsidRPr="006A7A1C">
              <w:t>México</w:t>
            </w:r>
          </w:p>
        </w:tc>
      </w:tr>
      <w:tr w:rsidR="000A5B9A" w:rsidRPr="006A7A1C" w14:paraId="61BEECBD" w14:textId="77777777" w:rsidTr="0050008E">
        <w:trPr>
          <w:cantSplit/>
        </w:trPr>
        <w:tc>
          <w:tcPr>
            <w:tcW w:w="10031" w:type="dxa"/>
            <w:gridSpan w:val="4"/>
          </w:tcPr>
          <w:p w14:paraId="54B93F51" w14:textId="77777777" w:rsidR="000A5B9A" w:rsidRPr="006A7A1C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6A7A1C">
              <w:t>Propuestas para los trabajos de la Conferencia</w:t>
            </w:r>
          </w:p>
        </w:tc>
      </w:tr>
      <w:tr w:rsidR="000A5B9A" w:rsidRPr="006A7A1C" w14:paraId="5FCB451F" w14:textId="77777777" w:rsidTr="0050008E">
        <w:trPr>
          <w:cantSplit/>
        </w:trPr>
        <w:tc>
          <w:tcPr>
            <w:tcW w:w="10031" w:type="dxa"/>
            <w:gridSpan w:val="4"/>
          </w:tcPr>
          <w:p w14:paraId="748CFCCD" w14:textId="77777777" w:rsidR="000A5B9A" w:rsidRPr="006A7A1C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6A7A1C" w14:paraId="51DD8CEB" w14:textId="77777777" w:rsidTr="0050008E">
        <w:trPr>
          <w:cantSplit/>
        </w:trPr>
        <w:tc>
          <w:tcPr>
            <w:tcW w:w="10031" w:type="dxa"/>
            <w:gridSpan w:val="4"/>
          </w:tcPr>
          <w:p w14:paraId="1427B1D2" w14:textId="77777777" w:rsidR="000A5B9A" w:rsidRPr="006A7A1C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6A7A1C">
              <w:t>Punto 10 del orden del día</w:t>
            </w:r>
          </w:p>
        </w:tc>
      </w:tr>
    </w:tbl>
    <w:bookmarkEnd w:id="5"/>
    <w:p w14:paraId="3B740616" w14:textId="77777777" w:rsidR="00590B12" w:rsidRPr="006A7A1C" w:rsidRDefault="00590B12" w:rsidP="007E716E">
      <w:r w:rsidRPr="006A7A1C">
        <w:t>10</w:t>
      </w:r>
      <w:r w:rsidRPr="006A7A1C">
        <w:tab/>
        <w:t xml:space="preserve">recomendar al Consejo de la UIT los puntos que debe contener el orden del día de la próxima Conferencia Mundial de Radiocomunicaciones y los temas que se han de incluir en el orden del día preliminar de futuras conferencias, de conformidad con el Artículo 7 del Convenio de la UIT y la Resolución </w:t>
      </w:r>
      <w:r w:rsidRPr="006A7A1C">
        <w:rPr>
          <w:b/>
          <w:bCs/>
        </w:rPr>
        <w:t>804 (Rev.CMR-19)</w:t>
      </w:r>
      <w:r w:rsidRPr="006A7A1C">
        <w:t>,</w:t>
      </w:r>
    </w:p>
    <w:p w14:paraId="6D1A575A" w14:textId="77777777" w:rsidR="00363A65" w:rsidRPr="006A7A1C" w:rsidRDefault="00363A65" w:rsidP="002C1A52"/>
    <w:p w14:paraId="2695FDF9" w14:textId="77777777" w:rsidR="008750A8" w:rsidRPr="006A7A1C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A7A1C">
        <w:br w:type="page"/>
      </w:r>
    </w:p>
    <w:p w14:paraId="633D110C" w14:textId="77777777" w:rsidR="008978CF" w:rsidRPr="006A7A1C" w:rsidRDefault="00590B12">
      <w:pPr>
        <w:pStyle w:val="Proposal"/>
      </w:pPr>
      <w:r w:rsidRPr="006A7A1C">
        <w:lastRenderedPageBreak/>
        <w:t>SUP</w:t>
      </w:r>
      <w:r w:rsidRPr="006A7A1C">
        <w:tab/>
        <w:t>MEX/127A27/1</w:t>
      </w:r>
    </w:p>
    <w:p w14:paraId="38C3E029" w14:textId="77777777" w:rsidR="00590B12" w:rsidRPr="006A7A1C" w:rsidRDefault="00590B12" w:rsidP="00CC378D">
      <w:pPr>
        <w:pStyle w:val="ResNo"/>
      </w:pPr>
      <w:bookmarkStart w:id="6" w:name="_Toc36190362"/>
      <w:bookmarkStart w:id="7" w:name="_Toc39735105"/>
      <w:r w:rsidRPr="006A7A1C">
        <w:rPr>
          <w:caps w:val="0"/>
        </w:rPr>
        <w:t xml:space="preserve">RESOLUCIÓN </w:t>
      </w:r>
      <w:r w:rsidRPr="006A7A1C">
        <w:rPr>
          <w:rStyle w:val="href"/>
          <w:caps w:val="0"/>
        </w:rPr>
        <w:t>812</w:t>
      </w:r>
      <w:r w:rsidRPr="006A7A1C">
        <w:rPr>
          <w:caps w:val="0"/>
        </w:rPr>
        <w:t xml:space="preserve"> (CMR-19)</w:t>
      </w:r>
      <w:bookmarkEnd w:id="6"/>
      <w:bookmarkEnd w:id="7"/>
    </w:p>
    <w:p w14:paraId="4D7B66D3" w14:textId="77777777" w:rsidR="00590B12" w:rsidRPr="006A7A1C" w:rsidRDefault="00590B12" w:rsidP="00265C64">
      <w:pPr>
        <w:pStyle w:val="Restitle"/>
      </w:pPr>
      <w:bookmarkStart w:id="8" w:name="_Toc36190363"/>
      <w:bookmarkStart w:id="9" w:name="_Toc39735106"/>
      <w:r w:rsidRPr="006A7A1C">
        <w:t>Orden del día preliminar de la Conferencia Mundial</w:t>
      </w:r>
      <w:r w:rsidRPr="006A7A1C">
        <w:br/>
        <w:t>de Radiocomunicaciones de 2027</w:t>
      </w:r>
      <w:r w:rsidRPr="006A7A1C">
        <w:rPr>
          <w:rStyle w:val="FootnoteReference"/>
        </w:rPr>
        <w:footnoteReference w:customMarkFollows="1" w:id="1"/>
        <w:t>*</w:t>
      </w:r>
      <w:bookmarkEnd w:id="8"/>
      <w:bookmarkEnd w:id="9"/>
    </w:p>
    <w:p w14:paraId="12249601" w14:textId="77777777" w:rsidR="00590B12" w:rsidRPr="006A7A1C" w:rsidRDefault="00590B12" w:rsidP="00265C64">
      <w:pPr>
        <w:pStyle w:val="Normalaftertitle"/>
      </w:pPr>
      <w:r w:rsidRPr="006A7A1C">
        <w:t>La Conferencia Mundial de Radiocomunicaciones (Sharm el-Sheikh, 2019),</w:t>
      </w:r>
    </w:p>
    <w:p w14:paraId="209B66AD" w14:textId="7A11ED64" w:rsidR="008978CF" w:rsidRPr="006A7A1C" w:rsidRDefault="00590B12">
      <w:pPr>
        <w:pStyle w:val="Reasons"/>
      </w:pPr>
      <w:r w:rsidRPr="006A7A1C">
        <w:rPr>
          <w:b/>
        </w:rPr>
        <w:t>Motivos:</w:t>
      </w:r>
      <w:r w:rsidRPr="006A7A1C">
        <w:tab/>
      </w:r>
      <w:r w:rsidR="00DC27EC" w:rsidRPr="006A7A1C">
        <w:t>Esta Resolución deberá suprimirse porque se propondrá una nueva Resolución para indicar la Agenda para la próxima Conferencia Mundial de Radiocomunicaciones de 2027.</w:t>
      </w:r>
    </w:p>
    <w:p w14:paraId="04BECB2D" w14:textId="77777777" w:rsidR="008978CF" w:rsidRPr="006A7A1C" w:rsidRDefault="00590B12">
      <w:pPr>
        <w:pStyle w:val="Proposal"/>
      </w:pPr>
      <w:r w:rsidRPr="006A7A1C">
        <w:t>ADD</w:t>
      </w:r>
      <w:r w:rsidRPr="006A7A1C">
        <w:tab/>
        <w:t>MEX/127A27/2</w:t>
      </w:r>
    </w:p>
    <w:p w14:paraId="26852609" w14:textId="5BD1503A" w:rsidR="008978CF" w:rsidRPr="006A7A1C" w:rsidRDefault="00590B12">
      <w:pPr>
        <w:pStyle w:val="ResNo"/>
      </w:pPr>
      <w:r w:rsidRPr="006A7A1C">
        <w:t>Proyecto de nueva Resolución [MEX-WRC-27]</w:t>
      </w:r>
      <w:r w:rsidR="00DC27EC" w:rsidRPr="006A7A1C">
        <w:t xml:space="preserve"> (CMR-23)</w:t>
      </w:r>
    </w:p>
    <w:p w14:paraId="462B4ED6" w14:textId="77777777" w:rsidR="00DC27EC" w:rsidRPr="006A7A1C" w:rsidRDefault="00DC27EC" w:rsidP="00DC27EC">
      <w:pPr>
        <w:pStyle w:val="Restitle"/>
      </w:pPr>
      <w:r w:rsidRPr="006A7A1C">
        <w:t>Agenda para la Conferencia Mundial de Radiocomunicaciones 2027</w:t>
      </w:r>
    </w:p>
    <w:p w14:paraId="067C4927" w14:textId="77777777" w:rsidR="00DC27EC" w:rsidRPr="006A7A1C" w:rsidRDefault="00DC27EC" w:rsidP="00DC27EC">
      <w:pPr>
        <w:pStyle w:val="Normalaftertitle"/>
        <w:rPr>
          <w:szCs w:val="22"/>
        </w:rPr>
      </w:pPr>
      <w:r w:rsidRPr="006A7A1C">
        <w:t>La Conferencia Mundial de Radiocomunicaciones (Dubái, 2023),</w:t>
      </w:r>
    </w:p>
    <w:p w14:paraId="690F15BD" w14:textId="77777777" w:rsidR="00DC27EC" w:rsidRPr="006A7A1C" w:rsidRDefault="00DC27EC" w:rsidP="00DC27EC">
      <w:pPr>
        <w:rPr>
          <w:sz w:val="22"/>
        </w:rPr>
      </w:pPr>
      <w:r w:rsidRPr="006A7A1C">
        <w:rPr>
          <w:sz w:val="22"/>
        </w:rPr>
        <w:t>…</w:t>
      </w:r>
    </w:p>
    <w:p w14:paraId="02C1D2D3" w14:textId="25E0CF15" w:rsidR="00DC27EC" w:rsidRPr="006A7A1C" w:rsidRDefault="00DC27EC" w:rsidP="00DC27EC">
      <w:pPr>
        <w:pStyle w:val="Call"/>
      </w:pPr>
      <w:r w:rsidRPr="006A7A1C">
        <w:t>resuelve</w:t>
      </w:r>
    </w:p>
    <w:p w14:paraId="60C18FFD" w14:textId="77777777" w:rsidR="00DC27EC" w:rsidRPr="006A7A1C" w:rsidRDefault="00DC27EC" w:rsidP="00DC27EC">
      <w:r w:rsidRPr="006A7A1C">
        <w:t>recomendar al Consejo la celebración de una Conferencia Mundial de Radiocomunicaciones en 2027 con una duración de cuatro semanas, con el siguiente orden del día:</w:t>
      </w:r>
    </w:p>
    <w:p w14:paraId="7CBDC49C" w14:textId="77777777" w:rsidR="00DC27EC" w:rsidRPr="006A7A1C" w:rsidRDefault="00DC27EC" w:rsidP="00DC27EC">
      <w:r w:rsidRPr="006A7A1C">
        <w:t>1</w:t>
      </w:r>
      <w:r w:rsidRPr="006A7A1C">
        <w:tab/>
        <w:t>sobre la base de las propuestas de las administraciones, teniendo en cuenta los resultados de la CMR-23 y del Informe de la Reunión Preparatoria de la Conferencia, y con la debida consideración a las necesidades de servicios existentes y futuros en las bandas de frecuencias:</w:t>
      </w:r>
    </w:p>
    <w:p w14:paraId="172C9481" w14:textId="77777777" w:rsidR="00DC27EC" w:rsidRPr="006A7A1C" w:rsidRDefault="00DC27EC" w:rsidP="00DC27EC">
      <w:pPr>
        <w:rPr>
          <w:szCs w:val="22"/>
        </w:rPr>
      </w:pPr>
      <w:r w:rsidRPr="006A7A1C">
        <w:t>…</w:t>
      </w:r>
    </w:p>
    <w:p w14:paraId="2449C7D8" w14:textId="77777777" w:rsidR="00DC27EC" w:rsidRPr="006A7A1C" w:rsidRDefault="00DC27EC" w:rsidP="00DC27EC">
      <w:pPr>
        <w:rPr>
          <w:szCs w:val="22"/>
        </w:rPr>
      </w:pPr>
      <w:r w:rsidRPr="006A7A1C">
        <w:t>1.[X]</w:t>
      </w:r>
      <w:r w:rsidRPr="006A7A1C">
        <w:tab/>
        <w:t xml:space="preserve">considerar la identificación de bandas de frecuencias para el futuro desarrollo del componente terrestre de las Telecomunicaciones Móviles Internacionales (IMT), incluidas posibles atribuciones adicionales al servicio móvil a título primario, de conformidad con la Resolución </w:t>
      </w:r>
      <w:r w:rsidRPr="006A7A1C">
        <w:rPr>
          <w:b/>
        </w:rPr>
        <w:t>[MEX-IMT.WRC-27] (CMR-23)</w:t>
      </w:r>
      <w:r w:rsidRPr="006A7A1C">
        <w:t>;</w:t>
      </w:r>
    </w:p>
    <w:p w14:paraId="1F0A66BF" w14:textId="43EF86EA" w:rsidR="00DC27EC" w:rsidRPr="006A7A1C" w:rsidRDefault="00DC27EC" w:rsidP="00DC27EC">
      <w:pPr>
        <w:rPr>
          <w:b/>
          <w:i/>
          <w:szCs w:val="22"/>
        </w:rPr>
      </w:pPr>
      <w:r w:rsidRPr="006A7A1C">
        <w:t>…</w:t>
      </w:r>
    </w:p>
    <w:p w14:paraId="6BE7EA85" w14:textId="6D146522" w:rsidR="008978CF" w:rsidRPr="006A7A1C" w:rsidRDefault="00DC27EC" w:rsidP="00DC27EC">
      <w:pPr>
        <w:pStyle w:val="Reasons"/>
      </w:pPr>
      <w:r w:rsidRPr="006A7A1C">
        <w:rPr>
          <w:b/>
        </w:rPr>
        <w:t>Motivos:</w:t>
      </w:r>
      <w:r w:rsidRPr="006A7A1C">
        <w:tab/>
        <w:t>Incluir un POD para la CMR-27 con el fin de estudiar ciertas bandas de frecuencias para el futuro despliegue de las IMT, incluidas posibles atribuciones adicionales al servicio móvil a título primario, como complemento al espectro ya identificado actualmente para las IMT.</w:t>
      </w:r>
    </w:p>
    <w:p w14:paraId="3B1CEAD3" w14:textId="77777777" w:rsidR="008978CF" w:rsidRPr="006A7A1C" w:rsidRDefault="00590B12">
      <w:pPr>
        <w:pStyle w:val="Proposal"/>
      </w:pPr>
      <w:r w:rsidRPr="006A7A1C">
        <w:lastRenderedPageBreak/>
        <w:t>ADD</w:t>
      </w:r>
      <w:r w:rsidRPr="006A7A1C">
        <w:tab/>
        <w:t>MEX/127A27/3</w:t>
      </w:r>
    </w:p>
    <w:p w14:paraId="116A748B" w14:textId="185C9800" w:rsidR="00DC27EC" w:rsidRPr="006A7A1C" w:rsidRDefault="00590B12" w:rsidP="00DC27EC">
      <w:pPr>
        <w:pStyle w:val="ResNo"/>
      </w:pPr>
      <w:r w:rsidRPr="006A7A1C">
        <w:t>Proyecto de nueva Resolución [MEX-IMT.WRC-27]</w:t>
      </w:r>
      <w:r w:rsidR="00DC27EC" w:rsidRPr="006A7A1C">
        <w:t xml:space="preserve"> (CMR-23)</w:t>
      </w:r>
    </w:p>
    <w:p w14:paraId="3C05A155" w14:textId="32542163" w:rsidR="00DC27EC" w:rsidRPr="006A7A1C" w:rsidRDefault="00DC27EC" w:rsidP="00DC27EC">
      <w:pPr>
        <w:pStyle w:val="Restitle"/>
      </w:pPr>
      <w:r w:rsidRPr="006A7A1C">
        <w:rPr>
          <w:rFonts w:ascii="Times New Roman"/>
        </w:rPr>
        <w:t>Estudios sobre asuntos relacionados con la identificaci</w:t>
      </w:r>
      <w:r w:rsidRPr="006A7A1C">
        <w:rPr>
          <w:rFonts w:ascii="Times New Roman"/>
        </w:rPr>
        <w:t>ó</w:t>
      </w:r>
      <w:r w:rsidRPr="006A7A1C">
        <w:rPr>
          <w:rFonts w:ascii="Times New Roman"/>
        </w:rPr>
        <w:t>n de las bandas</w:t>
      </w:r>
      <w:r w:rsidRPr="006A7A1C">
        <w:rPr>
          <w:rFonts w:ascii="Times New Roman"/>
        </w:rPr>
        <w:br/>
        <w:t>de frecuencias 4</w:t>
      </w:r>
      <w:r w:rsidRPr="006A7A1C">
        <w:t xml:space="preserve"> 800-4 990 MHz, </w:t>
      </w:r>
      <w:r w:rsidRPr="006A7A1C">
        <w:rPr>
          <w:rFonts w:ascii="Times New Roman"/>
        </w:rPr>
        <w:t>6</w:t>
      </w:r>
      <w:r w:rsidRPr="006A7A1C">
        <w:t> </w:t>
      </w:r>
      <w:r w:rsidRPr="006A7A1C">
        <w:rPr>
          <w:rFonts w:ascii="Times New Roman"/>
        </w:rPr>
        <w:t>425-7</w:t>
      </w:r>
      <w:r w:rsidRPr="006A7A1C">
        <w:t> </w:t>
      </w:r>
      <w:r w:rsidRPr="006A7A1C">
        <w:rPr>
          <w:rFonts w:ascii="Times New Roman"/>
        </w:rPr>
        <w:t>025 MHz, 7</w:t>
      </w:r>
      <w:r w:rsidRPr="006A7A1C">
        <w:t> </w:t>
      </w:r>
      <w:r w:rsidRPr="006A7A1C">
        <w:rPr>
          <w:rFonts w:ascii="Times New Roman"/>
        </w:rPr>
        <w:t>025-7</w:t>
      </w:r>
      <w:r w:rsidRPr="006A7A1C">
        <w:t> </w:t>
      </w:r>
      <w:r w:rsidRPr="006A7A1C">
        <w:rPr>
          <w:rFonts w:ascii="Times New Roman"/>
        </w:rPr>
        <w:t>125 MHz</w:t>
      </w:r>
      <w:r w:rsidRPr="006A7A1C">
        <w:rPr>
          <w:rFonts w:ascii="Times New Roman"/>
        </w:rPr>
        <w:br/>
        <w:t>y 10,5-10,68 GHz para la componente terrenal de</w:t>
      </w:r>
      <w:r w:rsidRPr="006A7A1C">
        <w:rPr>
          <w:rFonts w:ascii="Times New Roman"/>
        </w:rPr>
        <w:br/>
        <w:t>las Telecomunicaciones M</w:t>
      </w:r>
      <w:r w:rsidRPr="006A7A1C">
        <w:rPr>
          <w:rFonts w:ascii="Times New Roman"/>
        </w:rPr>
        <w:t>ó</w:t>
      </w:r>
      <w:r w:rsidRPr="006A7A1C">
        <w:rPr>
          <w:rFonts w:ascii="Times New Roman"/>
        </w:rPr>
        <w:t>viles Internacionales</w:t>
      </w:r>
    </w:p>
    <w:p w14:paraId="3F0B137E" w14:textId="0D0C82FB" w:rsidR="00DC27EC" w:rsidRPr="006A7A1C" w:rsidRDefault="00DC27EC" w:rsidP="00DC27EC">
      <w:pPr>
        <w:pStyle w:val="Normalaftertitle"/>
        <w:rPr>
          <w:szCs w:val="24"/>
        </w:rPr>
      </w:pPr>
      <w:r w:rsidRPr="006A7A1C">
        <w:rPr>
          <w:szCs w:val="24"/>
        </w:rPr>
        <w:t>La Conferencia Mundi</w:t>
      </w:r>
      <w:r w:rsidR="006A7A1C">
        <w:rPr>
          <w:szCs w:val="24"/>
        </w:rPr>
        <w:t>al de Radiocomunicaciones (Dubái</w:t>
      </w:r>
      <w:r w:rsidRPr="006A7A1C">
        <w:rPr>
          <w:szCs w:val="24"/>
        </w:rPr>
        <w:t>, 2023),</w:t>
      </w:r>
    </w:p>
    <w:p w14:paraId="26F7ABE8" w14:textId="77777777" w:rsidR="00DC27EC" w:rsidRPr="006A7A1C" w:rsidRDefault="00DC27EC" w:rsidP="00DC27EC">
      <w:pPr>
        <w:pStyle w:val="Call"/>
        <w:rPr>
          <w:szCs w:val="24"/>
        </w:rPr>
      </w:pPr>
      <w:r w:rsidRPr="006A7A1C">
        <w:rPr>
          <w:szCs w:val="24"/>
        </w:rPr>
        <w:t>considerando</w:t>
      </w:r>
    </w:p>
    <w:p w14:paraId="068AA2AD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a)</w:t>
      </w:r>
      <w:r w:rsidRPr="006A7A1C">
        <w:rPr>
          <w:szCs w:val="24"/>
        </w:rPr>
        <w:tab/>
        <w:t>que las Telecomunicaciones Móviles Internacionales (IMT) tienen por objeto proporcionar servicios de telecomunicaciones a escala mundial, con independencia de la ubicación y el tipo de red o de terminal;</w:t>
      </w:r>
    </w:p>
    <w:p w14:paraId="0F8F6D97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b)</w:t>
      </w:r>
      <w:r w:rsidRPr="006A7A1C">
        <w:rPr>
          <w:szCs w:val="24"/>
        </w:rPr>
        <w:tab/>
        <w:t xml:space="preserve">que los sistemas IMT han contribuido al desarrollo </w:t>
      </w:r>
      <w:r w:rsidRPr="006A7A1C">
        <w:rPr>
          <w:color w:val="000000"/>
          <w:szCs w:val="24"/>
        </w:rPr>
        <w:t>económico y social</w:t>
      </w:r>
      <w:r w:rsidRPr="006A7A1C">
        <w:rPr>
          <w:szCs w:val="24"/>
        </w:rPr>
        <w:t xml:space="preserve"> mundial;</w:t>
      </w:r>
    </w:p>
    <w:p w14:paraId="0C6BE9D0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c)</w:t>
      </w:r>
      <w:r w:rsidRPr="006A7A1C">
        <w:rPr>
          <w:szCs w:val="24"/>
        </w:rPr>
        <w:tab/>
        <w:t xml:space="preserve">que los sistemas IMT están evolucionado para proporcionar </w:t>
      </w:r>
      <w:r w:rsidRPr="006A7A1C">
        <w:rPr>
          <w:color w:val="000000"/>
          <w:szCs w:val="24"/>
        </w:rPr>
        <w:t>diversos escenarios</w:t>
      </w:r>
      <w:r w:rsidRPr="006A7A1C">
        <w:rPr>
          <w:szCs w:val="24"/>
        </w:rPr>
        <w:t xml:space="preserve"> para su </w:t>
      </w:r>
      <w:r w:rsidRPr="006A7A1C">
        <w:rPr>
          <w:color w:val="000000"/>
          <w:szCs w:val="24"/>
        </w:rPr>
        <w:t>uso</w:t>
      </w:r>
      <w:r w:rsidRPr="006A7A1C">
        <w:rPr>
          <w:szCs w:val="24"/>
        </w:rPr>
        <w:t xml:space="preserve">, como las comunicaciones móviles de banda ancha mejoradas, las comunicaciones masivas tipo máquina y las comunicaciones ultra fiables y de ultra baja latencia, </w:t>
      </w:r>
      <w:r w:rsidRPr="006A7A1C">
        <w:rPr>
          <w:color w:val="000000"/>
          <w:szCs w:val="24"/>
        </w:rPr>
        <w:t>así como</w:t>
      </w:r>
      <w:r w:rsidRPr="006A7A1C">
        <w:rPr>
          <w:szCs w:val="24"/>
        </w:rPr>
        <w:t xml:space="preserve"> aplicaciones que incluyen banda ancha fija;</w:t>
      </w:r>
    </w:p>
    <w:p w14:paraId="22F58DA2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d)</w:t>
      </w:r>
      <w:r w:rsidRPr="006A7A1C">
        <w:rPr>
          <w:szCs w:val="24"/>
        </w:rPr>
        <w:tab/>
        <w:t xml:space="preserve">que las aplicaciones IMT de </w:t>
      </w:r>
      <w:r w:rsidRPr="006A7A1C">
        <w:rPr>
          <w:color w:val="000000"/>
          <w:szCs w:val="24"/>
        </w:rPr>
        <w:t>ultra baja</w:t>
      </w:r>
      <w:r w:rsidRPr="006A7A1C">
        <w:rPr>
          <w:szCs w:val="24"/>
        </w:rPr>
        <w:t xml:space="preserve"> latencia y </w:t>
      </w:r>
      <w:r w:rsidRPr="006A7A1C">
        <w:rPr>
          <w:color w:val="000000"/>
          <w:szCs w:val="24"/>
        </w:rPr>
        <w:t>muy alta</w:t>
      </w:r>
      <w:r w:rsidRPr="006A7A1C">
        <w:rPr>
          <w:szCs w:val="24"/>
        </w:rPr>
        <w:t xml:space="preserve"> velocidad </w:t>
      </w:r>
      <w:r w:rsidRPr="006A7A1C">
        <w:rPr>
          <w:color w:val="000000"/>
          <w:szCs w:val="24"/>
        </w:rPr>
        <w:t>de transferencia de datos</w:t>
      </w:r>
      <w:r w:rsidRPr="006A7A1C">
        <w:rPr>
          <w:szCs w:val="24"/>
        </w:rPr>
        <w:t xml:space="preserve"> requerirán grandes bloques contiguos de espectro para ser utilizadas por las administraciones que </w:t>
      </w:r>
      <w:r w:rsidRPr="006A7A1C">
        <w:rPr>
          <w:color w:val="000000"/>
          <w:szCs w:val="24"/>
        </w:rPr>
        <w:t xml:space="preserve">deseen implementar </w:t>
      </w:r>
      <w:r w:rsidRPr="006A7A1C">
        <w:rPr>
          <w:szCs w:val="24"/>
        </w:rPr>
        <w:t>las IMT;</w:t>
      </w:r>
    </w:p>
    <w:p w14:paraId="414734C0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e)</w:t>
      </w:r>
      <w:r w:rsidRPr="006A7A1C">
        <w:rPr>
          <w:szCs w:val="24"/>
        </w:rPr>
        <w:tab/>
        <w:t xml:space="preserve">que, en comparación con las bandas de frecuencias más bajas o más altas, </w:t>
      </w:r>
      <w:r w:rsidRPr="006A7A1C">
        <w:rPr>
          <w:color w:val="000000"/>
          <w:szCs w:val="24"/>
        </w:rPr>
        <w:t xml:space="preserve">el espectro radioeléctrico de </w:t>
      </w:r>
      <w:r w:rsidRPr="006A7A1C">
        <w:rPr>
          <w:szCs w:val="24"/>
        </w:rPr>
        <w:t xml:space="preserve">las bandas de frecuencias medias puede proporcionar un mejor equilibrio para satisfacer las necesidades </w:t>
      </w:r>
      <w:r w:rsidRPr="006A7A1C">
        <w:rPr>
          <w:color w:val="000000"/>
          <w:szCs w:val="24"/>
        </w:rPr>
        <w:t xml:space="preserve">tanto </w:t>
      </w:r>
      <w:r w:rsidRPr="006A7A1C">
        <w:rPr>
          <w:szCs w:val="24"/>
        </w:rPr>
        <w:t xml:space="preserve">de cobertura </w:t>
      </w:r>
      <w:r w:rsidRPr="006A7A1C">
        <w:rPr>
          <w:color w:val="000000"/>
          <w:szCs w:val="24"/>
        </w:rPr>
        <w:t>como</w:t>
      </w:r>
      <w:r w:rsidRPr="006A7A1C">
        <w:rPr>
          <w:szCs w:val="24"/>
        </w:rPr>
        <w:t xml:space="preserve"> de capacidad;</w:t>
      </w:r>
    </w:p>
    <w:p w14:paraId="63BF8CBA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f)</w:t>
      </w:r>
      <w:r w:rsidRPr="006A7A1C">
        <w:rPr>
          <w:szCs w:val="24"/>
        </w:rPr>
        <w:tab/>
        <w:t xml:space="preserve">que es necesario aprovechar </w:t>
      </w:r>
      <w:r w:rsidRPr="006A7A1C">
        <w:rPr>
          <w:color w:val="000000"/>
          <w:szCs w:val="24"/>
        </w:rPr>
        <w:t>continuamente</w:t>
      </w:r>
      <w:r w:rsidRPr="006A7A1C">
        <w:rPr>
          <w:szCs w:val="24"/>
        </w:rPr>
        <w:t xml:space="preserve"> los </w:t>
      </w:r>
      <w:r w:rsidRPr="006A7A1C">
        <w:rPr>
          <w:color w:val="000000"/>
          <w:szCs w:val="24"/>
        </w:rPr>
        <w:t>avances</w:t>
      </w:r>
      <w:r w:rsidRPr="006A7A1C">
        <w:rPr>
          <w:szCs w:val="24"/>
        </w:rPr>
        <w:t xml:space="preserve"> tecnológicos a fin de impulsar el uso eficiente del espectro radioeléctrico y facilitar el acceso al mismo;</w:t>
      </w:r>
    </w:p>
    <w:p w14:paraId="4686B9C0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color w:val="000000"/>
          <w:szCs w:val="24"/>
        </w:rPr>
        <w:t>g</w:t>
      </w:r>
      <w:r w:rsidRPr="006A7A1C">
        <w:rPr>
          <w:i/>
          <w:szCs w:val="24"/>
        </w:rPr>
        <w:t>)</w:t>
      </w:r>
      <w:r w:rsidRPr="006A7A1C">
        <w:rPr>
          <w:i/>
          <w:szCs w:val="24"/>
        </w:rPr>
        <w:tab/>
      </w:r>
      <w:r w:rsidRPr="006A7A1C">
        <w:rPr>
          <w:szCs w:val="24"/>
        </w:rPr>
        <w:t>que el desarrollo de las IMT-2030 seguirá mejorando las comunicaciones inalámbricas, aportando beneficios a la calidad de vida de la población y ampliará sus objetivos hacia la sostenibilidad socioeconómica, ambiental y cultural;</w:t>
      </w:r>
    </w:p>
    <w:p w14:paraId="3990D018" w14:textId="77777777" w:rsidR="00DC27EC" w:rsidRPr="006A7A1C" w:rsidRDefault="00DC27EC" w:rsidP="00DC27EC">
      <w:pPr>
        <w:rPr>
          <w:i/>
          <w:szCs w:val="24"/>
        </w:rPr>
      </w:pPr>
      <w:r w:rsidRPr="006A7A1C">
        <w:rPr>
          <w:i/>
          <w:color w:val="000000"/>
          <w:szCs w:val="24"/>
        </w:rPr>
        <w:t>h)</w:t>
      </w:r>
      <w:r w:rsidRPr="006A7A1C">
        <w:rPr>
          <w:color w:val="000000"/>
          <w:szCs w:val="24"/>
        </w:rPr>
        <w:tab/>
        <w:t xml:space="preserve">que, para apoyar el desarrollo futuro y los objetivos generales de las IMT, son esenciales la </w:t>
      </w:r>
      <w:r w:rsidRPr="006A7A1C">
        <w:rPr>
          <w:szCs w:val="24"/>
        </w:rPr>
        <w:t>adecuada y oportuna disponibilidad de espectro</w:t>
      </w:r>
      <w:r w:rsidRPr="006A7A1C">
        <w:rPr>
          <w:color w:val="000000"/>
          <w:szCs w:val="24"/>
        </w:rPr>
        <w:t xml:space="preserve">, así como las </w:t>
      </w:r>
      <w:r w:rsidRPr="006A7A1C">
        <w:rPr>
          <w:szCs w:val="24"/>
        </w:rPr>
        <w:t xml:space="preserve">disposiciones reglamentarias </w:t>
      </w:r>
      <w:r w:rsidRPr="006A7A1C">
        <w:rPr>
          <w:color w:val="000000"/>
          <w:szCs w:val="24"/>
        </w:rPr>
        <w:t xml:space="preserve">correspondientes; </w:t>
      </w:r>
    </w:p>
    <w:p w14:paraId="038BFE4A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color w:val="000000"/>
          <w:szCs w:val="24"/>
        </w:rPr>
        <w:t>i</w:t>
      </w:r>
      <w:r w:rsidRPr="006A7A1C">
        <w:rPr>
          <w:i/>
          <w:szCs w:val="24"/>
        </w:rPr>
        <w:t>)</w:t>
      </w:r>
      <w:r w:rsidRPr="006A7A1C">
        <w:rPr>
          <w:i/>
          <w:szCs w:val="24"/>
        </w:rPr>
        <w:tab/>
      </w:r>
      <w:r w:rsidRPr="006A7A1C">
        <w:rPr>
          <w:szCs w:val="24"/>
        </w:rPr>
        <w:t xml:space="preserve">que la armonización mundial de las bandas de frecuencias y las disposiciones de frecuencias para las IMT </w:t>
      </w:r>
      <w:r w:rsidRPr="006A7A1C">
        <w:rPr>
          <w:color w:val="000000"/>
          <w:szCs w:val="24"/>
        </w:rPr>
        <w:t>son</w:t>
      </w:r>
      <w:r w:rsidRPr="006A7A1C">
        <w:rPr>
          <w:szCs w:val="24"/>
        </w:rPr>
        <w:t xml:space="preserve"> muy convenientes para lograr la itinerancia mundial y obtener los beneficios que suponen las economías de escala;</w:t>
      </w:r>
    </w:p>
    <w:p w14:paraId="2CA720FE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j)</w:t>
      </w:r>
      <w:r w:rsidRPr="006A7A1C">
        <w:rPr>
          <w:szCs w:val="24"/>
        </w:rPr>
        <w:tab/>
        <w:t xml:space="preserve">que la identificación de bandas de frecuencias referidas en el </w:t>
      </w:r>
      <w:r w:rsidRPr="006A7A1C">
        <w:rPr>
          <w:i/>
          <w:iCs/>
          <w:szCs w:val="24"/>
        </w:rPr>
        <w:t>considerando e)</w:t>
      </w:r>
      <w:r w:rsidRPr="006A7A1C">
        <w:rPr>
          <w:szCs w:val="24"/>
        </w:rPr>
        <w:t xml:space="preserve"> para las IMT puede cambiar la situación de compartición respecto de las aplicaciones de los servicios a los que la banda de frecuencias ya está atribuida, y puede obligar a tomar medidas reglamentarias adicionales para su correcto funcionamiento;</w:t>
      </w:r>
    </w:p>
    <w:p w14:paraId="22A98E63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k)</w:t>
      </w:r>
      <w:r w:rsidRPr="006A7A1C">
        <w:rPr>
          <w:szCs w:val="24"/>
        </w:rPr>
        <w:tab/>
        <w:t>que en preparación para las CMR-15, CMR-19 y CMR-23, el UIT-R estudió la banda 4</w:t>
      </w:r>
      <w:r w:rsidRPr="006A7A1C">
        <w:t> 800</w:t>
      </w:r>
      <w:r w:rsidRPr="006A7A1C">
        <w:rPr>
          <w:szCs w:val="24"/>
        </w:rPr>
        <w:t>-4</w:t>
      </w:r>
      <w:r w:rsidRPr="006A7A1C">
        <w:t> 990</w:t>
      </w:r>
      <w:r w:rsidRPr="006A7A1C">
        <w:rPr>
          <w:szCs w:val="24"/>
        </w:rPr>
        <w:t xml:space="preserve"> MHz para la posible utilización de la componente terrenal de las IMT en esta banda, así como la protección a los servicios atribuidos en las mismas bandas;</w:t>
      </w:r>
    </w:p>
    <w:p w14:paraId="5DC824D5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lastRenderedPageBreak/>
        <w:t>l)</w:t>
      </w:r>
      <w:r w:rsidRPr="006A7A1C">
        <w:rPr>
          <w:szCs w:val="24"/>
        </w:rPr>
        <w:tab/>
        <w:t>que en preparación para la CMR-23, el UIT-R estudió las bandas 6</w:t>
      </w:r>
      <w:r w:rsidRPr="006A7A1C">
        <w:t> </w:t>
      </w:r>
      <w:r w:rsidRPr="006A7A1C">
        <w:rPr>
          <w:szCs w:val="24"/>
        </w:rPr>
        <w:t>425-7</w:t>
      </w:r>
      <w:r w:rsidRPr="006A7A1C">
        <w:t> </w:t>
      </w:r>
      <w:r w:rsidRPr="006A7A1C">
        <w:rPr>
          <w:szCs w:val="24"/>
        </w:rPr>
        <w:t>025 MHz (Región 1), 7</w:t>
      </w:r>
      <w:r w:rsidRPr="006A7A1C">
        <w:t> </w:t>
      </w:r>
      <w:r w:rsidRPr="006A7A1C">
        <w:rPr>
          <w:szCs w:val="24"/>
        </w:rPr>
        <w:t>025-7</w:t>
      </w:r>
      <w:r w:rsidRPr="006A7A1C">
        <w:t> </w:t>
      </w:r>
      <w:r w:rsidRPr="006A7A1C">
        <w:rPr>
          <w:szCs w:val="24"/>
        </w:rPr>
        <w:t>125 MHz y 10-10,5 GHz para la posible utilización de la componente terrenal de las IMT en estas bandas;</w:t>
      </w:r>
    </w:p>
    <w:p w14:paraId="6239FA69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m)</w:t>
      </w:r>
      <w:r w:rsidRPr="006A7A1C">
        <w:rPr>
          <w:szCs w:val="24"/>
        </w:rPr>
        <w:tab/>
        <w:t xml:space="preserve">que los estudios referidos en el </w:t>
      </w:r>
      <w:r w:rsidRPr="006A7A1C">
        <w:rPr>
          <w:i/>
          <w:szCs w:val="24"/>
        </w:rPr>
        <w:t>considerando l)</w:t>
      </w:r>
      <w:r w:rsidRPr="006A7A1C">
        <w:rPr>
          <w:szCs w:val="24"/>
        </w:rPr>
        <w:t xml:space="preserve"> examinaron conjuntamente las bandas de frecuencias 6</w:t>
      </w:r>
      <w:r w:rsidRPr="006A7A1C">
        <w:t> </w:t>
      </w:r>
      <w:r w:rsidRPr="006A7A1C">
        <w:rPr>
          <w:szCs w:val="24"/>
        </w:rPr>
        <w:t>425-7</w:t>
      </w:r>
      <w:r w:rsidRPr="006A7A1C">
        <w:t> </w:t>
      </w:r>
      <w:r w:rsidRPr="006A7A1C">
        <w:rPr>
          <w:szCs w:val="24"/>
        </w:rPr>
        <w:t>025 MHz y 7</w:t>
      </w:r>
      <w:r w:rsidRPr="006A7A1C">
        <w:t> </w:t>
      </w:r>
      <w:r w:rsidRPr="006A7A1C">
        <w:rPr>
          <w:szCs w:val="24"/>
        </w:rPr>
        <w:t>025-7</w:t>
      </w:r>
      <w:r w:rsidRPr="006A7A1C">
        <w:t> </w:t>
      </w:r>
      <w:r w:rsidRPr="006A7A1C">
        <w:rPr>
          <w:szCs w:val="24"/>
        </w:rPr>
        <w:t>125 MHz, y ambas bandas pudieran tener consideraciones particulares para cada una de ellas;</w:t>
      </w:r>
    </w:p>
    <w:p w14:paraId="654871B9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n)</w:t>
      </w:r>
      <w:r w:rsidRPr="006A7A1C">
        <w:rPr>
          <w:szCs w:val="24"/>
        </w:rPr>
        <w:tab/>
        <w:t xml:space="preserve">que los estudios referidos en el </w:t>
      </w:r>
      <w:r w:rsidRPr="006A7A1C">
        <w:rPr>
          <w:i/>
          <w:szCs w:val="24"/>
        </w:rPr>
        <w:t>considerando l)</w:t>
      </w:r>
      <w:r w:rsidRPr="006A7A1C">
        <w:rPr>
          <w:szCs w:val="24"/>
        </w:rPr>
        <w:t xml:space="preserve"> tomaron en cuenta principalmente consideraciones particulares para la banda 6</w:t>
      </w:r>
      <w:r w:rsidRPr="006A7A1C">
        <w:t> </w:t>
      </w:r>
      <w:r w:rsidRPr="006A7A1C">
        <w:rPr>
          <w:szCs w:val="24"/>
        </w:rPr>
        <w:t>425-7</w:t>
      </w:r>
      <w:r w:rsidRPr="006A7A1C">
        <w:t> </w:t>
      </w:r>
      <w:r w:rsidRPr="006A7A1C">
        <w:rPr>
          <w:szCs w:val="24"/>
        </w:rPr>
        <w:t>025 MHz en la Región 1, y en algunos casos se excluyeron las Regiones 2 y 3;</w:t>
      </w:r>
    </w:p>
    <w:p w14:paraId="273FAF68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o)</w:t>
      </w:r>
      <w:r w:rsidRPr="006A7A1C">
        <w:rPr>
          <w:szCs w:val="24"/>
        </w:rPr>
        <w:tab/>
        <w:t xml:space="preserve">que los estudios referidos en el </w:t>
      </w:r>
      <w:r w:rsidRPr="006A7A1C">
        <w:rPr>
          <w:i/>
          <w:szCs w:val="24"/>
        </w:rPr>
        <w:t>considerando l)</w:t>
      </w:r>
      <w:r w:rsidRPr="006A7A1C">
        <w:rPr>
          <w:szCs w:val="24"/>
        </w:rPr>
        <w:t xml:space="preserve"> no examinaron la compartición entre las estaciones terrenas transmisoras del SFS y las estaciones IMT receptoras, derivado de la falta de contribuciones;</w:t>
      </w:r>
    </w:p>
    <w:p w14:paraId="51390385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p)</w:t>
      </w:r>
      <w:r w:rsidRPr="006A7A1C">
        <w:rPr>
          <w:i/>
          <w:szCs w:val="24"/>
        </w:rPr>
        <w:tab/>
      </w:r>
      <w:r w:rsidRPr="006A7A1C">
        <w:rPr>
          <w:szCs w:val="24"/>
        </w:rPr>
        <w:t>que la CMR-15 y la CMR-19 identificaron la banda de frecuencias 4</w:t>
      </w:r>
      <w:r w:rsidRPr="006A7A1C">
        <w:t> </w:t>
      </w:r>
      <w:r w:rsidRPr="006A7A1C">
        <w:rPr>
          <w:szCs w:val="24"/>
        </w:rPr>
        <w:t>800- 4</w:t>
      </w:r>
      <w:r w:rsidRPr="006A7A1C">
        <w:t> </w:t>
      </w:r>
      <w:r w:rsidRPr="006A7A1C">
        <w:rPr>
          <w:szCs w:val="24"/>
        </w:rPr>
        <w:t>990 MHz para su utilización por las administraciones que deseen implementar sistemas IMT terrenales en los países mencionados en los números 5.441A y 5.441B;</w:t>
      </w:r>
    </w:p>
    <w:p w14:paraId="1348DDE2" w14:textId="77777777" w:rsidR="00DC27EC" w:rsidRPr="006A7A1C" w:rsidRDefault="00DC27EC" w:rsidP="00DC27EC">
      <w:pPr>
        <w:rPr>
          <w:i/>
          <w:szCs w:val="24"/>
        </w:rPr>
      </w:pPr>
      <w:r w:rsidRPr="006A7A1C">
        <w:rPr>
          <w:i/>
          <w:szCs w:val="24"/>
        </w:rPr>
        <w:t>q)</w:t>
      </w:r>
      <w:r w:rsidRPr="006A7A1C">
        <w:rPr>
          <w:i/>
          <w:szCs w:val="24"/>
        </w:rPr>
        <w:tab/>
      </w:r>
      <w:r w:rsidRPr="006A7A1C">
        <w:rPr>
          <w:szCs w:val="24"/>
        </w:rPr>
        <w:t xml:space="preserve">la necesidad de proteger los servicios existentes y permitir </w:t>
      </w:r>
      <w:r w:rsidRPr="006A7A1C">
        <w:rPr>
          <w:color w:val="000000"/>
          <w:szCs w:val="24"/>
        </w:rPr>
        <w:t>su desarrollo continuo al</w:t>
      </w:r>
      <w:r w:rsidRPr="006A7A1C">
        <w:rPr>
          <w:szCs w:val="24"/>
        </w:rPr>
        <w:t xml:space="preserve"> considerar bandas de frecuencias para posibles atribuciones adicionales a </w:t>
      </w:r>
      <w:r w:rsidRPr="006A7A1C">
        <w:rPr>
          <w:color w:val="000000"/>
          <w:szCs w:val="24"/>
        </w:rPr>
        <w:t>cualquier servicio;</w:t>
      </w:r>
    </w:p>
    <w:p w14:paraId="6D74F566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r)</w:t>
      </w:r>
      <w:r w:rsidRPr="006A7A1C">
        <w:rPr>
          <w:szCs w:val="24"/>
        </w:rPr>
        <w:tab/>
        <w:t>que las condiciones de implementación de las IMT pueden diferir entre administraciones en diferentes bandas de frecuencias identificadas para las IMT,</w:t>
      </w:r>
    </w:p>
    <w:p w14:paraId="3AD783EF" w14:textId="77777777" w:rsidR="00DC27EC" w:rsidRPr="006A7A1C" w:rsidRDefault="00DC27EC" w:rsidP="00DC27EC">
      <w:pPr>
        <w:pStyle w:val="Call"/>
        <w:rPr>
          <w:szCs w:val="24"/>
        </w:rPr>
      </w:pPr>
      <w:r w:rsidRPr="006A7A1C">
        <w:rPr>
          <w:szCs w:val="24"/>
        </w:rPr>
        <w:t>observando</w:t>
      </w:r>
    </w:p>
    <w:p w14:paraId="78ED4914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a)</w:t>
      </w:r>
      <w:r w:rsidRPr="006A7A1C">
        <w:rPr>
          <w:szCs w:val="24"/>
        </w:rPr>
        <w:tab/>
        <w:t>que la Resolución UIT</w:t>
      </w:r>
      <w:r w:rsidRPr="006A7A1C">
        <w:rPr>
          <w:szCs w:val="24"/>
        </w:rPr>
        <w:noBreakHyphen/>
        <w:t xml:space="preserve">R 65 </w:t>
      </w:r>
      <w:r w:rsidRPr="006A7A1C">
        <w:rPr>
          <w:color w:val="000000"/>
          <w:szCs w:val="24"/>
        </w:rPr>
        <w:t>contiene</w:t>
      </w:r>
      <w:r w:rsidRPr="006A7A1C">
        <w:rPr>
          <w:szCs w:val="24"/>
        </w:rPr>
        <w:t xml:space="preserve"> los principios para el proceso de desarrollo de las IMT para </w:t>
      </w:r>
      <w:r w:rsidRPr="006A7A1C">
        <w:rPr>
          <w:color w:val="000000"/>
          <w:szCs w:val="24"/>
        </w:rPr>
        <w:t xml:space="preserve">el </w:t>
      </w:r>
      <w:r w:rsidRPr="006A7A1C">
        <w:rPr>
          <w:szCs w:val="24"/>
        </w:rPr>
        <w:t xml:space="preserve">2020 y </w:t>
      </w:r>
      <w:r w:rsidRPr="006A7A1C">
        <w:rPr>
          <w:color w:val="000000"/>
          <w:szCs w:val="24"/>
        </w:rPr>
        <w:t xml:space="preserve">más adelante; </w:t>
      </w:r>
    </w:p>
    <w:p w14:paraId="42197BA0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b)</w:t>
      </w:r>
      <w:r w:rsidRPr="006A7A1C">
        <w:rPr>
          <w:i/>
          <w:szCs w:val="24"/>
        </w:rPr>
        <w:tab/>
      </w:r>
      <w:r w:rsidRPr="006A7A1C">
        <w:rPr>
          <w:szCs w:val="24"/>
        </w:rPr>
        <w:t>que</w:t>
      </w:r>
      <w:r w:rsidRPr="006A7A1C">
        <w:rPr>
          <w:i/>
          <w:szCs w:val="24"/>
        </w:rPr>
        <w:t xml:space="preserve"> </w:t>
      </w:r>
      <w:r w:rsidRPr="006A7A1C">
        <w:rPr>
          <w:szCs w:val="24"/>
        </w:rPr>
        <w:t xml:space="preserve">las IMT abarcan </w:t>
      </w:r>
      <w:r w:rsidRPr="006A7A1C">
        <w:rPr>
          <w:color w:val="000000"/>
          <w:szCs w:val="24"/>
        </w:rPr>
        <w:t xml:space="preserve">colectivamente </w:t>
      </w:r>
      <w:r w:rsidRPr="006A7A1C">
        <w:rPr>
          <w:szCs w:val="24"/>
        </w:rPr>
        <w:t>las IMT-2000, las IMT-Avanzadas, las IMT-2020 y las IMT-2030 de forma conjunta, como se describe en el Borrador de Revisión de la Resolución UIT</w:t>
      </w:r>
      <w:r w:rsidRPr="006A7A1C">
        <w:rPr>
          <w:szCs w:val="24"/>
        </w:rPr>
        <w:noBreakHyphen/>
        <w:t>R 56;</w:t>
      </w:r>
    </w:p>
    <w:p w14:paraId="66A89099" w14:textId="77777777" w:rsidR="00DC27EC" w:rsidRPr="006A7A1C" w:rsidRDefault="00DC27EC" w:rsidP="00DC27EC">
      <w:pPr>
        <w:rPr>
          <w:iCs/>
          <w:szCs w:val="24"/>
        </w:rPr>
      </w:pPr>
      <w:r w:rsidRPr="006A7A1C">
        <w:rPr>
          <w:i/>
          <w:iCs/>
          <w:szCs w:val="24"/>
        </w:rPr>
        <w:t>c)</w:t>
      </w:r>
      <w:r w:rsidRPr="006A7A1C">
        <w:rPr>
          <w:i/>
          <w:iCs/>
          <w:szCs w:val="24"/>
        </w:rPr>
        <w:tab/>
      </w:r>
      <w:r w:rsidRPr="006A7A1C">
        <w:rPr>
          <w:szCs w:val="24"/>
        </w:rPr>
        <w:t>que</w:t>
      </w:r>
      <w:r w:rsidRPr="006A7A1C">
        <w:rPr>
          <w:i/>
          <w:iCs/>
          <w:szCs w:val="24"/>
        </w:rPr>
        <w:t xml:space="preserve"> </w:t>
      </w:r>
      <w:r w:rsidRPr="006A7A1C">
        <w:rPr>
          <w:iCs/>
          <w:szCs w:val="24"/>
        </w:rPr>
        <w:t xml:space="preserve">la Cuestión UIT-R 77-8/5 </w:t>
      </w:r>
      <w:r w:rsidRPr="006A7A1C">
        <w:rPr>
          <w:color w:val="000000"/>
          <w:szCs w:val="24"/>
        </w:rPr>
        <w:t>considera</w:t>
      </w:r>
      <w:r w:rsidRPr="006A7A1C">
        <w:rPr>
          <w:iCs/>
          <w:szCs w:val="24"/>
        </w:rPr>
        <w:t xml:space="preserve"> las necesidades de los países en desarrollo </w:t>
      </w:r>
      <w:r w:rsidRPr="006A7A1C">
        <w:rPr>
          <w:color w:val="000000"/>
          <w:szCs w:val="24"/>
        </w:rPr>
        <w:t>en el diseño y la aplicación</w:t>
      </w:r>
      <w:r w:rsidRPr="006A7A1C">
        <w:rPr>
          <w:iCs/>
          <w:szCs w:val="24"/>
        </w:rPr>
        <w:t xml:space="preserve"> de las IMT;</w:t>
      </w:r>
    </w:p>
    <w:p w14:paraId="6BC037DD" w14:textId="77777777" w:rsidR="00DC27EC" w:rsidRPr="006A7A1C" w:rsidRDefault="00DC27EC" w:rsidP="00DC27EC">
      <w:pPr>
        <w:rPr>
          <w:i/>
          <w:iCs/>
          <w:szCs w:val="24"/>
        </w:rPr>
      </w:pPr>
      <w:r w:rsidRPr="006A7A1C">
        <w:rPr>
          <w:i/>
          <w:iCs/>
          <w:szCs w:val="24"/>
        </w:rPr>
        <w:t>d)</w:t>
      </w:r>
      <w:r w:rsidRPr="006A7A1C">
        <w:rPr>
          <w:iCs/>
          <w:szCs w:val="24"/>
        </w:rPr>
        <w:tab/>
        <w:t xml:space="preserve">que la Cuestión UIT-R 229/5 </w:t>
      </w:r>
      <w:r w:rsidRPr="006A7A1C">
        <w:rPr>
          <w:color w:val="000000"/>
          <w:szCs w:val="24"/>
        </w:rPr>
        <w:t>tiene por objeto</w:t>
      </w:r>
      <w:r w:rsidRPr="006A7A1C">
        <w:rPr>
          <w:iCs/>
          <w:szCs w:val="24"/>
        </w:rPr>
        <w:t xml:space="preserve"> abordar el futuro desarrollo de las IMT;</w:t>
      </w:r>
    </w:p>
    <w:p w14:paraId="482C03E8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e)</w:t>
      </w:r>
      <w:r w:rsidRPr="006A7A1C">
        <w:rPr>
          <w:szCs w:val="24"/>
        </w:rPr>
        <w:tab/>
        <w:t xml:space="preserve">que la Cuestión UIT-R 262/5 </w:t>
      </w:r>
      <w:r w:rsidRPr="006A7A1C">
        <w:rPr>
          <w:color w:val="000000"/>
          <w:szCs w:val="24"/>
        </w:rPr>
        <w:t>trata del</w:t>
      </w:r>
      <w:r w:rsidRPr="006A7A1C">
        <w:rPr>
          <w:szCs w:val="24"/>
        </w:rPr>
        <w:t xml:space="preserve"> estudio de la utilización de sistemas IMT para aplicaciones específicas;</w:t>
      </w:r>
    </w:p>
    <w:p w14:paraId="5B9EC767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f)</w:t>
      </w:r>
      <w:r w:rsidRPr="006A7A1C">
        <w:rPr>
          <w:szCs w:val="24"/>
        </w:rPr>
        <w:tab/>
        <w:t>que la Recomendación UIT-R M.2083 define el marco y los objetivos generales del futuro desarrollo de las IMT para 2020 y años posteriores;</w:t>
      </w:r>
    </w:p>
    <w:p w14:paraId="75549860" w14:textId="77777777" w:rsidR="00DC27EC" w:rsidRPr="006A7A1C" w:rsidRDefault="00DC27EC" w:rsidP="00DC27EC">
      <w:pPr>
        <w:rPr>
          <w:iCs/>
          <w:szCs w:val="24"/>
        </w:rPr>
      </w:pPr>
      <w:r w:rsidRPr="006A7A1C">
        <w:rPr>
          <w:i/>
          <w:iCs/>
          <w:szCs w:val="24"/>
        </w:rPr>
        <w:t>g)</w:t>
      </w:r>
      <w:r w:rsidRPr="006A7A1C">
        <w:rPr>
          <w:i/>
          <w:iCs/>
          <w:szCs w:val="24"/>
        </w:rPr>
        <w:tab/>
      </w:r>
      <w:r w:rsidRPr="006A7A1C">
        <w:rPr>
          <w:iCs/>
          <w:szCs w:val="24"/>
        </w:rPr>
        <w:t>que la Recomendación UIT-R M.2101 refiere la modelización y simulación de redes y sistemas IMT con miras a su utilización en estudios de compartición y compatibilidad;</w:t>
      </w:r>
    </w:p>
    <w:p w14:paraId="49669289" w14:textId="69F93057" w:rsidR="00DC27EC" w:rsidRPr="006A7A1C" w:rsidRDefault="00DC27EC" w:rsidP="00DC27EC">
      <w:pPr>
        <w:rPr>
          <w:iCs/>
          <w:szCs w:val="24"/>
        </w:rPr>
      </w:pPr>
      <w:r w:rsidRPr="006A7A1C">
        <w:rPr>
          <w:i/>
          <w:szCs w:val="24"/>
        </w:rPr>
        <w:t>h)</w:t>
      </w:r>
      <w:r w:rsidRPr="006A7A1C">
        <w:rPr>
          <w:iCs/>
          <w:szCs w:val="24"/>
        </w:rPr>
        <w:tab/>
        <w:t>que la Recomendación UIT-R M-2150 indica las especificaciones detalladas de las interfaces radioeléctricas terrenales de las Telecomunicaciones Móviles Internacionales 2020 (IMT</w:t>
      </w:r>
      <w:r w:rsidRPr="006A7A1C">
        <w:rPr>
          <w:iCs/>
          <w:szCs w:val="24"/>
        </w:rPr>
        <w:noBreakHyphen/>
        <w:t>2020);</w:t>
      </w:r>
    </w:p>
    <w:p w14:paraId="7F106EC1" w14:textId="77777777" w:rsidR="00DC27EC" w:rsidRPr="006A7A1C" w:rsidRDefault="00DC27EC" w:rsidP="00DC27EC">
      <w:pPr>
        <w:rPr>
          <w:iCs/>
          <w:szCs w:val="24"/>
        </w:rPr>
      </w:pPr>
      <w:r w:rsidRPr="006A7A1C">
        <w:rPr>
          <w:i/>
          <w:iCs/>
          <w:szCs w:val="24"/>
        </w:rPr>
        <w:t>i)</w:t>
      </w:r>
      <w:r w:rsidRPr="006A7A1C">
        <w:rPr>
          <w:iCs/>
          <w:szCs w:val="24"/>
        </w:rPr>
        <w:tab/>
        <w:t>que la Recomendación UIT-R M.2116 contiene las características técnicas y criterios de protección para los sistemas móviles aeronáuticos que funcionan en la banda de frecuencias 4</w:t>
      </w:r>
      <w:r w:rsidRPr="006A7A1C">
        <w:t> </w:t>
      </w:r>
      <w:r w:rsidRPr="006A7A1C">
        <w:rPr>
          <w:iCs/>
          <w:szCs w:val="24"/>
        </w:rPr>
        <w:t>400-4</w:t>
      </w:r>
      <w:r w:rsidRPr="006A7A1C">
        <w:t> </w:t>
      </w:r>
      <w:r w:rsidRPr="006A7A1C">
        <w:rPr>
          <w:iCs/>
          <w:szCs w:val="24"/>
        </w:rPr>
        <w:t>990 MHz;</w:t>
      </w:r>
    </w:p>
    <w:p w14:paraId="3475CBEA" w14:textId="77777777" w:rsidR="00DC27EC" w:rsidRPr="006A7A1C" w:rsidRDefault="00DC27EC" w:rsidP="00DC27EC">
      <w:pPr>
        <w:rPr>
          <w:iCs/>
          <w:szCs w:val="24"/>
        </w:rPr>
      </w:pPr>
      <w:r w:rsidRPr="006A7A1C">
        <w:rPr>
          <w:i/>
          <w:iCs/>
          <w:szCs w:val="24"/>
        </w:rPr>
        <w:t>j)</w:t>
      </w:r>
      <w:r w:rsidRPr="006A7A1C">
        <w:rPr>
          <w:iCs/>
          <w:szCs w:val="24"/>
        </w:rPr>
        <w:tab/>
        <w:t xml:space="preserve">que la Nueva Recomendación UIT-R </w:t>
      </w:r>
      <w:proofErr w:type="gramStart"/>
      <w:r w:rsidRPr="006A7A1C">
        <w:rPr>
          <w:iCs/>
          <w:szCs w:val="24"/>
        </w:rPr>
        <w:t>M.[</w:t>
      </w:r>
      <w:proofErr w:type="gramEnd"/>
      <w:r w:rsidRPr="006A7A1C">
        <w:rPr>
          <w:iCs/>
          <w:szCs w:val="24"/>
        </w:rPr>
        <w:t>IMT.FRAMEWORK FOR 2030 AND BEYOND] en la que se incluyen los objetivos de desarrollo futuro de las IMT-2030 y más allá se encuentra bajo proceso de aprobación bajo la Resolución ITU-R 1.8;</w:t>
      </w:r>
    </w:p>
    <w:p w14:paraId="261C95C5" w14:textId="77777777" w:rsidR="00DC27EC" w:rsidRPr="006A7A1C" w:rsidRDefault="00DC27EC" w:rsidP="00DC27EC">
      <w:pPr>
        <w:rPr>
          <w:iCs/>
          <w:szCs w:val="24"/>
        </w:rPr>
      </w:pPr>
      <w:r w:rsidRPr="006A7A1C">
        <w:rPr>
          <w:i/>
          <w:iCs/>
          <w:szCs w:val="24"/>
        </w:rPr>
        <w:lastRenderedPageBreak/>
        <w:t>k)</w:t>
      </w:r>
      <w:r w:rsidRPr="006A7A1C">
        <w:rPr>
          <w:iCs/>
          <w:szCs w:val="24"/>
        </w:rPr>
        <w:tab/>
        <w:t>la Recomendación UIT-R P.2108, la cual aborda la predicción de las pérdidas debidas a la ocupación del suelo;</w:t>
      </w:r>
    </w:p>
    <w:p w14:paraId="31AA5E2A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l</w:t>
      </w:r>
      <w:r w:rsidRPr="006A7A1C">
        <w:rPr>
          <w:szCs w:val="24"/>
        </w:rPr>
        <w:t>)</w:t>
      </w:r>
      <w:r w:rsidRPr="006A7A1C">
        <w:rPr>
          <w:szCs w:val="24"/>
        </w:rPr>
        <w:tab/>
        <w:t>que el Informe UIT-R M.2320 trata de las futuras tendencias tecnológicas de los sistemas IMT terrenales;</w:t>
      </w:r>
    </w:p>
    <w:p w14:paraId="6FEB428D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m)</w:t>
      </w:r>
      <w:r w:rsidRPr="006A7A1C">
        <w:rPr>
          <w:szCs w:val="24"/>
        </w:rPr>
        <w:tab/>
        <w:t>que el Informe UIT-R M.2370 analiza las tendencias que influyen en el crecimiento futuro del tráfico mundial para el periodo comprendido entre 2020 y 2030 para las IMT para 2020 y años posteriores;</w:t>
      </w:r>
    </w:p>
    <w:p w14:paraId="2F651E80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n)</w:t>
      </w:r>
      <w:r w:rsidRPr="006A7A1C">
        <w:rPr>
          <w:szCs w:val="24"/>
        </w:rPr>
        <w:tab/>
        <w:t>el Informe UIT-R M.2410 sobre requisitos mínimos relativos a la calidad de funcionamiento técnico para las interfaces radioeléctricas de las IMT-2020;</w:t>
      </w:r>
    </w:p>
    <w:p w14:paraId="554FD0F7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o)</w:t>
      </w:r>
      <w:r w:rsidRPr="006A7A1C">
        <w:rPr>
          <w:szCs w:val="24"/>
        </w:rPr>
        <w:tab/>
        <w:t xml:space="preserve">el Informe UIT-R M.2516 sobre las tendencias </w:t>
      </w:r>
      <w:r w:rsidRPr="006A7A1C">
        <w:rPr>
          <w:color w:val="000000"/>
          <w:szCs w:val="24"/>
        </w:rPr>
        <w:t>tecnológicas futuras de los sistemas de telecomunicaciones móviles internacionales terrestres</w:t>
      </w:r>
      <w:r w:rsidRPr="006A7A1C">
        <w:rPr>
          <w:szCs w:val="24"/>
        </w:rPr>
        <w:t xml:space="preserve"> hacia </w:t>
      </w:r>
      <w:r w:rsidRPr="006A7A1C">
        <w:rPr>
          <w:color w:val="000000"/>
          <w:szCs w:val="24"/>
        </w:rPr>
        <w:t>el año 2030</w:t>
      </w:r>
      <w:r w:rsidRPr="006A7A1C">
        <w:rPr>
          <w:szCs w:val="24"/>
        </w:rPr>
        <w:t xml:space="preserve"> y más allá;</w:t>
      </w:r>
    </w:p>
    <w:p w14:paraId="721083F8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p)</w:t>
      </w:r>
      <w:r w:rsidRPr="006A7A1C">
        <w:rPr>
          <w:i/>
          <w:szCs w:val="24"/>
        </w:rPr>
        <w:tab/>
      </w:r>
      <w:r w:rsidRPr="006A7A1C">
        <w:rPr>
          <w:szCs w:val="24"/>
        </w:rPr>
        <w:t>el Informe UIT</w:t>
      </w:r>
      <w:r w:rsidRPr="006A7A1C">
        <w:rPr>
          <w:szCs w:val="24"/>
        </w:rPr>
        <w:noBreakHyphen/>
        <w:t xml:space="preserve">R M.2376 sobre la viabilidad técnica de las IMT en las bandas </w:t>
      </w:r>
      <w:r w:rsidRPr="006A7A1C">
        <w:rPr>
          <w:iCs/>
          <w:szCs w:val="24"/>
        </w:rPr>
        <w:t xml:space="preserve">de frecuencias </w:t>
      </w:r>
      <w:r w:rsidRPr="006A7A1C">
        <w:rPr>
          <w:szCs w:val="24"/>
        </w:rPr>
        <w:t>por encima de 6 GHz,</w:t>
      </w:r>
    </w:p>
    <w:p w14:paraId="6BCB0BE3" w14:textId="77777777" w:rsidR="00DC27EC" w:rsidRPr="006A7A1C" w:rsidRDefault="00DC27EC" w:rsidP="00DC27EC">
      <w:pPr>
        <w:pStyle w:val="Call"/>
        <w:rPr>
          <w:szCs w:val="24"/>
        </w:rPr>
      </w:pPr>
      <w:r w:rsidRPr="006A7A1C">
        <w:rPr>
          <w:szCs w:val="24"/>
        </w:rPr>
        <w:t>reconociendo</w:t>
      </w:r>
    </w:p>
    <w:p w14:paraId="6793FC06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iCs/>
          <w:szCs w:val="24"/>
        </w:rPr>
        <w:t>a)</w:t>
      </w:r>
      <w:r w:rsidRPr="006A7A1C">
        <w:rPr>
          <w:szCs w:val="24"/>
        </w:rPr>
        <w:tab/>
        <w:t xml:space="preserve">que transcurre un tiempo considerable entre la atribución de las bandas de frecuencias por las conferencias mundiales de radiocomunicaciones y el despliegue de sistemas en esas bandas de frecuencias, motivo por el cual es importante disponer </w:t>
      </w:r>
      <w:r w:rsidRPr="006A7A1C">
        <w:rPr>
          <w:color w:val="000000"/>
          <w:szCs w:val="24"/>
        </w:rPr>
        <w:t>oportunamente</w:t>
      </w:r>
      <w:r w:rsidRPr="006A7A1C">
        <w:rPr>
          <w:szCs w:val="24"/>
        </w:rPr>
        <w:t xml:space="preserve"> de grandes bloques de espectro contiguos </w:t>
      </w:r>
      <w:r w:rsidRPr="006A7A1C">
        <w:rPr>
          <w:color w:val="000000"/>
          <w:szCs w:val="24"/>
        </w:rPr>
        <w:t>para apoyar</w:t>
      </w:r>
      <w:r w:rsidRPr="006A7A1C">
        <w:rPr>
          <w:szCs w:val="24"/>
        </w:rPr>
        <w:t xml:space="preserve"> el desarrollo de las IMT;</w:t>
      </w:r>
    </w:p>
    <w:p w14:paraId="3338560F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b)</w:t>
      </w:r>
      <w:r w:rsidRPr="006A7A1C">
        <w:rPr>
          <w:i/>
          <w:szCs w:val="24"/>
        </w:rPr>
        <w:tab/>
      </w:r>
      <w:r w:rsidRPr="006A7A1C">
        <w:rPr>
          <w:color w:val="000000"/>
          <w:szCs w:val="24"/>
        </w:rPr>
        <w:t>que</w:t>
      </w:r>
      <w:r w:rsidRPr="006A7A1C">
        <w:rPr>
          <w:szCs w:val="24"/>
        </w:rPr>
        <w:t xml:space="preserve"> para garantizar el desarrollo futuro de las IMT</w:t>
      </w:r>
      <w:r w:rsidRPr="006A7A1C">
        <w:rPr>
          <w:color w:val="000000"/>
          <w:szCs w:val="24"/>
        </w:rPr>
        <w:t xml:space="preserve"> es importante asegurar la identificación oportuna de espectro adicional; </w:t>
      </w:r>
    </w:p>
    <w:p w14:paraId="134A5C29" w14:textId="77777777" w:rsidR="00DC27EC" w:rsidRPr="006A7A1C" w:rsidRDefault="00DC27EC" w:rsidP="00DC27EC">
      <w:pPr>
        <w:rPr>
          <w:color w:val="000000"/>
          <w:szCs w:val="24"/>
        </w:rPr>
      </w:pPr>
      <w:r w:rsidRPr="006A7A1C">
        <w:rPr>
          <w:i/>
          <w:iCs/>
          <w:szCs w:val="24"/>
        </w:rPr>
        <w:t>c)</w:t>
      </w:r>
      <w:r w:rsidRPr="006A7A1C">
        <w:rPr>
          <w:szCs w:val="24"/>
        </w:rPr>
        <w:tab/>
        <w:t xml:space="preserve">que en todo proceso de identificación de bandas de frecuencias para las IMT se debería tener en cuenta </w:t>
      </w:r>
      <w:r w:rsidRPr="006A7A1C">
        <w:rPr>
          <w:color w:val="000000"/>
          <w:szCs w:val="24"/>
        </w:rPr>
        <w:t>el uso</w:t>
      </w:r>
      <w:r w:rsidRPr="006A7A1C">
        <w:rPr>
          <w:szCs w:val="24"/>
        </w:rPr>
        <w:t xml:space="preserve"> de las bandas de frecuencias por otros servicios y aplicaciones, así como las necesidades en constante evolución</w:t>
      </w:r>
      <w:r w:rsidRPr="006A7A1C">
        <w:rPr>
          <w:color w:val="000000"/>
          <w:szCs w:val="24"/>
        </w:rPr>
        <w:t>;</w:t>
      </w:r>
    </w:p>
    <w:p w14:paraId="26BE5B26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d)</w:t>
      </w:r>
      <w:r w:rsidRPr="006A7A1C">
        <w:rPr>
          <w:szCs w:val="24"/>
        </w:rPr>
        <w:tab/>
        <w:t>que existe la necesidad de muchos países de identificar recursos de espectro radioeléctrico adicionales para lograr la armonización mundial en la implementación de las IMT;</w:t>
      </w:r>
    </w:p>
    <w:p w14:paraId="6FBB9ADE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e)</w:t>
      </w:r>
      <w:r w:rsidRPr="006A7A1C">
        <w:rPr>
          <w:szCs w:val="24"/>
        </w:rPr>
        <w:tab/>
        <w:t>que, para algunas administraciones, la única forma de implementar las IMT sería en la reconfiguración de espectro considerado para otros servicios o aplicaciones;</w:t>
      </w:r>
    </w:p>
    <w:p w14:paraId="0B311D3B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f)</w:t>
      </w:r>
      <w:r w:rsidRPr="006A7A1C">
        <w:rPr>
          <w:szCs w:val="24"/>
        </w:rPr>
        <w:t xml:space="preserve"> </w:t>
      </w:r>
      <w:r w:rsidRPr="006A7A1C">
        <w:rPr>
          <w:szCs w:val="24"/>
        </w:rPr>
        <w:tab/>
        <w:t>que para contar con los elementos que podrían aplicarse a las regulaciones específicas de las regiones, se deben considerar cuestiones particulares de cada una de ellas en el estudio de las diferentes bandas de frecuencias;</w:t>
      </w:r>
    </w:p>
    <w:p w14:paraId="763B072B" w14:textId="77777777" w:rsidR="00DC27EC" w:rsidRPr="006A7A1C" w:rsidRDefault="00DC27EC" w:rsidP="00DC27EC">
      <w:pPr>
        <w:rPr>
          <w:szCs w:val="24"/>
        </w:rPr>
      </w:pPr>
      <w:r w:rsidRPr="006A7A1C">
        <w:rPr>
          <w:i/>
          <w:szCs w:val="24"/>
        </w:rPr>
        <w:t>g)</w:t>
      </w:r>
      <w:r w:rsidRPr="006A7A1C">
        <w:rPr>
          <w:szCs w:val="24"/>
        </w:rPr>
        <w:t xml:space="preserve"> </w:t>
      </w:r>
      <w:r w:rsidRPr="006A7A1C">
        <w:rPr>
          <w:szCs w:val="24"/>
        </w:rPr>
        <w:tab/>
        <w:t>que las administraciones pueden tener requerimientos de espectro distintos dependiendo de las condiciones nacionales o circunstancias particulares,</w:t>
      </w:r>
    </w:p>
    <w:p w14:paraId="74FEE266" w14:textId="77777777" w:rsidR="00DC27EC" w:rsidRPr="006A7A1C" w:rsidRDefault="00DC27EC" w:rsidP="00DC27EC">
      <w:pPr>
        <w:pStyle w:val="Call"/>
        <w:rPr>
          <w:szCs w:val="24"/>
        </w:rPr>
      </w:pPr>
      <w:r w:rsidRPr="006A7A1C">
        <w:rPr>
          <w:szCs w:val="24"/>
        </w:rPr>
        <w:t>resuelve invitar al Sector de Radiocomunicaciones de la UIT</w:t>
      </w:r>
    </w:p>
    <w:p w14:paraId="714064AE" w14:textId="77777777" w:rsidR="00DC27EC" w:rsidRPr="006A7A1C" w:rsidRDefault="00DC27EC" w:rsidP="00DC27EC">
      <w:pPr>
        <w:rPr>
          <w:szCs w:val="24"/>
        </w:rPr>
      </w:pPr>
      <w:r w:rsidRPr="006A7A1C">
        <w:rPr>
          <w:szCs w:val="24"/>
        </w:rPr>
        <w:t>1</w:t>
      </w:r>
      <w:r w:rsidRPr="006A7A1C">
        <w:rPr>
          <w:szCs w:val="24"/>
        </w:rPr>
        <w:tab/>
        <w:t>a realizar y completar a tiempo para la CMR-</w:t>
      </w:r>
      <w:r w:rsidRPr="006A7A1C">
        <w:rPr>
          <w:color w:val="000000" w:themeColor="text1"/>
          <w:szCs w:val="24"/>
        </w:rPr>
        <w:t>27,</w:t>
      </w:r>
      <w:r w:rsidRPr="006A7A1C">
        <w:rPr>
          <w:szCs w:val="24"/>
        </w:rPr>
        <w:t xml:space="preserve"> los estudios correspondientes sobre las cuestiones técnicas, operativas y reglamentarias relativas a la posible utilización de la componente terrenal de las IMT en las bandas de </w:t>
      </w:r>
      <w:r w:rsidRPr="006A7A1C">
        <w:rPr>
          <w:color w:val="000000" w:themeColor="text1"/>
          <w:szCs w:val="24"/>
        </w:rPr>
        <w:t xml:space="preserve">frecuencias enumeradas en el </w:t>
      </w:r>
      <w:r w:rsidRPr="006A7A1C">
        <w:rPr>
          <w:i/>
          <w:color w:val="000000" w:themeColor="text1"/>
          <w:szCs w:val="24"/>
        </w:rPr>
        <w:t>resuelve</w:t>
      </w:r>
      <w:r w:rsidRPr="006A7A1C">
        <w:rPr>
          <w:i/>
          <w:iCs/>
          <w:szCs w:val="24"/>
        </w:rPr>
        <w:t xml:space="preserve"> invitar al Sector de Radiocomunicaciones de la UIT 2</w:t>
      </w:r>
      <w:r w:rsidRPr="006A7A1C">
        <w:rPr>
          <w:szCs w:val="24"/>
        </w:rPr>
        <w:t>, teniendo en cuenta:</w:t>
      </w:r>
    </w:p>
    <w:p w14:paraId="4E634A57" w14:textId="77777777" w:rsidR="00DC27EC" w:rsidRPr="006A7A1C" w:rsidRDefault="00DC27EC" w:rsidP="00DC27EC">
      <w:pPr>
        <w:pStyle w:val="enumlev1"/>
      </w:pPr>
      <w:r w:rsidRPr="006A7A1C">
        <w:t>–</w:t>
      </w:r>
      <w:r w:rsidRPr="006A7A1C">
        <w:tab/>
        <w:t>la evolución de las necesidades para satisfacer la demanda creciente de las IMT;</w:t>
      </w:r>
    </w:p>
    <w:p w14:paraId="5227D16F" w14:textId="77777777" w:rsidR="00DC27EC" w:rsidRPr="006A7A1C" w:rsidRDefault="00DC27EC" w:rsidP="00DC27EC">
      <w:pPr>
        <w:pStyle w:val="enumlev1"/>
      </w:pPr>
      <w:r w:rsidRPr="006A7A1C">
        <w:t>–</w:t>
      </w:r>
      <w:r w:rsidRPr="006A7A1C">
        <w:tab/>
        <w:t>las características técnicas y operativas de los sistemas IMT terrenales que funcionarán en estas bandas de frecuencias específicas, incluidas, la evolución de las IMT a través de los avances tecnológicos y las técnicas de eficiencia espectral;</w:t>
      </w:r>
    </w:p>
    <w:p w14:paraId="5C9A6364" w14:textId="77777777" w:rsidR="00DC27EC" w:rsidRPr="006A7A1C" w:rsidRDefault="00DC27EC" w:rsidP="00DC27EC">
      <w:pPr>
        <w:pStyle w:val="enumlev1"/>
      </w:pPr>
      <w:r w:rsidRPr="006A7A1C">
        <w:t>–</w:t>
      </w:r>
      <w:r w:rsidRPr="006A7A1C">
        <w:tab/>
        <w:t>los escenarios de despliegue previstos para los sistemas IMT y los requisitos correspondientes de cobertura y capacidad equilibradas;</w:t>
      </w:r>
    </w:p>
    <w:p w14:paraId="29E3EBE4" w14:textId="77777777" w:rsidR="00DC27EC" w:rsidRPr="006A7A1C" w:rsidRDefault="00DC27EC" w:rsidP="00DC27EC">
      <w:pPr>
        <w:pStyle w:val="enumlev1"/>
      </w:pPr>
      <w:r w:rsidRPr="006A7A1C">
        <w:lastRenderedPageBreak/>
        <w:t>–</w:t>
      </w:r>
      <w:r w:rsidRPr="006A7A1C">
        <w:tab/>
        <w:t xml:space="preserve">las necesidades de los países en vías de desarrollo; y </w:t>
      </w:r>
    </w:p>
    <w:p w14:paraId="27DD4745" w14:textId="77777777" w:rsidR="00DC27EC" w:rsidRPr="006A7A1C" w:rsidRDefault="00DC27EC" w:rsidP="00DC27EC">
      <w:pPr>
        <w:pStyle w:val="enumlev1"/>
      </w:pPr>
      <w:r w:rsidRPr="006A7A1C">
        <w:t>–</w:t>
      </w:r>
      <w:r w:rsidRPr="006A7A1C">
        <w:tab/>
        <w:t>el periodo de tiempo en el que se necesitará el espectro,</w:t>
      </w:r>
    </w:p>
    <w:p w14:paraId="6F03F9CE" w14:textId="415003C6" w:rsidR="00DC27EC" w:rsidRPr="006A7A1C" w:rsidRDefault="00DC27EC" w:rsidP="00DC27EC">
      <w:pPr>
        <w:rPr>
          <w:szCs w:val="24"/>
        </w:rPr>
      </w:pPr>
      <w:r w:rsidRPr="006A7A1C">
        <w:rPr>
          <w:szCs w:val="24"/>
        </w:rPr>
        <w:t>2</w:t>
      </w:r>
      <w:r w:rsidRPr="006A7A1C">
        <w:rPr>
          <w:szCs w:val="24"/>
        </w:rPr>
        <w:tab/>
        <w:t xml:space="preserve">a realizar y completar a tiempo para la CMR-27 los estudios de compartición y compatibilidad con </w:t>
      </w:r>
      <w:r w:rsidRPr="006A7A1C">
        <w:rPr>
          <w:color w:val="000000" w:themeColor="text1"/>
          <w:szCs w:val="24"/>
        </w:rPr>
        <w:t>el fin de</w:t>
      </w:r>
      <w:r w:rsidRPr="006A7A1C">
        <w:rPr>
          <w:szCs w:val="24"/>
        </w:rPr>
        <w:t xml:space="preserve"> garantizar la protección de los servicios a los que estén atribuidas a título primario las bandas </w:t>
      </w:r>
      <w:r w:rsidRPr="006A7A1C">
        <w:rPr>
          <w:bCs/>
          <w:szCs w:val="24"/>
        </w:rPr>
        <w:t xml:space="preserve">de frecuencias </w:t>
      </w:r>
      <w:r w:rsidR="00EF4798">
        <w:rPr>
          <w:szCs w:val="24"/>
        </w:rPr>
        <w:t>s</w:t>
      </w:r>
      <w:r w:rsidR="00EF4798" w:rsidRPr="006A7A1C">
        <w:rPr>
          <w:szCs w:val="24"/>
        </w:rPr>
        <w:t>in imponer restricciones reglamentarias o técnicas adicionales a los servicios atribuidos a título primario, y también, según corresponda, la protección de los servicios atribuidos a título primario en las bandas adyacentes</w:t>
      </w:r>
      <w:r w:rsidRPr="006A7A1C">
        <w:rPr>
          <w:szCs w:val="24"/>
        </w:rPr>
        <w:t>:</w:t>
      </w:r>
    </w:p>
    <w:p w14:paraId="06934894" w14:textId="77777777" w:rsidR="00DC27EC" w:rsidRPr="006A7A1C" w:rsidRDefault="00DC27EC" w:rsidP="00DC27EC">
      <w:pPr>
        <w:pStyle w:val="enumlev1"/>
        <w:rPr>
          <w:szCs w:val="24"/>
        </w:rPr>
      </w:pPr>
      <w:r w:rsidRPr="006A7A1C">
        <w:rPr>
          <w:szCs w:val="24"/>
        </w:rPr>
        <w:t>–</w:t>
      </w:r>
      <w:r w:rsidRPr="006A7A1C">
        <w:rPr>
          <w:szCs w:val="24"/>
        </w:rPr>
        <w:tab/>
        <w:t>4</w:t>
      </w:r>
      <w:r w:rsidRPr="006A7A1C">
        <w:t> 800-4 990 MHz;</w:t>
      </w:r>
    </w:p>
    <w:p w14:paraId="5B54093D" w14:textId="77777777" w:rsidR="00DC27EC" w:rsidRPr="006A7A1C" w:rsidRDefault="00DC27EC" w:rsidP="00DC27EC">
      <w:pPr>
        <w:pStyle w:val="enumlev1"/>
        <w:rPr>
          <w:szCs w:val="24"/>
        </w:rPr>
      </w:pPr>
      <w:r w:rsidRPr="006A7A1C">
        <w:rPr>
          <w:szCs w:val="24"/>
        </w:rPr>
        <w:t>–</w:t>
      </w:r>
      <w:r w:rsidRPr="006A7A1C">
        <w:rPr>
          <w:szCs w:val="24"/>
        </w:rPr>
        <w:tab/>
        <w:t>6</w:t>
      </w:r>
      <w:r w:rsidRPr="006A7A1C">
        <w:t> </w:t>
      </w:r>
      <w:r w:rsidRPr="006A7A1C">
        <w:rPr>
          <w:szCs w:val="24"/>
        </w:rPr>
        <w:t>425</w:t>
      </w:r>
      <w:r w:rsidRPr="006A7A1C">
        <w:rPr>
          <w:szCs w:val="24"/>
        </w:rPr>
        <w:noBreakHyphen/>
        <w:t>7</w:t>
      </w:r>
      <w:r w:rsidRPr="006A7A1C">
        <w:t> </w:t>
      </w:r>
      <w:r w:rsidRPr="006A7A1C">
        <w:rPr>
          <w:szCs w:val="24"/>
        </w:rPr>
        <w:t>025 MHz (Región 2);</w:t>
      </w:r>
    </w:p>
    <w:p w14:paraId="41F36132" w14:textId="77777777" w:rsidR="00DC27EC" w:rsidRPr="006A7A1C" w:rsidRDefault="00DC27EC" w:rsidP="00DC27EC">
      <w:pPr>
        <w:pStyle w:val="enumlev1"/>
        <w:rPr>
          <w:szCs w:val="24"/>
        </w:rPr>
      </w:pPr>
      <w:r w:rsidRPr="006A7A1C">
        <w:rPr>
          <w:szCs w:val="24"/>
        </w:rPr>
        <w:t>–</w:t>
      </w:r>
      <w:r w:rsidRPr="006A7A1C">
        <w:rPr>
          <w:szCs w:val="24"/>
        </w:rPr>
        <w:tab/>
        <w:t>7</w:t>
      </w:r>
      <w:r w:rsidRPr="006A7A1C">
        <w:t> </w:t>
      </w:r>
      <w:r w:rsidRPr="006A7A1C">
        <w:rPr>
          <w:szCs w:val="24"/>
        </w:rPr>
        <w:t>025-7</w:t>
      </w:r>
      <w:r w:rsidRPr="006A7A1C">
        <w:t> </w:t>
      </w:r>
      <w:r w:rsidRPr="006A7A1C">
        <w:rPr>
          <w:szCs w:val="24"/>
        </w:rPr>
        <w:t>125 MHz;</w:t>
      </w:r>
    </w:p>
    <w:p w14:paraId="30E4948E" w14:textId="77777777" w:rsidR="00DC27EC" w:rsidRPr="006A7A1C" w:rsidRDefault="00DC27EC" w:rsidP="00DC27EC">
      <w:pPr>
        <w:pStyle w:val="enumlev1"/>
        <w:rPr>
          <w:szCs w:val="24"/>
        </w:rPr>
      </w:pPr>
      <w:r w:rsidRPr="006A7A1C">
        <w:rPr>
          <w:szCs w:val="24"/>
        </w:rPr>
        <w:t>–</w:t>
      </w:r>
      <w:r w:rsidRPr="006A7A1C">
        <w:rPr>
          <w:szCs w:val="24"/>
        </w:rPr>
        <w:tab/>
      </w:r>
      <w:r w:rsidRPr="006A7A1C">
        <w:rPr>
          <w:rFonts w:eastAsia="MS Mincho"/>
          <w:szCs w:val="24"/>
        </w:rPr>
        <w:t>10,5-10,68 GHz</w:t>
      </w:r>
      <w:r w:rsidRPr="006A7A1C">
        <w:rPr>
          <w:szCs w:val="24"/>
        </w:rPr>
        <w:t>,</w:t>
      </w:r>
    </w:p>
    <w:p w14:paraId="27160B68" w14:textId="77777777" w:rsidR="00DC27EC" w:rsidRPr="006A7A1C" w:rsidRDefault="00DC27EC" w:rsidP="00DC27EC">
      <w:pPr>
        <w:pStyle w:val="Call"/>
        <w:rPr>
          <w:szCs w:val="24"/>
        </w:rPr>
      </w:pPr>
      <w:r w:rsidRPr="006A7A1C">
        <w:rPr>
          <w:szCs w:val="24"/>
        </w:rPr>
        <w:t>resuelve</w:t>
      </w:r>
    </w:p>
    <w:p w14:paraId="13C04F4E" w14:textId="77777777" w:rsidR="00DC27EC" w:rsidRPr="006A7A1C" w:rsidRDefault="00DC27EC" w:rsidP="00DC27EC">
      <w:pPr>
        <w:rPr>
          <w:szCs w:val="24"/>
        </w:rPr>
      </w:pPr>
      <w:r w:rsidRPr="006A7A1C">
        <w:rPr>
          <w:szCs w:val="24"/>
        </w:rPr>
        <w:t>1</w:t>
      </w:r>
      <w:r w:rsidRPr="006A7A1C">
        <w:rPr>
          <w:szCs w:val="24"/>
        </w:rPr>
        <w:tab/>
        <w:t>invitar a la primera sesión de la Reunión Preparatoria de la Conferencia para la CMR-</w:t>
      </w:r>
      <w:r w:rsidRPr="006A7A1C">
        <w:rPr>
          <w:color w:val="000000"/>
          <w:szCs w:val="24"/>
        </w:rPr>
        <w:t>27</w:t>
      </w:r>
      <w:r w:rsidRPr="006A7A1C">
        <w:rPr>
          <w:szCs w:val="24"/>
        </w:rPr>
        <w:t xml:space="preserve"> a establecer la fecha en la que deberán estar disponibles las características técnicas y operativas necesarias para </w:t>
      </w:r>
      <w:r w:rsidRPr="006A7A1C">
        <w:rPr>
          <w:color w:val="000000"/>
          <w:szCs w:val="24"/>
        </w:rPr>
        <w:t xml:space="preserve">realizar </w:t>
      </w:r>
      <w:r w:rsidRPr="006A7A1C">
        <w:rPr>
          <w:szCs w:val="24"/>
        </w:rPr>
        <w:t xml:space="preserve">los estudios sobre compartición y compatibilidad, </w:t>
      </w:r>
      <w:r w:rsidRPr="006A7A1C">
        <w:rPr>
          <w:color w:val="000000"/>
          <w:szCs w:val="24"/>
        </w:rPr>
        <w:t>a</w:t>
      </w:r>
      <w:r w:rsidRPr="006A7A1C">
        <w:rPr>
          <w:szCs w:val="24"/>
        </w:rPr>
        <w:t xml:space="preserve"> fin de </w:t>
      </w:r>
      <w:r w:rsidRPr="006A7A1C">
        <w:rPr>
          <w:color w:val="000000"/>
          <w:szCs w:val="24"/>
        </w:rPr>
        <w:t>asegurar</w:t>
      </w:r>
      <w:r w:rsidRPr="006A7A1C">
        <w:rPr>
          <w:szCs w:val="24"/>
        </w:rPr>
        <w:t xml:space="preserve"> que los estudios mencionados en el </w:t>
      </w:r>
      <w:r w:rsidRPr="006A7A1C">
        <w:rPr>
          <w:i/>
          <w:iCs/>
          <w:szCs w:val="24"/>
        </w:rPr>
        <w:t>resuelve invitar al Sector de Radiocomunicaciones de la UIT</w:t>
      </w:r>
      <w:r w:rsidRPr="006A7A1C">
        <w:rPr>
          <w:szCs w:val="24"/>
        </w:rPr>
        <w:t xml:space="preserve"> puedan completarse a tiempo para </w:t>
      </w:r>
      <w:r w:rsidRPr="006A7A1C">
        <w:rPr>
          <w:color w:val="000000"/>
          <w:szCs w:val="24"/>
        </w:rPr>
        <w:t>su consideración</w:t>
      </w:r>
      <w:r w:rsidRPr="006A7A1C">
        <w:rPr>
          <w:szCs w:val="24"/>
        </w:rPr>
        <w:t xml:space="preserve"> en la CMR-2</w:t>
      </w:r>
      <w:r w:rsidRPr="006A7A1C">
        <w:rPr>
          <w:color w:val="000000"/>
          <w:szCs w:val="24"/>
        </w:rPr>
        <w:t>7</w:t>
      </w:r>
      <w:r w:rsidRPr="006A7A1C">
        <w:rPr>
          <w:szCs w:val="24"/>
        </w:rPr>
        <w:t>;</w:t>
      </w:r>
    </w:p>
    <w:p w14:paraId="53AF117E" w14:textId="77777777" w:rsidR="00DC27EC" w:rsidRPr="006A7A1C" w:rsidRDefault="00DC27EC" w:rsidP="00DC27EC">
      <w:pPr>
        <w:rPr>
          <w:szCs w:val="24"/>
        </w:rPr>
      </w:pPr>
      <w:r w:rsidRPr="006A7A1C">
        <w:rPr>
          <w:szCs w:val="24"/>
        </w:rPr>
        <w:t>2</w:t>
      </w:r>
      <w:r w:rsidRPr="006A7A1C">
        <w:rPr>
          <w:szCs w:val="24"/>
        </w:rPr>
        <w:tab/>
        <w:t>invitar a la CMR-</w:t>
      </w:r>
      <w:r w:rsidRPr="006A7A1C">
        <w:rPr>
          <w:color w:val="000000"/>
          <w:szCs w:val="24"/>
        </w:rPr>
        <w:t>27</w:t>
      </w:r>
      <w:r w:rsidRPr="006A7A1C">
        <w:rPr>
          <w:szCs w:val="24"/>
        </w:rPr>
        <w:t xml:space="preserve"> a </w:t>
      </w:r>
      <w:r w:rsidRPr="006A7A1C">
        <w:rPr>
          <w:color w:val="000000"/>
          <w:szCs w:val="24"/>
        </w:rPr>
        <w:t>que considere,</w:t>
      </w:r>
      <w:r w:rsidRPr="006A7A1C">
        <w:rPr>
          <w:szCs w:val="24"/>
        </w:rPr>
        <w:t xml:space="preserve"> basándose en los resultados de </w:t>
      </w:r>
      <w:r w:rsidRPr="006A7A1C">
        <w:rPr>
          <w:color w:val="000000"/>
          <w:szCs w:val="24"/>
        </w:rPr>
        <w:t>dichos</w:t>
      </w:r>
      <w:r w:rsidRPr="006A7A1C">
        <w:rPr>
          <w:szCs w:val="24"/>
        </w:rPr>
        <w:t xml:space="preserve"> estudios, las atribuciones adicionales de espectro al servicio móvil a título primario, y a </w:t>
      </w:r>
      <w:r w:rsidRPr="006A7A1C">
        <w:rPr>
          <w:color w:val="000000"/>
          <w:szCs w:val="24"/>
        </w:rPr>
        <w:t>que considere</w:t>
      </w:r>
      <w:r w:rsidRPr="006A7A1C">
        <w:rPr>
          <w:szCs w:val="24"/>
        </w:rPr>
        <w:t xml:space="preserve"> la identificación de bandas de frecuencias para la componente terrenal de las IMT, estando dichas bandas de frecuencias limitadas a parte o a la totalidad de las bandas de frecuencias enumeradas en el </w:t>
      </w:r>
      <w:r w:rsidRPr="006A7A1C">
        <w:rPr>
          <w:i/>
          <w:iCs/>
          <w:szCs w:val="24"/>
        </w:rPr>
        <w:t>resuelve invitar al Sector de Radiocomunicaciones de la UIT 2</w:t>
      </w:r>
      <w:r w:rsidRPr="006A7A1C">
        <w:rPr>
          <w:szCs w:val="24"/>
        </w:rPr>
        <w:t>,</w:t>
      </w:r>
    </w:p>
    <w:p w14:paraId="4DCDA7F3" w14:textId="77777777" w:rsidR="00DC27EC" w:rsidRPr="006A7A1C" w:rsidRDefault="00DC27EC" w:rsidP="00DC27EC">
      <w:pPr>
        <w:pStyle w:val="Call"/>
        <w:rPr>
          <w:szCs w:val="24"/>
        </w:rPr>
      </w:pPr>
      <w:r w:rsidRPr="006A7A1C">
        <w:rPr>
          <w:szCs w:val="24"/>
        </w:rPr>
        <w:t>invita a las administraciones</w:t>
      </w:r>
    </w:p>
    <w:p w14:paraId="65B0EF6A" w14:textId="77777777" w:rsidR="00DC27EC" w:rsidRPr="006A7A1C" w:rsidRDefault="00DC27EC" w:rsidP="00DC27EC">
      <w:pPr>
        <w:rPr>
          <w:szCs w:val="24"/>
        </w:rPr>
      </w:pPr>
      <w:r w:rsidRPr="006A7A1C">
        <w:rPr>
          <w:szCs w:val="24"/>
        </w:rPr>
        <w:t xml:space="preserve">a </w:t>
      </w:r>
      <w:r w:rsidRPr="006A7A1C">
        <w:rPr>
          <w:color w:val="000000"/>
          <w:szCs w:val="24"/>
        </w:rPr>
        <w:t>que participen</w:t>
      </w:r>
      <w:r w:rsidRPr="006A7A1C">
        <w:rPr>
          <w:szCs w:val="24"/>
        </w:rPr>
        <w:t xml:space="preserve"> activamente en </w:t>
      </w:r>
      <w:r w:rsidRPr="006A7A1C">
        <w:rPr>
          <w:color w:val="000000"/>
          <w:szCs w:val="24"/>
        </w:rPr>
        <w:t>estos</w:t>
      </w:r>
      <w:r w:rsidRPr="006A7A1C">
        <w:rPr>
          <w:szCs w:val="24"/>
        </w:rPr>
        <w:t xml:space="preserve"> estudios</w:t>
      </w:r>
      <w:r w:rsidRPr="006A7A1C">
        <w:rPr>
          <w:color w:val="000000"/>
          <w:szCs w:val="24"/>
        </w:rPr>
        <w:t xml:space="preserve"> mediante la presentación de</w:t>
      </w:r>
      <w:r w:rsidRPr="006A7A1C">
        <w:rPr>
          <w:szCs w:val="24"/>
        </w:rPr>
        <w:t xml:space="preserve"> contribuciones al Sector de Radiocomunicaciones de la UIT.</w:t>
      </w:r>
    </w:p>
    <w:p w14:paraId="5E668E83" w14:textId="47174743" w:rsidR="008978CF" w:rsidRPr="006A7A1C" w:rsidRDefault="00DC27EC" w:rsidP="00DC27EC">
      <w:pPr>
        <w:pStyle w:val="Reasons"/>
      </w:pPr>
      <w:r w:rsidRPr="006A7A1C">
        <w:rPr>
          <w:b/>
        </w:rPr>
        <w:t>Motivos:</w:t>
      </w:r>
      <w:r w:rsidRPr="006A7A1C">
        <w:tab/>
        <w:t>Incluir una nueva Resolución con el fin de especificar los estudios considerados a llevar a cabo en ciertas bandas de frecuencias para el futuro despliegue de las IMT, incluidas posibles atribuciones adicionales al servicio móvil a título primario, como complemento al espectro ya identificado actualmente para las IMT.</w:t>
      </w:r>
    </w:p>
    <w:p w14:paraId="7DDE8D1D" w14:textId="77777777" w:rsidR="00DC27EC" w:rsidRPr="006A7A1C" w:rsidRDefault="00DC27EC" w:rsidP="00DC27EC"/>
    <w:p w14:paraId="6315B9F7" w14:textId="1AEA10AC" w:rsidR="00DC27EC" w:rsidRPr="006A7A1C" w:rsidRDefault="00DC27EC" w:rsidP="00DC27EC">
      <w:pPr>
        <w:jc w:val="center"/>
      </w:pPr>
      <w:r w:rsidRPr="006A7A1C">
        <w:t>______________</w:t>
      </w:r>
    </w:p>
    <w:sectPr w:rsidR="00DC27EC" w:rsidRPr="006A7A1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879B" w14:textId="77777777" w:rsidR="00666B37" w:rsidRDefault="00666B37">
      <w:r>
        <w:separator/>
      </w:r>
    </w:p>
  </w:endnote>
  <w:endnote w:type="continuationSeparator" w:id="0">
    <w:p w14:paraId="4E279820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69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6DDA08" w14:textId="520989BE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4798">
      <w:rPr>
        <w:noProof/>
      </w:rPr>
      <w:t>08.11.23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0A9B" w14:textId="2A6FFB88" w:rsidR="0077084A" w:rsidRDefault="00590B12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E7DAD">
      <w:rPr>
        <w:lang w:val="en-US"/>
      </w:rPr>
      <w:t>P:\ESP\ITU-R\CONF-R\CMR23\100\127ADD27S.docx</w:t>
    </w:r>
    <w:r>
      <w:fldChar w:fldCharType="end"/>
    </w:r>
    <w:r w:rsidRPr="00590B12">
      <w:rPr>
        <w:lang w:val="en-US"/>
      </w:rPr>
      <w:t xml:space="preserve"> </w:t>
    </w:r>
    <w:r>
      <w:rPr>
        <w:lang w:val="en-US"/>
      </w:rPr>
      <w:t>(530304)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4A58" w14:textId="46F2891D" w:rsidR="0077084A" w:rsidRPr="00590B12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E7DAD">
      <w:rPr>
        <w:lang w:val="en-US"/>
      </w:rPr>
      <w:t>P:\ESP\ITU-R\CONF-R\CMR23\100\127ADD27S.docx</w:t>
    </w:r>
    <w:r>
      <w:fldChar w:fldCharType="end"/>
    </w:r>
    <w:r w:rsidR="00590B12" w:rsidRPr="00590B12">
      <w:rPr>
        <w:lang w:val="en-US"/>
      </w:rPr>
      <w:t xml:space="preserve"> </w:t>
    </w:r>
    <w:r w:rsidR="00590B12">
      <w:rPr>
        <w:lang w:val="en-US"/>
      </w:rPr>
      <w:t>(530304)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3231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7C710763" w14:textId="77777777" w:rsidR="00666B37" w:rsidRDefault="00666B37">
      <w:r>
        <w:continuationSeparator/>
      </w:r>
    </w:p>
  </w:footnote>
  <w:footnote w:id="1">
    <w:p w14:paraId="4DB4751E" w14:textId="77777777" w:rsidR="00590B12" w:rsidRPr="008346B4" w:rsidRDefault="00590B12" w:rsidP="00265C64">
      <w:pPr>
        <w:pStyle w:val="FootnoteText"/>
        <w:rPr>
          <w:lang w:val="es-ES"/>
        </w:rPr>
      </w:pPr>
      <w:r w:rsidRPr="00CC67EB">
        <w:rPr>
          <w:sz w:val="18"/>
          <w:szCs w:val="18"/>
        </w:rPr>
        <w:t>*</w:t>
      </w:r>
      <w:r>
        <w:tab/>
        <w:t>La presencia de corchetes alrededor de determinadas bandas de frecuencias en esta Resolución significa que la CMR</w:t>
      </w:r>
      <w:r>
        <w:noBreakHyphen/>
        <w:t>23 examinará y revisará la inclusión de esas bandas de frecuencias entre corchetes y tomará una decisión al respecto.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8635" w14:textId="03F1FCFA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7A1C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C8501B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127(Add.27)-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16548490">
    <w:abstractNumId w:val="8"/>
  </w:num>
  <w:num w:numId="2" w16cid:durableId="211952504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21808531">
    <w:abstractNumId w:val="9"/>
  </w:num>
  <w:num w:numId="4" w16cid:durableId="221521254">
    <w:abstractNumId w:val="7"/>
  </w:num>
  <w:num w:numId="5" w16cid:durableId="301885166">
    <w:abstractNumId w:val="6"/>
  </w:num>
  <w:num w:numId="6" w16cid:durableId="269318225">
    <w:abstractNumId w:val="5"/>
  </w:num>
  <w:num w:numId="7" w16cid:durableId="1069114560">
    <w:abstractNumId w:val="4"/>
  </w:num>
  <w:num w:numId="8" w16cid:durableId="16515974">
    <w:abstractNumId w:val="3"/>
  </w:num>
  <w:num w:numId="9" w16cid:durableId="2076002340">
    <w:abstractNumId w:val="2"/>
  </w:num>
  <w:num w:numId="10" w16cid:durableId="1326736853">
    <w:abstractNumId w:val="1"/>
  </w:num>
  <w:num w:numId="11" w16cid:durableId="100200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90B12"/>
    <w:rsid w:val="005D46FB"/>
    <w:rsid w:val="005F2605"/>
    <w:rsid w:val="005F3B0E"/>
    <w:rsid w:val="005F3DB8"/>
    <w:rsid w:val="005F559C"/>
    <w:rsid w:val="00602857"/>
    <w:rsid w:val="006124AD"/>
    <w:rsid w:val="00624009"/>
    <w:rsid w:val="00635BA9"/>
    <w:rsid w:val="00662BA0"/>
    <w:rsid w:val="00666B37"/>
    <w:rsid w:val="0067344B"/>
    <w:rsid w:val="00684A94"/>
    <w:rsid w:val="00692AAE"/>
    <w:rsid w:val="006A7A1C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978CF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C1922"/>
    <w:rsid w:val="00DC27EC"/>
    <w:rsid w:val="00DC629B"/>
    <w:rsid w:val="00DE1C31"/>
    <w:rsid w:val="00E05BFF"/>
    <w:rsid w:val="00E262F1"/>
    <w:rsid w:val="00E3176A"/>
    <w:rsid w:val="00E36CE4"/>
    <w:rsid w:val="00E54754"/>
    <w:rsid w:val="00E56BD3"/>
    <w:rsid w:val="00E63C36"/>
    <w:rsid w:val="00E71D14"/>
    <w:rsid w:val="00EA77F0"/>
    <w:rsid w:val="00EF4798"/>
    <w:rsid w:val="00F32316"/>
    <w:rsid w:val="00F66597"/>
    <w:rsid w:val="00F675D0"/>
    <w:rsid w:val="00F8150C"/>
    <w:rsid w:val="00FD03C4"/>
    <w:rsid w:val="00FE4574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75764D2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R23-WRC23-C-0127!A27!MSW-S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2CA47F-BE88-4F9C-B6A8-17EB83C3C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333E4-4A60-468C-AC7F-CBB5CE446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844E3-D8D7-4FC7-9FD0-022008DDCD3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996b2e75-67fd-4955-a3b0-5ab9934cb50b"/>
    <ds:schemaRef ds:uri="32a1a8c5-2265-4ebc-b7a0-2071e2c5c9bb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3F46D6-6221-43AB-BA73-511046D20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8CD378-AD50-4904-81A9-D1F27466778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2043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R23-WRC23-C-0127!A27!MSW-S</vt:lpstr>
    </vt:vector>
  </TitlesOfParts>
  <Manager>Secretaría General - Pool</Manager>
  <Company>Unión Internacional de Telecomunicaciones (UIT)</Company>
  <LinksUpToDate>false</LinksUpToDate>
  <CharactersWithSpaces>13268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R23-WRC23-C-0127!A27!MSW-S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6</cp:revision>
  <cp:lastPrinted>2003-02-19T20:20:00Z</cp:lastPrinted>
  <dcterms:created xsi:type="dcterms:W3CDTF">2023-11-08T13:27:00Z</dcterms:created>
  <dcterms:modified xsi:type="dcterms:W3CDTF">2023-11-14T09:51:00Z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