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D0460A" w14:paraId="42A459D4" w14:textId="77777777" w:rsidTr="00F320AA">
        <w:trPr>
          <w:cantSplit/>
        </w:trPr>
        <w:tc>
          <w:tcPr>
            <w:tcW w:w="1418" w:type="dxa"/>
            <w:vAlign w:val="center"/>
          </w:tcPr>
          <w:p w14:paraId="42DCA81B" w14:textId="77777777" w:rsidR="00F320AA" w:rsidRPr="00D0460A" w:rsidRDefault="00F320AA" w:rsidP="00F320AA">
            <w:pPr>
              <w:spacing w:before="0"/>
              <w:rPr>
                <w:rFonts w:ascii="Verdana" w:hAnsi="Verdana"/>
                <w:position w:val="6"/>
              </w:rPr>
            </w:pPr>
            <w:r w:rsidRPr="00D0460A">
              <w:drawing>
                <wp:inline distT="0" distB="0" distL="0" distR="0" wp14:anchorId="27E62EDA" wp14:editId="44A0374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629DD77" w14:textId="77777777" w:rsidR="00F320AA" w:rsidRPr="00D0460A" w:rsidRDefault="00F320AA" w:rsidP="00F320AA">
            <w:pPr>
              <w:spacing w:before="400" w:after="48" w:line="240" w:lineRule="atLeast"/>
              <w:rPr>
                <w:rFonts w:ascii="Verdana" w:hAnsi="Verdana"/>
                <w:position w:val="6"/>
              </w:rPr>
            </w:pPr>
            <w:r w:rsidRPr="00D0460A">
              <w:rPr>
                <w:rFonts w:ascii="Verdana" w:hAnsi="Verdana" w:cs="Times"/>
                <w:b/>
                <w:position w:val="6"/>
                <w:sz w:val="22"/>
                <w:szCs w:val="22"/>
              </w:rPr>
              <w:t>World Radiocommunication Conference (WRC-23)</w:t>
            </w:r>
            <w:r w:rsidRPr="00D0460A">
              <w:rPr>
                <w:rFonts w:ascii="Verdana" w:hAnsi="Verdana" w:cs="Times"/>
                <w:b/>
                <w:position w:val="6"/>
                <w:sz w:val="26"/>
                <w:szCs w:val="26"/>
              </w:rPr>
              <w:br/>
            </w:r>
            <w:r w:rsidRPr="00D0460A">
              <w:rPr>
                <w:rFonts w:ascii="Verdana" w:hAnsi="Verdana"/>
                <w:b/>
                <w:bCs/>
                <w:position w:val="6"/>
                <w:sz w:val="18"/>
                <w:szCs w:val="18"/>
              </w:rPr>
              <w:t>Dubai, 20 November - 15 December 2023</w:t>
            </w:r>
          </w:p>
        </w:tc>
        <w:tc>
          <w:tcPr>
            <w:tcW w:w="1951" w:type="dxa"/>
            <w:vAlign w:val="center"/>
          </w:tcPr>
          <w:p w14:paraId="2F21E6EA" w14:textId="77777777" w:rsidR="00F320AA" w:rsidRPr="00D0460A" w:rsidRDefault="00EB0812" w:rsidP="00F320AA">
            <w:pPr>
              <w:spacing w:before="0" w:line="240" w:lineRule="atLeast"/>
            </w:pPr>
            <w:r w:rsidRPr="00D0460A">
              <w:drawing>
                <wp:inline distT="0" distB="0" distL="0" distR="0" wp14:anchorId="5175E068" wp14:editId="322EDD69">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D0460A" w14:paraId="133E6BE5" w14:textId="77777777">
        <w:trPr>
          <w:cantSplit/>
        </w:trPr>
        <w:tc>
          <w:tcPr>
            <w:tcW w:w="6911" w:type="dxa"/>
            <w:gridSpan w:val="2"/>
            <w:tcBorders>
              <w:bottom w:val="single" w:sz="12" w:space="0" w:color="auto"/>
            </w:tcBorders>
          </w:tcPr>
          <w:p w14:paraId="3616E40C" w14:textId="77777777" w:rsidR="00A066F1" w:rsidRPr="00D0460A"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7376585" w14:textId="77777777" w:rsidR="00A066F1" w:rsidRPr="00D0460A" w:rsidRDefault="00A066F1" w:rsidP="00A066F1">
            <w:pPr>
              <w:spacing w:before="0" w:line="240" w:lineRule="atLeast"/>
              <w:rPr>
                <w:rFonts w:ascii="Verdana" w:hAnsi="Verdana"/>
                <w:szCs w:val="24"/>
              </w:rPr>
            </w:pPr>
          </w:p>
        </w:tc>
      </w:tr>
      <w:tr w:rsidR="00A066F1" w:rsidRPr="00D0460A" w14:paraId="7941657D" w14:textId="77777777">
        <w:trPr>
          <w:cantSplit/>
        </w:trPr>
        <w:tc>
          <w:tcPr>
            <w:tcW w:w="6911" w:type="dxa"/>
            <w:gridSpan w:val="2"/>
            <w:tcBorders>
              <w:top w:val="single" w:sz="12" w:space="0" w:color="auto"/>
            </w:tcBorders>
          </w:tcPr>
          <w:p w14:paraId="5CBDFC18" w14:textId="77777777" w:rsidR="00A066F1" w:rsidRPr="00D0460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F7CFEA1" w14:textId="77777777" w:rsidR="00A066F1" w:rsidRPr="00D0460A" w:rsidRDefault="00A066F1" w:rsidP="00A066F1">
            <w:pPr>
              <w:spacing w:before="0" w:line="240" w:lineRule="atLeast"/>
              <w:rPr>
                <w:rFonts w:ascii="Verdana" w:hAnsi="Verdana"/>
                <w:sz w:val="20"/>
              </w:rPr>
            </w:pPr>
          </w:p>
        </w:tc>
      </w:tr>
      <w:tr w:rsidR="00A066F1" w:rsidRPr="00D0460A" w14:paraId="7615CB92" w14:textId="77777777">
        <w:trPr>
          <w:cantSplit/>
          <w:trHeight w:val="23"/>
        </w:trPr>
        <w:tc>
          <w:tcPr>
            <w:tcW w:w="6911" w:type="dxa"/>
            <w:gridSpan w:val="2"/>
            <w:shd w:val="clear" w:color="auto" w:fill="auto"/>
          </w:tcPr>
          <w:p w14:paraId="5CDF681E" w14:textId="77777777" w:rsidR="00A066F1" w:rsidRPr="00D0460A"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D0460A">
              <w:rPr>
                <w:rFonts w:ascii="Verdana" w:hAnsi="Verdana"/>
                <w:sz w:val="20"/>
                <w:szCs w:val="20"/>
              </w:rPr>
              <w:t>PLENARY MEETING</w:t>
            </w:r>
          </w:p>
        </w:tc>
        <w:tc>
          <w:tcPr>
            <w:tcW w:w="3120" w:type="dxa"/>
            <w:gridSpan w:val="2"/>
          </w:tcPr>
          <w:p w14:paraId="01AA1C8C" w14:textId="77777777" w:rsidR="00A066F1" w:rsidRPr="00D0460A" w:rsidRDefault="00E55816" w:rsidP="00AA666F">
            <w:pPr>
              <w:tabs>
                <w:tab w:val="left" w:pos="851"/>
              </w:tabs>
              <w:spacing w:before="0" w:line="240" w:lineRule="atLeast"/>
              <w:rPr>
                <w:rFonts w:ascii="Verdana" w:hAnsi="Verdana"/>
                <w:sz w:val="20"/>
              </w:rPr>
            </w:pPr>
            <w:r w:rsidRPr="00D0460A">
              <w:rPr>
                <w:rFonts w:ascii="Verdana" w:hAnsi="Verdana"/>
                <w:b/>
                <w:sz w:val="20"/>
              </w:rPr>
              <w:t>Addendum 27 to</w:t>
            </w:r>
            <w:r w:rsidRPr="00D0460A">
              <w:rPr>
                <w:rFonts w:ascii="Verdana" w:hAnsi="Verdana"/>
                <w:b/>
                <w:sz w:val="20"/>
              </w:rPr>
              <w:br/>
              <w:t>Document 127</w:t>
            </w:r>
            <w:r w:rsidR="00A066F1" w:rsidRPr="00D0460A">
              <w:rPr>
                <w:rFonts w:ascii="Verdana" w:hAnsi="Verdana"/>
                <w:b/>
                <w:sz w:val="20"/>
              </w:rPr>
              <w:t>-</w:t>
            </w:r>
            <w:r w:rsidR="005E10C9" w:rsidRPr="00D0460A">
              <w:rPr>
                <w:rFonts w:ascii="Verdana" w:hAnsi="Verdana"/>
                <w:b/>
                <w:sz w:val="20"/>
              </w:rPr>
              <w:t>E</w:t>
            </w:r>
          </w:p>
        </w:tc>
      </w:tr>
      <w:tr w:rsidR="00A066F1" w:rsidRPr="00D0460A" w14:paraId="2C13834A" w14:textId="77777777">
        <w:trPr>
          <w:cantSplit/>
          <w:trHeight w:val="23"/>
        </w:trPr>
        <w:tc>
          <w:tcPr>
            <w:tcW w:w="6911" w:type="dxa"/>
            <w:gridSpan w:val="2"/>
            <w:shd w:val="clear" w:color="auto" w:fill="auto"/>
          </w:tcPr>
          <w:p w14:paraId="3D2FA065" w14:textId="77777777" w:rsidR="00A066F1" w:rsidRPr="00D0460A"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729078C" w14:textId="77777777" w:rsidR="00A066F1" w:rsidRPr="00D0460A" w:rsidRDefault="00420873" w:rsidP="00A066F1">
            <w:pPr>
              <w:tabs>
                <w:tab w:val="left" w:pos="993"/>
              </w:tabs>
              <w:spacing w:before="0"/>
              <w:rPr>
                <w:rFonts w:ascii="Verdana" w:hAnsi="Verdana"/>
                <w:sz w:val="20"/>
              </w:rPr>
            </w:pPr>
            <w:r w:rsidRPr="00D0460A">
              <w:rPr>
                <w:rFonts w:ascii="Verdana" w:hAnsi="Verdana"/>
                <w:b/>
                <w:sz w:val="20"/>
              </w:rPr>
              <w:t>29 October 2023</w:t>
            </w:r>
          </w:p>
        </w:tc>
      </w:tr>
      <w:tr w:rsidR="00A066F1" w:rsidRPr="00D0460A" w14:paraId="3873C269" w14:textId="77777777">
        <w:trPr>
          <w:cantSplit/>
          <w:trHeight w:val="23"/>
        </w:trPr>
        <w:tc>
          <w:tcPr>
            <w:tcW w:w="6911" w:type="dxa"/>
            <w:gridSpan w:val="2"/>
            <w:shd w:val="clear" w:color="auto" w:fill="auto"/>
          </w:tcPr>
          <w:p w14:paraId="03A08A46" w14:textId="77777777" w:rsidR="00A066F1" w:rsidRPr="00D0460A"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40E5517B" w14:textId="77777777" w:rsidR="00A066F1" w:rsidRPr="00D0460A" w:rsidRDefault="00E55816" w:rsidP="00A066F1">
            <w:pPr>
              <w:tabs>
                <w:tab w:val="left" w:pos="993"/>
              </w:tabs>
              <w:spacing w:before="0"/>
              <w:rPr>
                <w:rFonts w:ascii="Verdana" w:hAnsi="Verdana"/>
                <w:b/>
                <w:sz w:val="20"/>
              </w:rPr>
            </w:pPr>
            <w:r w:rsidRPr="00D0460A">
              <w:rPr>
                <w:rFonts w:ascii="Verdana" w:hAnsi="Verdana"/>
                <w:b/>
                <w:sz w:val="20"/>
              </w:rPr>
              <w:t>Original: Spanish</w:t>
            </w:r>
          </w:p>
        </w:tc>
      </w:tr>
      <w:tr w:rsidR="00A066F1" w:rsidRPr="00D0460A" w14:paraId="39FB2648" w14:textId="77777777" w:rsidTr="00025864">
        <w:trPr>
          <w:cantSplit/>
          <w:trHeight w:val="23"/>
        </w:trPr>
        <w:tc>
          <w:tcPr>
            <w:tcW w:w="10031" w:type="dxa"/>
            <w:gridSpan w:val="4"/>
            <w:shd w:val="clear" w:color="auto" w:fill="auto"/>
          </w:tcPr>
          <w:p w14:paraId="4BF6111B" w14:textId="77777777" w:rsidR="00A066F1" w:rsidRPr="00D0460A" w:rsidRDefault="00A066F1" w:rsidP="00A066F1">
            <w:pPr>
              <w:tabs>
                <w:tab w:val="left" w:pos="993"/>
              </w:tabs>
              <w:spacing w:before="0"/>
              <w:rPr>
                <w:rFonts w:ascii="Verdana" w:hAnsi="Verdana"/>
                <w:b/>
                <w:sz w:val="20"/>
              </w:rPr>
            </w:pPr>
          </w:p>
        </w:tc>
      </w:tr>
      <w:tr w:rsidR="00E55816" w:rsidRPr="00D0460A" w14:paraId="3CA51E90" w14:textId="77777777" w:rsidTr="00025864">
        <w:trPr>
          <w:cantSplit/>
          <w:trHeight w:val="23"/>
        </w:trPr>
        <w:tc>
          <w:tcPr>
            <w:tcW w:w="10031" w:type="dxa"/>
            <w:gridSpan w:val="4"/>
            <w:shd w:val="clear" w:color="auto" w:fill="auto"/>
          </w:tcPr>
          <w:p w14:paraId="72F85A17" w14:textId="77777777" w:rsidR="00E55816" w:rsidRPr="00D0460A" w:rsidRDefault="00884D60" w:rsidP="00E55816">
            <w:pPr>
              <w:pStyle w:val="Source"/>
            </w:pPr>
            <w:r w:rsidRPr="00D0460A">
              <w:t>Mexico</w:t>
            </w:r>
          </w:p>
        </w:tc>
      </w:tr>
      <w:tr w:rsidR="00E55816" w:rsidRPr="00D0460A" w14:paraId="7B2E9CC4" w14:textId="77777777" w:rsidTr="00025864">
        <w:trPr>
          <w:cantSplit/>
          <w:trHeight w:val="23"/>
        </w:trPr>
        <w:tc>
          <w:tcPr>
            <w:tcW w:w="10031" w:type="dxa"/>
            <w:gridSpan w:val="4"/>
            <w:shd w:val="clear" w:color="auto" w:fill="auto"/>
          </w:tcPr>
          <w:p w14:paraId="25925E0B" w14:textId="6AAF1AAD" w:rsidR="00E55816" w:rsidRPr="00D0460A" w:rsidRDefault="00766368" w:rsidP="00E55816">
            <w:pPr>
              <w:pStyle w:val="Title1"/>
            </w:pPr>
            <w:r w:rsidRPr="00D0460A">
              <w:t>proposals for the work of the conference</w:t>
            </w:r>
          </w:p>
        </w:tc>
      </w:tr>
      <w:tr w:rsidR="00E55816" w:rsidRPr="00D0460A" w14:paraId="4745B334" w14:textId="77777777" w:rsidTr="00025864">
        <w:trPr>
          <w:cantSplit/>
          <w:trHeight w:val="23"/>
        </w:trPr>
        <w:tc>
          <w:tcPr>
            <w:tcW w:w="10031" w:type="dxa"/>
            <w:gridSpan w:val="4"/>
            <w:shd w:val="clear" w:color="auto" w:fill="auto"/>
          </w:tcPr>
          <w:p w14:paraId="46410410" w14:textId="77777777" w:rsidR="00E55816" w:rsidRPr="00D0460A" w:rsidRDefault="00E55816" w:rsidP="00E55816">
            <w:pPr>
              <w:pStyle w:val="Title2"/>
            </w:pPr>
          </w:p>
        </w:tc>
      </w:tr>
      <w:tr w:rsidR="00A538A6" w:rsidRPr="00D0460A" w14:paraId="78236AA6" w14:textId="77777777" w:rsidTr="00025864">
        <w:trPr>
          <w:cantSplit/>
          <w:trHeight w:val="23"/>
        </w:trPr>
        <w:tc>
          <w:tcPr>
            <w:tcW w:w="10031" w:type="dxa"/>
            <w:gridSpan w:val="4"/>
            <w:shd w:val="clear" w:color="auto" w:fill="auto"/>
          </w:tcPr>
          <w:p w14:paraId="57F8A01D" w14:textId="77777777" w:rsidR="00A538A6" w:rsidRPr="00D0460A" w:rsidRDefault="004B13CB" w:rsidP="004B13CB">
            <w:pPr>
              <w:pStyle w:val="Agendaitem"/>
              <w:rPr>
                <w:lang w:val="en-GB"/>
              </w:rPr>
            </w:pPr>
            <w:r w:rsidRPr="00D0460A">
              <w:rPr>
                <w:lang w:val="en-GB"/>
              </w:rPr>
              <w:t>Agenda item 10</w:t>
            </w:r>
          </w:p>
        </w:tc>
      </w:tr>
    </w:tbl>
    <w:bookmarkEnd w:id="5"/>
    <w:bookmarkEnd w:id="6"/>
    <w:p w14:paraId="01BF54A6" w14:textId="77777777" w:rsidR="00187BD9" w:rsidRPr="00D0460A" w:rsidRDefault="00FF2354" w:rsidP="00025A01">
      <w:r w:rsidRPr="00D0460A">
        <w:t>10</w:t>
      </w:r>
      <w:r w:rsidRPr="00D0460A">
        <w:rPr>
          <w:b/>
          <w:bCs/>
        </w:rPr>
        <w:tab/>
      </w:r>
      <w:r w:rsidRPr="00D0460A">
        <w:t xml:space="preserve">to recommend to the ITU Council items for inclusion in the agenda for the next world radiocommunication conference, </w:t>
      </w:r>
      <w:r w:rsidRPr="00D0460A">
        <w:rPr>
          <w:iCs/>
        </w:rPr>
        <w:t xml:space="preserve">and items for the preliminary agenda of future conferences, </w:t>
      </w:r>
      <w:r w:rsidRPr="00D0460A">
        <w:t xml:space="preserve">in accordance with Article 7 of the ITU Convention </w:t>
      </w:r>
      <w:r w:rsidRPr="00D0460A">
        <w:rPr>
          <w:iCs/>
        </w:rPr>
        <w:t xml:space="preserve">and Resolution </w:t>
      </w:r>
      <w:r w:rsidRPr="00D0460A">
        <w:rPr>
          <w:b/>
          <w:bCs/>
          <w:iCs/>
        </w:rPr>
        <w:t>804 (Rev.WRC</w:t>
      </w:r>
      <w:r w:rsidRPr="00D0460A">
        <w:rPr>
          <w:b/>
          <w:bCs/>
          <w:iCs/>
        </w:rPr>
        <w:noBreakHyphen/>
        <w:t>19)</w:t>
      </w:r>
      <w:r w:rsidRPr="00D0460A">
        <w:rPr>
          <w:iCs/>
        </w:rPr>
        <w:t>,</w:t>
      </w:r>
    </w:p>
    <w:p w14:paraId="241F1EFA" w14:textId="77777777" w:rsidR="00241FA2" w:rsidRPr="00D0460A" w:rsidRDefault="00241FA2" w:rsidP="00EB54B2"/>
    <w:p w14:paraId="58F418EA" w14:textId="77777777" w:rsidR="00187BD9" w:rsidRPr="00D0460A" w:rsidRDefault="00187BD9" w:rsidP="00187BD9">
      <w:pPr>
        <w:tabs>
          <w:tab w:val="clear" w:pos="1134"/>
          <w:tab w:val="clear" w:pos="1871"/>
          <w:tab w:val="clear" w:pos="2268"/>
        </w:tabs>
        <w:overflowPunct/>
        <w:autoSpaceDE/>
        <w:autoSpaceDN/>
        <w:adjustRightInd/>
        <w:spacing w:before="0"/>
        <w:textAlignment w:val="auto"/>
      </w:pPr>
      <w:r w:rsidRPr="00D0460A">
        <w:br w:type="page"/>
      </w:r>
    </w:p>
    <w:p w14:paraId="276CAD6A" w14:textId="77777777" w:rsidR="005A5C83" w:rsidRPr="00D0460A" w:rsidRDefault="00FF2354">
      <w:pPr>
        <w:pStyle w:val="Proposal"/>
      </w:pPr>
      <w:r w:rsidRPr="00D0460A">
        <w:lastRenderedPageBreak/>
        <w:t>SUP</w:t>
      </w:r>
      <w:r w:rsidRPr="00D0460A">
        <w:tab/>
        <w:t>MEX/127A27/1</w:t>
      </w:r>
    </w:p>
    <w:p w14:paraId="0F457E46" w14:textId="77777777" w:rsidR="00993EE5" w:rsidRPr="00D0460A" w:rsidRDefault="00FF2354" w:rsidP="00755998">
      <w:pPr>
        <w:pStyle w:val="ResNo"/>
      </w:pPr>
      <w:bookmarkStart w:id="7" w:name="_Toc39649639"/>
      <w:r w:rsidRPr="00D0460A">
        <w:t xml:space="preserve">RESOLUTION </w:t>
      </w:r>
      <w:r w:rsidRPr="00D0460A">
        <w:rPr>
          <w:rStyle w:val="href"/>
        </w:rPr>
        <w:t>812</w:t>
      </w:r>
      <w:r w:rsidRPr="00D0460A">
        <w:t xml:space="preserve"> (WRC-19)</w:t>
      </w:r>
      <w:bookmarkEnd w:id="7"/>
    </w:p>
    <w:p w14:paraId="7809F0D5" w14:textId="77777777" w:rsidR="00993EE5" w:rsidRPr="00D0460A" w:rsidRDefault="00FF2354" w:rsidP="00755998">
      <w:pPr>
        <w:pStyle w:val="Restitle"/>
      </w:pPr>
      <w:bookmarkStart w:id="8" w:name="_Toc35789443"/>
      <w:bookmarkStart w:id="9" w:name="_Toc35857140"/>
      <w:bookmarkStart w:id="10" w:name="_Toc35877775"/>
      <w:bookmarkStart w:id="11" w:name="_Toc35963719"/>
      <w:bookmarkStart w:id="12" w:name="_Toc39649640"/>
      <w:r w:rsidRPr="00D0460A">
        <w:t>Preliminary agenda for the 2027 World Radiocommunication Conference</w:t>
      </w:r>
      <w:r w:rsidRPr="00D0460A">
        <w:rPr>
          <w:rStyle w:val="FootnoteReference"/>
        </w:rPr>
        <w:footnoteReference w:customMarkFollows="1" w:id="1"/>
        <w:t>*</w:t>
      </w:r>
      <w:bookmarkEnd w:id="8"/>
      <w:bookmarkEnd w:id="9"/>
      <w:bookmarkEnd w:id="10"/>
      <w:bookmarkEnd w:id="11"/>
      <w:bookmarkEnd w:id="12"/>
    </w:p>
    <w:p w14:paraId="4BC12FF6" w14:textId="799410EF" w:rsidR="005A5C83" w:rsidRPr="00D0460A" w:rsidRDefault="00FF2354">
      <w:pPr>
        <w:pStyle w:val="Reasons"/>
      </w:pPr>
      <w:r w:rsidRPr="00D0460A">
        <w:rPr>
          <w:b/>
        </w:rPr>
        <w:t>Reasons:</w:t>
      </w:r>
      <w:r w:rsidRPr="00D0460A">
        <w:tab/>
      </w:r>
      <w:r w:rsidR="00E5496C" w:rsidRPr="00D0460A">
        <w:t xml:space="preserve">This Resolution should be </w:t>
      </w:r>
      <w:r w:rsidR="002162CF" w:rsidRPr="00D0460A">
        <w:t>deleted</w:t>
      </w:r>
      <w:r w:rsidR="00E5496C" w:rsidRPr="00D0460A">
        <w:t xml:space="preserve"> because a new resolution will be proposed </w:t>
      </w:r>
      <w:r w:rsidR="00AD607B" w:rsidRPr="00D0460A">
        <w:t>setting out</w:t>
      </w:r>
      <w:r w:rsidR="00E5496C" w:rsidRPr="00D0460A">
        <w:t xml:space="preserve"> the agenda for the next world radiocommunication conference in 2027.</w:t>
      </w:r>
    </w:p>
    <w:p w14:paraId="4D59CD94" w14:textId="77777777" w:rsidR="005A5C83" w:rsidRPr="00D0460A" w:rsidRDefault="00FF2354">
      <w:pPr>
        <w:pStyle w:val="Proposal"/>
      </w:pPr>
      <w:r w:rsidRPr="00D0460A">
        <w:t>ADD</w:t>
      </w:r>
      <w:r w:rsidRPr="00D0460A">
        <w:tab/>
        <w:t>MEX/127A27/2</w:t>
      </w:r>
    </w:p>
    <w:p w14:paraId="09307F1C" w14:textId="18799F75" w:rsidR="005A5C83" w:rsidRPr="00D0460A" w:rsidRDefault="00FF2354">
      <w:pPr>
        <w:pStyle w:val="ResNo"/>
      </w:pPr>
      <w:r w:rsidRPr="00D0460A">
        <w:t>Draft New Resolution [MEX-WRC-27]</w:t>
      </w:r>
      <w:r w:rsidR="00E276BB" w:rsidRPr="00D0460A">
        <w:t xml:space="preserve"> (WRC</w:t>
      </w:r>
      <w:r w:rsidR="00E276BB" w:rsidRPr="00D0460A">
        <w:noBreakHyphen/>
        <w:t>23)</w:t>
      </w:r>
    </w:p>
    <w:p w14:paraId="550B5862" w14:textId="1EB4B493" w:rsidR="00E276BB" w:rsidRPr="00D0460A" w:rsidRDefault="00E276BB" w:rsidP="00E276BB">
      <w:pPr>
        <w:pStyle w:val="Restitle"/>
        <w:rPr>
          <w:lang w:eastAsia="en-GB"/>
        </w:rPr>
      </w:pPr>
      <w:r w:rsidRPr="00D0460A">
        <w:t xml:space="preserve">Agenda for the 2027 </w:t>
      </w:r>
      <w:r w:rsidR="008D0A39" w:rsidRPr="00D0460A">
        <w:t>World Radiocommunication Conference</w:t>
      </w:r>
    </w:p>
    <w:p w14:paraId="2F4A90A7" w14:textId="77777777" w:rsidR="00E276BB" w:rsidRPr="00D0460A" w:rsidRDefault="00E276BB" w:rsidP="00E276BB">
      <w:pPr>
        <w:pStyle w:val="Normalaftertitle"/>
      </w:pPr>
      <w:r w:rsidRPr="00D0460A">
        <w:t>The World Radiocommunication Conference (Dubai, 2023),</w:t>
      </w:r>
    </w:p>
    <w:p w14:paraId="5A9C2378" w14:textId="77777777" w:rsidR="00E276BB" w:rsidRPr="00D0460A" w:rsidRDefault="00E276BB" w:rsidP="00E276BB">
      <w:r w:rsidRPr="00D0460A">
        <w:t>…</w:t>
      </w:r>
    </w:p>
    <w:p w14:paraId="33099367" w14:textId="77777777" w:rsidR="00E276BB" w:rsidRPr="00D0460A" w:rsidRDefault="00E276BB" w:rsidP="00E276BB">
      <w:pPr>
        <w:pStyle w:val="Call"/>
      </w:pPr>
      <w:r w:rsidRPr="00D0460A">
        <w:t>resolves</w:t>
      </w:r>
    </w:p>
    <w:p w14:paraId="1168A3F9" w14:textId="4052194A" w:rsidR="00E276BB" w:rsidRPr="00D0460A" w:rsidRDefault="00E276BB" w:rsidP="00E276BB">
      <w:r w:rsidRPr="00D0460A">
        <w:t xml:space="preserve">to recommend to the Council </w:t>
      </w:r>
      <w:r w:rsidR="00E77350" w:rsidRPr="00D0460A">
        <w:t>that</w:t>
      </w:r>
      <w:r w:rsidRPr="00D0460A">
        <w:t xml:space="preserve"> a </w:t>
      </w:r>
      <w:r w:rsidR="00993EE5" w:rsidRPr="00D0460A">
        <w:t>world radiocommunication conference</w:t>
      </w:r>
      <w:r w:rsidR="00E77350" w:rsidRPr="00D0460A">
        <w:t xml:space="preserve"> be held</w:t>
      </w:r>
      <w:r w:rsidR="00993EE5" w:rsidRPr="00D0460A">
        <w:t xml:space="preserve"> </w:t>
      </w:r>
      <w:r w:rsidRPr="00D0460A">
        <w:t>in 2027</w:t>
      </w:r>
      <w:r w:rsidR="00E77350" w:rsidRPr="00D0460A">
        <w:t>, lasting four weeks,</w:t>
      </w:r>
      <w:r w:rsidRPr="00D0460A">
        <w:t xml:space="preserve"> </w:t>
      </w:r>
      <w:r w:rsidR="00E77350" w:rsidRPr="00D0460A">
        <w:t xml:space="preserve">with </w:t>
      </w:r>
      <w:r w:rsidRPr="00D0460A">
        <w:t>the following agenda:</w:t>
      </w:r>
    </w:p>
    <w:p w14:paraId="76673ADB" w14:textId="1D3D6F4D" w:rsidR="00E276BB" w:rsidRPr="00D0460A" w:rsidRDefault="00E276BB" w:rsidP="00E276BB">
      <w:r w:rsidRPr="00D0460A">
        <w:t>1</w:t>
      </w:r>
      <w:r w:rsidRPr="00D0460A">
        <w:tab/>
      </w:r>
      <w:r w:rsidR="00E77350" w:rsidRPr="00D0460A">
        <w:t xml:space="preserve">on the basis of proposals from administrations, taking account of the </w:t>
      </w:r>
      <w:r w:rsidRPr="00D0460A">
        <w:t>results of WRC</w:t>
      </w:r>
      <w:r w:rsidRPr="00D0460A">
        <w:noBreakHyphen/>
        <w:t xml:space="preserve">23 and the Report of the Conference Preparatory Meeting, and </w:t>
      </w:r>
      <w:r w:rsidR="00E77350" w:rsidRPr="00D0460A">
        <w:t>with due regard for</w:t>
      </w:r>
      <w:r w:rsidRPr="00D0460A">
        <w:t xml:space="preserve"> the needs of existing and future services in the frequency bands:</w:t>
      </w:r>
    </w:p>
    <w:p w14:paraId="7149D49F" w14:textId="77777777" w:rsidR="00E276BB" w:rsidRPr="00D0460A" w:rsidRDefault="00E276BB" w:rsidP="00E276BB">
      <w:r w:rsidRPr="00D0460A">
        <w:t>…</w:t>
      </w:r>
    </w:p>
    <w:p w14:paraId="386EDBB6" w14:textId="1DB7C1C2" w:rsidR="00E276BB" w:rsidRPr="00D0460A" w:rsidRDefault="00E276BB" w:rsidP="00E276BB">
      <w:r w:rsidRPr="00D0460A">
        <w:t>1.[X]</w:t>
      </w:r>
      <w:r w:rsidRPr="00D0460A">
        <w:tab/>
        <w:t xml:space="preserve">to consider identification of frequency bands for the future development of </w:t>
      </w:r>
      <w:r w:rsidR="00E77350" w:rsidRPr="00D0460A">
        <w:t xml:space="preserve">the </w:t>
      </w:r>
      <w:r w:rsidRPr="00D0460A">
        <w:t>terrestrial component of International Mobile Telecommunications (IMT), including possible additional allocations to the mobile service on a primary basis, in accordance with Resolution</w:t>
      </w:r>
      <w:r w:rsidR="008D0A39" w:rsidRPr="00D0460A">
        <w:t> </w:t>
      </w:r>
      <w:r w:rsidRPr="00D0460A">
        <w:rPr>
          <w:b/>
          <w:bCs/>
        </w:rPr>
        <w:t>[</w:t>
      </w:r>
      <w:r w:rsidR="00E77350" w:rsidRPr="00D0460A">
        <w:rPr>
          <w:b/>
        </w:rPr>
        <w:t>MEX</w:t>
      </w:r>
      <w:r w:rsidR="008D0A39" w:rsidRPr="00D0460A">
        <w:rPr>
          <w:b/>
        </w:rPr>
        <w:t>-</w:t>
      </w:r>
      <w:r w:rsidR="00E77350" w:rsidRPr="00D0460A">
        <w:rPr>
          <w:b/>
        </w:rPr>
        <w:t>IMT.WRC-27</w:t>
      </w:r>
      <w:r w:rsidRPr="00D0460A">
        <w:rPr>
          <w:b/>
          <w:bCs/>
        </w:rPr>
        <w:t>] (WRC</w:t>
      </w:r>
      <w:r w:rsidRPr="00D0460A">
        <w:rPr>
          <w:b/>
          <w:bCs/>
        </w:rPr>
        <w:noBreakHyphen/>
        <w:t>23)</w:t>
      </w:r>
      <w:r w:rsidRPr="00D0460A">
        <w:t>;</w:t>
      </w:r>
    </w:p>
    <w:p w14:paraId="3900AFC3" w14:textId="17F5A389" w:rsidR="005A5C83" w:rsidRPr="00D0460A" w:rsidRDefault="00E276BB" w:rsidP="00E276BB">
      <w:r w:rsidRPr="00D0460A">
        <w:t>…</w:t>
      </w:r>
    </w:p>
    <w:p w14:paraId="458F7D09" w14:textId="77777777" w:rsidR="00E276BB" w:rsidRPr="00D0460A" w:rsidRDefault="00E276BB" w:rsidP="00E276BB"/>
    <w:p w14:paraId="6A639292" w14:textId="2A5F9E6D" w:rsidR="005A5C83" w:rsidRPr="00D0460A" w:rsidRDefault="00FF2354">
      <w:pPr>
        <w:pStyle w:val="Reasons"/>
      </w:pPr>
      <w:r w:rsidRPr="00D0460A">
        <w:rPr>
          <w:b/>
        </w:rPr>
        <w:t>Reasons:</w:t>
      </w:r>
      <w:r w:rsidRPr="00D0460A">
        <w:tab/>
      </w:r>
      <w:r w:rsidR="002162CF" w:rsidRPr="00D0460A">
        <w:t>To i</w:t>
      </w:r>
      <w:r w:rsidR="00E77350" w:rsidRPr="00D0460A">
        <w:t>nclude a</w:t>
      </w:r>
      <w:r w:rsidR="00AD607B" w:rsidRPr="00D0460A">
        <w:t xml:space="preserve">n </w:t>
      </w:r>
      <w:r w:rsidR="00E77350" w:rsidRPr="00D0460A">
        <w:t xml:space="preserve">agenda </w:t>
      </w:r>
      <w:r w:rsidR="00AD607B" w:rsidRPr="00D0460A">
        <w:t xml:space="preserve">item </w:t>
      </w:r>
      <w:r w:rsidR="00E77350" w:rsidRPr="00D0460A">
        <w:t>for WRC-27 with the aim of studying certain frequency bands for future deployment of IMT, including possible addition</w:t>
      </w:r>
      <w:r w:rsidR="00AD607B" w:rsidRPr="00D0460A">
        <w:t>al</w:t>
      </w:r>
      <w:r w:rsidR="00E77350" w:rsidRPr="00D0460A">
        <w:t xml:space="preserve"> allocations to the mobile service on a primary basis, to supplement the spectrum already identified at present for IMT.</w:t>
      </w:r>
    </w:p>
    <w:p w14:paraId="08FAD6DD" w14:textId="77777777" w:rsidR="005A5C83" w:rsidRPr="00D0460A" w:rsidRDefault="00FF2354">
      <w:pPr>
        <w:pStyle w:val="Proposal"/>
      </w:pPr>
      <w:r w:rsidRPr="00D0460A">
        <w:lastRenderedPageBreak/>
        <w:t>ADD</w:t>
      </w:r>
      <w:r w:rsidRPr="00D0460A">
        <w:tab/>
        <w:t>MEX/127A27/3</w:t>
      </w:r>
    </w:p>
    <w:p w14:paraId="1A119E60" w14:textId="1E0AF8B2" w:rsidR="005A5C83" w:rsidRPr="00D0460A" w:rsidRDefault="00FF2354">
      <w:pPr>
        <w:pStyle w:val="ResNo"/>
      </w:pPr>
      <w:r w:rsidRPr="00D0460A">
        <w:t>Draft New Resolution [MEX-IMT.WRC-27]</w:t>
      </w:r>
      <w:r w:rsidR="00E276BB" w:rsidRPr="00D0460A">
        <w:t xml:space="preserve"> (WRC</w:t>
      </w:r>
      <w:r w:rsidR="00E276BB" w:rsidRPr="00D0460A">
        <w:noBreakHyphen/>
        <w:t>23)</w:t>
      </w:r>
    </w:p>
    <w:p w14:paraId="46EA4554" w14:textId="36746620" w:rsidR="00E276BB" w:rsidRPr="00D0460A" w:rsidRDefault="00E276BB" w:rsidP="00E276BB">
      <w:pPr>
        <w:pStyle w:val="Restitle"/>
      </w:pPr>
      <w:bookmarkStart w:id="13" w:name="_Toc35789327"/>
      <w:bookmarkStart w:id="14" w:name="_Toc35857024"/>
      <w:bookmarkStart w:id="15" w:name="_Toc35877659"/>
      <w:bookmarkStart w:id="16" w:name="_Toc35963602"/>
      <w:bookmarkStart w:id="17" w:name="_Toc39649458"/>
      <w:r w:rsidRPr="00D0460A">
        <w:t>Studies on frequency-related matters for the terrestrial component of International Mobile Telecommunications identification in the</w:t>
      </w:r>
      <w:r w:rsidR="008D0A39" w:rsidRPr="00D0460A">
        <w:t xml:space="preserve"> </w:t>
      </w:r>
      <w:r w:rsidRPr="00D0460A">
        <w:t>frequency</w:t>
      </w:r>
      <w:r w:rsidR="008D0A39" w:rsidRPr="00D0460A">
        <w:t xml:space="preserve"> </w:t>
      </w:r>
      <w:r w:rsidRPr="00D0460A">
        <w:t xml:space="preserve">bands </w:t>
      </w:r>
      <w:r w:rsidR="00914168" w:rsidRPr="00D0460A">
        <w:t>4</w:t>
      </w:r>
      <w:r w:rsidRPr="00D0460A">
        <w:t> 800</w:t>
      </w:r>
      <w:r w:rsidR="00914168" w:rsidRPr="00D0460A">
        <w:t>-4 990</w:t>
      </w:r>
      <w:r w:rsidRPr="00D0460A">
        <w:t> MHz, 6 425-7 025 MHz, 7 025-7</w:t>
      </w:r>
      <w:r w:rsidR="008D0A39" w:rsidRPr="00D0460A">
        <w:t> </w:t>
      </w:r>
      <w:r w:rsidRPr="00D0460A">
        <w:t>125 MHz and 10.</w:t>
      </w:r>
      <w:r w:rsidR="00914168" w:rsidRPr="00D0460A">
        <w:t>5</w:t>
      </w:r>
      <w:r w:rsidRPr="00D0460A">
        <w:t>-10.</w:t>
      </w:r>
      <w:r w:rsidR="00914168" w:rsidRPr="00D0460A">
        <w:t>68</w:t>
      </w:r>
      <w:r w:rsidRPr="00D0460A">
        <w:t> GHz</w:t>
      </w:r>
      <w:bookmarkEnd w:id="13"/>
      <w:bookmarkEnd w:id="14"/>
      <w:bookmarkEnd w:id="15"/>
      <w:bookmarkEnd w:id="16"/>
      <w:bookmarkEnd w:id="17"/>
    </w:p>
    <w:p w14:paraId="24727AB0" w14:textId="0E165192" w:rsidR="00E276BB" w:rsidRPr="00D0460A" w:rsidRDefault="00E276BB" w:rsidP="00E276BB">
      <w:pPr>
        <w:pStyle w:val="Normalaftertitle"/>
        <w:rPr>
          <w:lang w:eastAsia="nl-NL"/>
        </w:rPr>
      </w:pPr>
      <w:r w:rsidRPr="00D0460A">
        <w:rPr>
          <w:lang w:eastAsia="nl-NL"/>
        </w:rPr>
        <w:t>The World Radiocommunication Conference (</w:t>
      </w:r>
      <w:r w:rsidR="00FF2354" w:rsidRPr="00D0460A">
        <w:rPr>
          <w:lang w:eastAsia="nl-NL"/>
        </w:rPr>
        <w:t>Dubai, 2023</w:t>
      </w:r>
      <w:r w:rsidRPr="00D0460A">
        <w:rPr>
          <w:lang w:eastAsia="nl-NL"/>
        </w:rPr>
        <w:t>),</w:t>
      </w:r>
    </w:p>
    <w:p w14:paraId="56D97D3D" w14:textId="77777777" w:rsidR="00E276BB" w:rsidRPr="00D0460A" w:rsidRDefault="00E276BB" w:rsidP="00E276BB">
      <w:pPr>
        <w:pStyle w:val="Call"/>
      </w:pPr>
      <w:r w:rsidRPr="00D0460A">
        <w:t>considering</w:t>
      </w:r>
    </w:p>
    <w:p w14:paraId="70A67C0D" w14:textId="5E2B306E" w:rsidR="00E276BB" w:rsidRPr="00D0460A" w:rsidRDefault="00E276BB" w:rsidP="00E276BB">
      <w:r w:rsidRPr="00D0460A">
        <w:rPr>
          <w:i/>
        </w:rPr>
        <w:t>a)</w:t>
      </w:r>
      <w:r w:rsidRPr="00D0460A">
        <w:tab/>
        <w:t xml:space="preserve">that International Mobile Telecommunications (IMT) </w:t>
      </w:r>
      <w:r w:rsidR="00914168" w:rsidRPr="00D0460A">
        <w:t>are</w:t>
      </w:r>
      <w:r w:rsidRPr="00D0460A">
        <w:t xml:space="preserve"> intended to provide telecommunication services on a worldwide scale, regardless of location and type of network or terminal;</w:t>
      </w:r>
    </w:p>
    <w:p w14:paraId="3DF1F855" w14:textId="77777777" w:rsidR="00E276BB" w:rsidRPr="00D0460A" w:rsidRDefault="00E276BB" w:rsidP="00E276BB">
      <w:pPr>
        <w:rPr>
          <w:iCs/>
          <w:szCs w:val="24"/>
        </w:rPr>
      </w:pPr>
      <w:r w:rsidRPr="00D0460A">
        <w:rPr>
          <w:i/>
          <w:szCs w:val="24"/>
        </w:rPr>
        <w:t>b)</w:t>
      </w:r>
      <w:r w:rsidRPr="00D0460A">
        <w:rPr>
          <w:iCs/>
          <w:szCs w:val="24"/>
        </w:rPr>
        <w:tab/>
        <w:t>that IMT systems have contributed to global economic and social development;</w:t>
      </w:r>
    </w:p>
    <w:p w14:paraId="06D0A73B" w14:textId="77777777" w:rsidR="00E276BB" w:rsidRPr="00D0460A" w:rsidRDefault="00E276BB" w:rsidP="00E276BB">
      <w:r w:rsidRPr="00D0460A">
        <w:rPr>
          <w:i/>
        </w:rPr>
        <w:t>c)</w:t>
      </w:r>
      <w:r w:rsidRPr="00D0460A">
        <w:tab/>
        <w:t>that IMT systems are now being evolved to provide diverse usage scenarios such as enhanced mobile broadband, massive machine-type communications and ultra-reliable and low-latency communications, and applications including fixed broadband;</w:t>
      </w:r>
    </w:p>
    <w:p w14:paraId="0DAC2774" w14:textId="77777777" w:rsidR="00E276BB" w:rsidRPr="00D0460A" w:rsidRDefault="00E276BB" w:rsidP="00E276BB">
      <w:r w:rsidRPr="00D0460A">
        <w:rPr>
          <w:i/>
        </w:rPr>
        <w:t>d)</w:t>
      </w:r>
      <w:r w:rsidRPr="00D0460A">
        <w:tab/>
        <w:t>that ultra-low latency and very high bit-rate applications of IMT will require contiguous blocks of spectrum for use by administrations wishing to implement IMT;</w:t>
      </w:r>
    </w:p>
    <w:p w14:paraId="20723647" w14:textId="77777777" w:rsidR="00E276BB" w:rsidRPr="00D0460A" w:rsidRDefault="00E276BB" w:rsidP="00E276BB">
      <w:r w:rsidRPr="00D0460A">
        <w:rPr>
          <w:i/>
          <w:iCs/>
        </w:rPr>
        <w:t>e)</w:t>
      </w:r>
      <w:r w:rsidRPr="00D0460A">
        <w:rPr>
          <w:i/>
          <w:iCs/>
        </w:rPr>
        <w:tab/>
      </w:r>
      <w:r w:rsidRPr="00D0460A">
        <w:t>that, compared with lower and higher frequency bands, the mid-band spectrum can provide better balance for meeting needs for both coverage and capacity;</w:t>
      </w:r>
    </w:p>
    <w:p w14:paraId="589910EB" w14:textId="77777777" w:rsidR="00E276BB" w:rsidRPr="00D0460A" w:rsidRDefault="00E276BB" w:rsidP="00E276BB">
      <w:pPr>
        <w:rPr>
          <w:iCs/>
        </w:rPr>
      </w:pPr>
      <w:r w:rsidRPr="00D0460A">
        <w:rPr>
          <w:i/>
        </w:rPr>
        <w:t>f)</w:t>
      </w:r>
      <w:r w:rsidRPr="00D0460A">
        <w:tab/>
        <w:t>that there is a need to continually take advantage of technological developments in order to increase the efficient use of spectrum and facilitate spectrum access;</w:t>
      </w:r>
    </w:p>
    <w:p w14:paraId="032ADA05" w14:textId="5ACBA17C" w:rsidR="00E276BB" w:rsidRPr="00D0460A" w:rsidRDefault="00E276BB" w:rsidP="00E276BB">
      <w:pPr>
        <w:rPr>
          <w:iCs/>
        </w:rPr>
      </w:pPr>
      <w:r w:rsidRPr="00D0460A">
        <w:rPr>
          <w:i/>
          <w:iCs/>
        </w:rPr>
        <w:t>g)</w:t>
      </w:r>
      <w:r w:rsidRPr="00D0460A">
        <w:rPr>
          <w:iCs/>
        </w:rPr>
        <w:tab/>
        <w:t xml:space="preserve">that the </w:t>
      </w:r>
      <w:r w:rsidR="00914168" w:rsidRPr="00D0460A">
        <w:rPr>
          <w:iCs/>
        </w:rPr>
        <w:t>development of IMT</w:t>
      </w:r>
      <w:r w:rsidR="008D0A39" w:rsidRPr="00D0460A">
        <w:rPr>
          <w:iCs/>
        </w:rPr>
        <w:noBreakHyphen/>
      </w:r>
      <w:r w:rsidR="00914168" w:rsidRPr="00D0460A">
        <w:rPr>
          <w:iCs/>
        </w:rPr>
        <w:t xml:space="preserve">2030 will continue improving wireless communications, thereby improving people’s quality of life, and will </w:t>
      </w:r>
      <w:r w:rsidR="00ED18C7" w:rsidRPr="00D0460A">
        <w:rPr>
          <w:iCs/>
        </w:rPr>
        <w:t>expand</w:t>
      </w:r>
      <w:r w:rsidR="00914168" w:rsidRPr="00D0460A">
        <w:rPr>
          <w:iCs/>
        </w:rPr>
        <w:t xml:space="preserve"> its aims </w:t>
      </w:r>
      <w:r w:rsidR="00ED18C7" w:rsidRPr="00D0460A">
        <w:rPr>
          <w:iCs/>
        </w:rPr>
        <w:t>towards</w:t>
      </w:r>
      <w:r w:rsidR="00914168" w:rsidRPr="00D0460A">
        <w:rPr>
          <w:iCs/>
        </w:rPr>
        <w:t xml:space="preserve"> socioeconomic, environmental and cultural sustainability</w:t>
      </w:r>
      <w:r w:rsidRPr="00D0460A">
        <w:rPr>
          <w:iCs/>
        </w:rPr>
        <w:t>;</w:t>
      </w:r>
    </w:p>
    <w:p w14:paraId="35A688C6" w14:textId="08D8D174" w:rsidR="00E276BB" w:rsidRPr="00D0460A" w:rsidRDefault="00E276BB" w:rsidP="00E276BB">
      <w:pPr>
        <w:rPr>
          <w:rFonts w:eastAsia="SimSun"/>
          <w:lang w:eastAsia="zh-CN"/>
        </w:rPr>
      </w:pPr>
      <w:r w:rsidRPr="00D0460A">
        <w:rPr>
          <w:i/>
          <w:iCs/>
        </w:rPr>
        <w:t>h)</w:t>
      </w:r>
      <w:r w:rsidRPr="00D0460A">
        <w:rPr>
          <w:iCs/>
        </w:rPr>
        <w:tab/>
        <w:t>that</w:t>
      </w:r>
      <w:r w:rsidR="002B2870" w:rsidRPr="00D0460A">
        <w:rPr>
          <w:iCs/>
        </w:rPr>
        <w:t xml:space="preserve">, in order to support the future development and general objectives of IMT, </w:t>
      </w:r>
      <w:r w:rsidRPr="00D0460A">
        <w:rPr>
          <w:rFonts w:eastAsia="SimSun"/>
          <w:lang w:eastAsia="zh-CN"/>
        </w:rPr>
        <w:t>adequate and timely availability of spectrum and corresponding regulatory provisions are essential;</w:t>
      </w:r>
    </w:p>
    <w:p w14:paraId="50D9D531" w14:textId="3CB50DA2" w:rsidR="00E276BB" w:rsidRPr="00D0460A" w:rsidRDefault="0038299F" w:rsidP="00E276BB">
      <w:r w:rsidRPr="00D0460A">
        <w:rPr>
          <w:i/>
        </w:rPr>
        <w:t>i</w:t>
      </w:r>
      <w:r w:rsidR="00E276BB" w:rsidRPr="00D0460A">
        <w:rPr>
          <w:i/>
        </w:rPr>
        <w:t>)</w:t>
      </w:r>
      <w:r w:rsidR="00E276BB" w:rsidRPr="00D0460A">
        <w:tab/>
        <w:t>that harmonized worldwide frequency bands and harmonized frequency arrangements for IMT are highly desirable in order to achieve global roaming and the benefits of economies of scale;</w:t>
      </w:r>
    </w:p>
    <w:p w14:paraId="4FD49AA8" w14:textId="436FC721" w:rsidR="00E276BB" w:rsidRPr="00D0460A" w:rsidRDefault="0038299F" w:rsidP="00E276BB">
      <w:r w:rsidRPr="00D0460A">
        <w:rPr>
          <w:i/>
        </w:rPr>
        <w:t>j</w:t>
      </w:r>
      <w:r w:rsidR="00E276BB" w:rsidRPr="00D0460A">
        <w:rPr>
          <w:i/>
        </w:rPr>
        <w:t>)</w:t>
      </w:r>
      <w:r w:rsidR="00E276BB" w:rsidRPr="00D0460A">
        <w:tab/>
        <w:t xml:space="preserve">that </w:t>
      </w:r>
      <w:r w:rsidR="00ED6BCA" w:rsidRPr="00D0460A">
        <w:t xml:space="preserve">the </w:t>
      </w:r>
      <w:r w:rsidR="00E276BB" w:rsidRPr="00D0460A">
        <w:t>identification of frequency bands</w:t>
      </w:r>
      <w:r w:rsidR="00ED6BCA" w:rsidRPr="00D0460A">
        <w:t>,</w:t>
      </w:r>
      <w:r w:rsidR="00E276BB" w:rsidRPr="00D0460A">
        <w:t xml:space="preserve"> as</w:t>
      </w:r>
      <w:r w:rsidR="00ED6BCA" w:rsidRPr="00D0460A">
        <w:t xml:space="preserve"> referred to</w:t>
      </w:r>
      <w:r w:rsidR="00E276BB" w:rsidRPr="00D0460A">
        <w:t xml:space="preserve"> in </w:t>
      </w:r>
      <w:r w:rsidR="00E276BB" w:rsidRPr="00D0460A">
        <w:rPr>
          <w:i/>
          <w:iCs/>
        </w:rPr>
        <w:t>considering</w:t>
      </w:r>
      <w:r w:rsidR="00E276BB" w:rsidRPr="00D0460A">
        <w:t> </w:t>
      </w:r>
      <w:r w:rsidR="00E276BB" w:rsidRPr="00D0460A">
        <w:rPr>
          <w:i/>
          <w:iCs/>
        </w:rPr>
        <w:t>e)</w:t>
      </w:r>
      <w:r w:rsidR="00ED6BCA" w:rsidRPr="00D0460A">
        <w:t>,</w:t>
      </w:r>
      <w:r w:rsidR="00E276BB" w:rsidRPr="00D0460A">
        <w:t xml:space="preserve"> for IMT may change the sharing situation </w:t>
      </w:r>
      <w:r w:rsidR="00ED6BCA" w:rsidRPr="00D0460A">
        <w:t>with regard to</w:t>
      </w:r>
      <w:r w:rsidR="005D2217" w:rsidRPr="00D0460A">
        <w:t xml:space="preserve"> </w:t>
      </w:r>
      <w:r w:rsidR="00E276BB" w:rsidRPr="00D0460A">
        <w:t xml:space="preserve">applications of services to which </w:t>
      </w:r>
      <w:r w:rsidR="00CA5091" w:rsidRPr="00D0460A">
        <w:t>the</w:t>
      </w:r>
      <w:r w:rsidR="00E276BB" w:rsidRPr="00D0460A">
        <w:t xml:space="preserve"> frequency band is already allocated and may require additional regulatory actions</w:t>
      </w:r>
      <w:r w:rsidR="005D2217" w:rsidRPr="00D0460A">
        <w:t xml:space="preserve"> </w:t>
      </w:r>
      <w:r w:rsidR="00ED6BCA" w:rsidRPr="00D0460A">
        <w:t xml:space="preserve">to ensure </w:t>
      </w:r>
      <w:r w:rsidR="005D2217" w:rsidRPr="00D0460A">
        <w:t>proper functioning</w:t>
      </w:r>
      <w:r w:rsidR="00E276BB" w:rsidRPr="00D0460A">
        <w:t>;</w:t>
      </w:r>
    </w:p>
    <w:p w14:paraId="2A3E016A" w14:textId="69544B6B" w:rsidR="00E276BB" w:rsidRPr="00D0460A" w:rsidRDefault="005D2217" w:rsidP="00E276BB">
      <w:r w:rsidRPr="00D0460A">
        <w:rPr>
          <w:i/>
        </w:rPr>
        <w:t>k</w:t>
      </w:r>
      <w:r w:rsidR="00E276BB" w:rsidRPr="00D0460A">
        <w:rPr>
          <w:i/>
        </w:rPr>
        <w:t>)</w:t>
      </w:r>
      <w:r w:rsidR="00E276BB" w:rsidRPr="00D0460A">
        <w:tab/>
      </w:r>
      <w:r w:rsidRPr="00D0460A">
        <w:t>that in preparation for WRC</w:t>
      </w:r>
      <w:r w:rsidR="008D0A39" w:rsidRPr="00D0460A">
        <w:noBreakHyphen/>
      </w:r>
      <w:r w:rsidRPr="00D0460A">
        <w:t>15, WRC</w:t>
      </w:r>
      <w:r w:rsidR="008D0A39" w:rsidRPr="00D0460A">
        <w:noBreakHyphen/>
      </w:r>
      <w:r w:rsidRPr="00D0460A">
        <w:t>19 and WRC</w:t>
      </w:r>
      <w:r w:rsidR="008D0A39" w:rsidRPr="00D0460A">
        <w:noBreakHyphen/>
      </w:r>
      <w:r w:rsidRPr="00D0460A">
        <w:t>23, ITU</w:t>
      </w:r>
      <w:r w:rsidR="008D0A39" w:rsidRPr="00D0460A">
        <w:noBreakHyphen/>
      </w:r>
      <w:r w:rsidRPr="00D0460A">
        <w:t xml:space="preserve">R studied the frequency band 4 800-4 990 MHz for possible use </w:t>
      </w:r>
      <w:r w:rsidR="00CE6277" w:rsidRPr="00D0460A">
        <w:t>by</w:t>
      </w:r>
      <w:r w:rsidRPr="00D0460A">
        <w:t xml:space="preserve"> the terrestrial component of IMT in this band, along with protection </w:t>
      </w:r>
      <w:r w:rsidR="00F86C85" w:rsidRPr="00D0460A">
        <w:t>for services with allocations in the same band</w:t>
      </w:r>
      <w:r w:rsidR="00060F26" w:rsidRPr="00D0460A">
        <w:t>s</w:t>
      </w:r>
      <w:r w:rsidR="00F86C85" w:rsidRPr="00D0460A">
        <w:t>;</w:t>
      </w:r>
    </w:p>
    <w:p w14:paraId="0EC898AE" w14:textId="57A4E9AD" w:rsidR="00F86C85" w:rsidRPr="00D0460A" w:rsidRDefault="00F86C85" w:rsidP="00E276BB">
      <w:pPr>
        <w:rPr>
          <w:szCs w:val="24"/>
        </w:rPr>
      </w:pPr>
      <w:r w:rsidRPr="00D0460A">
        <w:rPr>
          <w:i/>
          <w:iCs/>
        </w:rPr>
        <w:t>l)</w:t>
      </w:r>
      <w:r w:rsidRPr="00D0460A">
        <w:tab/>
      </w:r>
      <w:r w:rsidR="00CE6277" w:rsidRPr="00D0460A">
        <w:t>that in preparation for WRC</w:t>
      </w:r>
      <w:r w:rsidR="008D0A39" w:rsidRPr="00D0460A">
        <w:noBreakHyphen/>
      </w:r>
      <w:r w:rsidR="00CE6277" w:rsidRPr="00D0460A">
        <w:t>23, ITU</w:t>
      </w:r>
      <w:r w:rsidR="008D0A39" w:rsidRPr="00D0460A">
        <w:noBreakHyphen/>
      </w:r>
      <w:r w:rsidR="00CE6277" w:rsidRPr="00D0460A">
        <w:t xml:space="preserve">R has studied the frequency bands </w:t>
      </w:r>
      <w:r w:rsidR="00CE6277" w:rsidRPr="00D0460A">
        <w:rPr>
          <w:szCs w:val="24"/>
        </w:rPr>
        <w:t>6</w:t>
      </w:r>
      <w:r w:rsidR="00CE6277" w:rsidRPr="00D0460A">
        <w:t> </w:t>
      </w:r>
      <w:r w:rsidR="00CE6277" w:rsidRPr="00D0460A">
        <w:rPr>
          <w:szCs w:val="24"/>
        </w:rPr>
        <w:t>425-7</w:t>
      </w:r>
      <w:r w:rsidR="00CE6277" w:rsidRPr="00D0460A">
        <w:t> </w:t>
      </w:r>
      <w:r w:rsidR="00CE6277" w:rsidRPr="00D0460A">
        <w:rPr>
          <w:szCs w:val="24"/>
        </w:rPr>
        <w:t>025</w:t>
      </w:r>
      <w:r w:rsidR="008D0A39" w:rsidRPr="00D0460A">
        <w:rPr>
          <w:szCs w:val="24"/>
        </w:rPr>
        <w:t> </w:t>
      </w:r>
      <w:r w:rsidR="00CE6277" w:rsidRPr="00D0460A">
        <w:rPr>
          <w:szCs w:val="24"/>
        </w:rPr>
        <w:t>MHz (Region</w:t>
      </w:r>
      <w:r w:rsidR="008D0A39" w:rsidRPr="00D0460A">
        <w:rPr>
          <w:szCs w:val="24"/>
        </w:rPr>
        <w:t> </w:t>
      </w:r>
      <w:r w:rsidR="00CE6277" w:rsidRPr="00D0460A">
        <w:rPr>
          <w:szCs w:val="24"/>
        </w:rPr>
        <w:t>1), 7</w:t>
      </w:r>
      <w:r w:rsidR="00CE6277" w:rsidRPr="00D0460A">
        <w:t> </w:t>
      </w:r>
      <w:r w:rsidR="00CE6277" w:rsidRPr="00D0460A">
        <w:rPr>
          <w:szCs w:val="24"/>
        </w:rPr>
        <w:t>025-7</w:t>
      </w:r>
      <w:r w:rsidR="00CE6277" w:rsidRPr="00D0460A">
        <w:t> </w:t>
      </w:r>
      <w:r w:rsidR="00CE6277" w:rsidRPr="00D0460A">
        <w:rPr>
          <w:szCs w:val="24"/>
        </w:rPr>
        <w:t>125</w:t>
      </w:r>
      <w:r w:rsidR="008D0A39" w:rsidRPr="00D0460A">
        <w:rPr>
          <w:szCs w:val="24"/>
        </w:rPr>
        <w:t> </w:t>
      </w:r>
      <w:r w:rsidR="00CE6277" w:rsidRPr="00D0460A">
        <w:rPr>
          <w:szCs w:val="24"/>
        </w:rPr>
        <w:t>MHz and 10-10.5</w:t>
      </w:r>
      <w:r w:rsidR="008D0A39" w:rsidRPr="00D0460A">
        <w:rPr>
          <w:szCs w:val="24"/>
        </w:rPr>
        <w:t> </w:t>
      </w:r>
      <w:r w:rsidR="00CE6277" w:rsidRPr="00D0460A">
        <w:rPr>
          <w:szCs w:val="24"/>
        </w:rPr>
        <w:t>GHz for possible use by the terrestrial component of IMT in these bands;</w:t>
      </w:r>
    </w:p>
    <w:p w14:paraId="66DA8009" w14:textId="2B1077AF" w:rsidR="00CE6277" w:rsidRPr="00D0460A" w:rsidRDefault="00CE6277" w:rsidP="00E276BB">
      <w:pPr>
        <w:rPr>
          <w:szCs w:val="24"/>
        </w:rPr>
      </w:pPr>
      <w:r w:rsidRPr="00D0460A">
        <w:rPr>
          <w:i/>
          <w:iCs/>
          <w:szCs w:val="24"/>
        </w:rPr>
        <w:t>m)</w:t>
      </w:r>
      <w:r w:rsidRPr="00D0460A">
        <w:rPr>
          <w:szCs w:val="24"/>
        </w:rPr>
        <w:tab/>
        <w:t xml:space="preserve">that the studies referred to in </w:t>
      </w:r>
      <w:r w:rsidRPr="00D0460A">
        <w:rPr>
          <w:i/>
          <w:iCs/>
          <w:szCs w:val="24"/>
        </w:rPr>
        <w:t>considering</w:t>
      </w:r>
      <w:r w:rsidR="008D0A39" w:rsidRPr="00D0460A">
        <w:rPr>
          <w:i/>
          <w:iCs/>
          <w:szCs w:val="24"/>
        </w:rPr>
        <w:t> </w:t>
      </w:r>
      <w:r w:rsidRPr="00D0460A">
        <w:rPr>
          <w:i/>
          <w:iCs/>
          <w:szCs w:val="24"/>
        </w:rPr>
        <w:t>l)</w:t>
      </w:r>
      <w:r w:rsidRPr="00D0460A">
        <w:rPr>
          <w:szCs w:val="24"/>
        </w:rPr>
        <w:t xml:space="preserve"> examined the frequency bands 6</w:t>
      </w:r>
      <w:r w:rsidRPr="00D0460A">
        <w:t> </w:t>
      </w:r>
      <w:r w:rsidRPr="00D0460A">
        <w:rPr>
          <w:szCs w:val="24"/>
        </w:rPr>
        <w:t>425-7</w:t>
      </w:r>
      <w:r w:rsidRPr="00D0460A">
        <w:t> </w:t>
      </w:r>
      <w:r w:rsidRPr="00D0460A">
        <w:rPr>
          <w:szCs w:val="24"/>
        </w:rPr>
        <w:t>025</w:t>
      </w:r>
      <w:r w:rsidR="008D0A39" w:rsidRPr="00D0460A">
        <w:rPr>
          <w:szCs w:val="24"/>
        </w:rPr>
        <w:t> </w:t>
      </w:r>
      <w:r w:rsidRPr="00D0460A">
        <w:rPr>
          <w:szCs w:val="24"/>
        </w:rPr>
        <w:t>MHz and 7</w:t>
      </w:r>
      <w:r w:rsidRPr="00D0460A">
        <w:t> </w:t>
      </w:r>
      <w:r w:rsidRPr="00D0460A">
        <w:rPr>
          <w:szCs w:val="24"/>
        </w:rPr>
        <w:t>025-7</w:t>
      </w:r>
      <w:r w:rsidRPr="00D0460A">
        <w:t> </w:t>
      </w:r>
      <w:r w:rsidRPr="00D0460A">
        <w:rPr>
          <w:szCs w:val="24"/>
        </w:rPr>
        <w:t>125</w:t>
      </w:r>
      <w:r w:rsidR="008D0A39" w:rsidRPr="00D0460A">
        <w:rPr>
          <w:szCs w:val="24"/>
        </w:rPr>
        <w:t> </w:t>
      </w:r>
      <w:r w:rsidRPr="00D0460A">
        <w:rPr>
          <w:szCs w:val="24"/>
        </w:rPr>
        <w:t xml:space="preserve">MHz together, and </w:t>
      </w:r>
      <w:r w:rsidR="00C23218" w:rsidRPr="00D0460A">
        <w:rPr>
          <w:szCs w:val="24"/>
        </w:rPr>
        <w:t>there could be</w:t>
      </w:r>
      <w:r w:rsidRPr="00D0460A">
        <w:rPr>
          <w:szCs w:val="24"/>
        </w:rPr>
        <w:t xml:space="preserve"> </w:t>
      </w:r>
      <w:r w:rsidR="009D1AFF" w:rsidRPr="00D0460A">
        <w:rPr>
          <w:szCs w:val="24"/>
        </w:rPr>
        <w:t xml:space="preserve">specific considerations for each of </w:t>
      </w:r>
      <w:r w:rsidR="00C23218" w:rsidRPr="00D0460A">
        <w:rPr>
          <w:szCs w:val="24"/>
        </w:rPr>
        <w:t>the two bands</w:t>
      </w:r>
      <w:r w:rsidR="009D1AFF" w:rsidRPr="00D0460A">
        <w:rPr>
          <w:szCs w:val="24"/>
        </w:rPr>
        <w:t>;</w:t>
      </w:r>
    </w:p>
    <w:p w14:paraId="012603A6" w14:textId="1F92A544" w:rsidR="009D1AFF" w:rsidRPr="00D0460A" w:rsidRDefault="009D1AFF" w:rsidP="00E276BB">
      <w:pPr>
        <w:rPr>
          <w:szCs w:val="24"/>
        </w:rPr>
      </w:pPr>
      <w:r w:rsidRPr="00D0460A">
        <w:rPr>
          <w:i/>
          <w:iCs/>
        </w:rPr>
        <w:lastRenderedPageBreak/>
        <w:t>n)</w:t>
      </w:r>
      <w:r w:rsidRPr="00D0460A">
        <w:tab/>
        <w:t xml:space="preserve">that the studies referred to in </w:t>
      </w:r>
      <w:r w:rsidRPr="00D0460A">
        <w:rPr>
          <w:i/>
          <w:iCs/>
        </w:rPr>
        <w:t>considering</w:t>
      </w:r>
      <w:r w:rsidR="008D0A39" w:rsidRPr="00D0460A">
        <w:rPr>
          <w:i/>
          <w:iCs/>
        </w:rPr>
        <w:t> </w:t>
      </w:r>
      <w:r w:rsidRPr="00D0460A">
        <w:rPr>
          <w:i/>
          <w:iCs/>
        </w:rPr>
        <w:t>l)</w:t>
      </w:r>
      <w:r w:rsidRPr="00D0460A">
        <w:t xml:space="preserve"> mainly took into account specific considerations for the band </w:t>
      </w:r>
      <w:r w:rsidRPr="00D0460A">
        <w:rPr>
          <w:szCs w:val="24"/>
        </w:rPr>
        <w:t>6</w:t>
      </w:r>
      <w:r w:rsidRPr="00D0460A">
        <w:t> </w:t>
      </w:r>
      <w:r w:rsidRPr="00D0460A">
        <w:rPr>
          <w:szCs w:val="24"/>
        </w:rPr>
        <w:t>425-7</w:t>
      </w:r>
      <w:r w:rsidRPr="00D0460A">
        <w:t> </w:t>
      </w:r>
      <w:r w:rsidRPr="00D0460A">
        <w:rPr>
          <w:szCs w:val="24"/>
        </w:rPr>
        <w:t>025 MHz in Region</w:t>
      </w:r>
      <w:r w:rsidR="008D0A39" w:rsidRPr="00D0460A">
        <w:rPr>
          <w:szCs w:val="24"/>
        </w:rPr>
        <w:t> </w:t>
      </w:r>
      <w:r w:rsidRPr="00D0460A">
        <w:rPr>
          <w:szCs w:val="24"/>
        </w:rPr>
        <w:t>1, and in some cases Regions</w:t>
      </w:r>
      <w:r w:rsidR="008D0A39" w:rsidRPr="00D0460A">
        <w:rPr>
          <w:szCs w:val="24"/>
        </w:rPr>
        <w:t> </w:t>
      </w:r>
      <w:r w:rsidRPr="00D0460A">
        <w:rPr>
          <w:szCs w:val="24"/>
        </w:rPr>
        <w:t>2 and</w:t>
      </w:r>
      <w:r w:rsidR="008D0A39" w:rsidRPr="00D0460A">
        <w:rPr>
          <w:szCs w:val="24"/>
        </w:rPr>
        <w:t> </w:t>
      </w:r>
      <w:r w:rsidRPr="00D0460A">
        <w:rPr>
          <w:szCs w:val="24"/>
        </w:rPr>
        <w:t xml:space="preserve">3 were excluded; </w:t>
      </w:r>
    </w:p>
    <w:p w14:paraId="3893BE8A" w14:textId="05F100AF" w:rsidR="009D1AFF" w:rsidRPr="00D0460A" w:rsidRDefault="009D1AFF" w:rsidP="00E276BB">
      <w:r w:rsidRPr="00D0460A">
        <w:rPr>
          <w:i/>
          <w:iCs/>
          <w:szCs w:val="24"/>
        </w:rPr>
        <w:t>o)</w:t>
      </w:r>
      <w:r w:rsidRPr="00D0460A">
        <w:rPr>
          <w:szCs w:val="24"/>
        </w:rPr>
        <w:tab/>
        <w:t xml:space="preserve">that the studies referred to in </w:t>
      </w:r>
      <w:r w:rsidRPr="00D0460A">
        <w:rPr>
          <w:i/>
          <w:iCs/>
          <w:szCs w:val="24"/>
        </w:rPr>
        <w:t>considering</w:t>
      </w:r>
      <w:r w:rsidR="008D0A39" w:rsidRPr="00D0460A">
        <w:rPr>
          <w:i/>
          <w:iCs/>
          <w:szCs w:val="24"/>
        </w:rPr>
        <w:t> </w:t>
      </w:r>
      <w:r w:rsidRPr="00D0460A">
        <w:rPr>
          <w:i/>
          <w:iCs/>
          <w:szCs w:val="24"/>
        </w:rPr>
        <w:t>l)</w:t>
      </w:r>
      <w:r w:rsidRPr="00D0460A">
        <w:t xml:space="preserve"> did not examine sharing between FSS terrestrial transmitting stations and IMT receiving stations, </w:t>
      </w:r>
      <w:r w:rsidR="00CA5091" w:rsidRPr="00D0460A">
        <w:t>owing to</w:t>
      </w:r>
      <w:r w:rsidRPr="00D0460A">
        <w:t xml:space="preserve"> a lack of contributions;</w:t>
      </w:r>
    </w:p>
    <w:p w14:paraId="69DD3653" w14:textId="129396A8" w:rsidR="009D1AFF" w:rsidRPr="00D0460A" w:rsidRDefault="009D1AFF" w:rsidP="00E276BB">
      <w:r w:rsidRPr="00D0460A">
        <w:rPr>
          <w:i/>
          <w:iCs/>
        </w:rPr>
        <w:t>p)</w:t>
      </w:r>
      <w:r w:rsidRPr="00D0460A">
        <w:tab/>
        <w:t>that WRC</w:t>
      </w:r>
      <w:r w:rsidR="008D0A39" w:rsidRPr="00D0460A">
        <w:noBreakHyphen/>
      </w:r>
      <w:r w:rsidRPr="00D0460A">
        <w:t>15 and WRC</w:t>
      </w:r>
      <w:r w:rsidR="008D0A39" w:rsidRPr="00D0460A">
        <w:noBreakHyphen/>
      </w:r>
      <w:r w:rsidRPr="00D0460A">
        <w:t>19 identified the frequency band 4 800-4 990 MHz for use by administrations wishing to introduce terrestrial IMT systems in the countries listed in Nos. </w:t>
      </w:r>
      <w:r w:rsidRPr="00D0460A">
        <w:rPr>
          <w:rStyle w:val="Artref"/>
          <w:b/>
          <w:bCs/>
        </w:rPr>
        <w:t>5.441A</w:t>
      </w:r>
      <w:r w:rsidRPr="00D0460A">
        <w:t xml:space="preserve"> and</w:t>
      </w:r>
      <w:r w:rsidR="008D0A39" w:rsidRPr="00D0460A">
        <w:t> </w:t>
      </w:r>
      <w:r w:rsidRPr="00D0460A">
        <w:rPr>
          <w:rStyle w:val="Artref"/>
          <w:b/>
          <w:bCs/>
        </w:rPr>
        <w:t>5.441B</w:t>
      </w:r>
      <w:r w:rsidRPr="00D0460A">
        <w:t>;</w:t>
      </w:r>
    </w:p>
    <w:p w14:paraId="5773B7B7" w14:textId="02B56132" w:rsidR="009D1AFF" w:rsidRPr="00D0460A" w:rsidRDefault="009D1AFF" w:rsidP="00E276BB">
      <w:r w:rsidRPr="00D0460A">
        <w:rPr>
          <w:i/>
          <w:iCs/>
        </w:rPr>
        <w:t>q)</w:t>
      </w:r>
      <w:r w:rsidRPr="00D0460A">
        <w:tab/>
        <w:t>the need to protect existing services and to allow for their continued development when considering frequency bands for possible additional allocations to any service;</w:t>
      </w:r>
    </w:p>
    <w:p w14:paraId="035E7011" w14:textId="6742C563" w:rsidR="009D1AFF" w:rsidRPr="00D0460A" w:rsidRDefault="009D1AFF" w:rsidP="00E276BB">
      <w:r w:rsidRPr="00D0460A">
        <w:rPr>
          <w:i/>
          <w:iCs/>
        </w:rPr>
        <w:t>r)</w:t>
      </w:r>
      <w:r w:rsidRPr="00D0460A">
        <w:tab/>
        <w:t>that conditions for IMT implementation may differ among administrations in the various frequency bands identified for IMT,</w:t>
      </w:r>
    </w:p>
    <w:p w14:paraId="27C905F1" w14:textId="77777777" w:rsidR="00E276BB" w:rsidRPr="00D0460A" w:rsidRDefault="00E276BB" w:rsidP="00E276BB">
      <w:pPr>
        <w:pStyle w:val="Call"/>
      </w:pPr>
      <w:r w:rsidRPr="00D0460A">
        <w:t>noting</w:t>
      </w:r>
    </w:p>
    <w:p w14:paraId="65F5BE7F" w14:textId="5E14594B" w:rsidR="00E276BB" w:rsidRPr="00D0460A" w:rsidRDefault="00E276BB" w:rsidP="00E276BB">
      <w:r w:rsidRPr="00D0460A">
        <w:rPr>
          <w:i/>
        </w:rPr>
        <w:t>a)</w:t>
      </w:r>
      <w:r w:rsidRPr="00D0460A">
        <w:tab/>
        <w:t>that Resolution ITU</w:t>
      </w:r>
      <w:r w:rsidRPr="00D0460A">
        <w:noBreakHyphen/>
        <w:t>R 65 addresses the principles for the process of develo</w:t>
      </w:r>
      <w:r w:rsidR="00CA5091" w:rsidRPr="00D0460A">
        <w:t>ping</w:t>
      </w:r>
      <w:r w:rsidRPr="00D0460A">
        <w:t xml:space="preserve"> IMT </w:t>
      </w:r>
      <w:r w:rsidR="00432B0B" w:rsidRPr="00D0460A">
        <w:t>towards</w:t>
      </w:r>
      <w:r w:rsidRPr="00D0460A">
        <w:t> 2020 and beyond;</w:t>
      </w:r>
    </w:p>
    <w:p w14:paraId="1F9A0713" w14:textId="375F1CF1" w:rsidR="00E276BB" w:rsidRPr="00D0460A" w:rsidRDefault="00E276BB" w:rsidP="00E276BB">
      <w:r w:rsidRPr="00D0460A">
        <w:rPr>
          <w:i/>
        </w:rPr>
        <w:t>b)</w:t>
      </w:r>
      <w:r w:rsidRPr="00D0460A">
        <w:tab/>
        <w:t>that IMT encompasses IMT-2000, IMT</w:t>
      </w:r>
      <w:r w:rsidR="008D0A39" w:rsidRPr="00D0460A">
        <w:noBreakHyphen/>
      </w:r>
      <w:r w:rsidRPr="00D0460A">
        <w:t>Advanced</w:t>
      </w:r>
      <w:r w:rsidR="00497FDC" w:rsidRPr="00D0460A">
        <w:t xml:space="preserve">, </w:t>
      </w:r>
      <w:r w:rsidRPr="00D0460A">
        <w:t>IMT</w:t>
      </w:r>
      <w:r w:rsidR="008D0A39" w:rsidRPr="00D0460A">
        <w:noBreakHyphen/>
      </w:r>
      <w:r w:rsidRPr="00D0460A">
        <w:t xml:space="preserve">2020 </w:t>
      </w:r>
      <w:r w:rsidR="00497FDC" w:rsidRPr="00D0460A">
        <w:t>and IMT</w:t>
      </w:r>
      <w:r w:rsidR="008D0A39" w:rsidRPr="00D0460A">
        <w:noBreakHyphen/>
      </w:r>
      <w:r w:rsidR="00497FDC" w:rsidRPr="00D0460A">
        <w:t>2030</w:t>
      </w:r>
      <w:r w:rsidR="00736160" w:rsidRPr="00D0460A">
        <w:t xml:space="preserve"> </w:t>
      </w:r>
      <w:r w:rsidRPr="00D0460A">
        <w:t xml:space="preserve">collectively, as described in </w:t>
      </w:r>
      <w:r w:rsidR="00736160" w:rsidRPr="00D0460A">
        <w:t xml:space="preserve">the draft revision of </w:t>
      </w:r>
      <w:r w:rsidRPr="00D0460A">
        <w:t>Resolution ITU</w:t>
      </w:r>
      <w:r w:rsidRPr="00D0460A">
        <w:noBreakHyphen/>
        <w:t>R 56;</w:t>
      </w:r>
    </w:p>
    <w:p w14:paraId="730E1DD2" w14:textId="5312404B" w:rsidR="00E276BB" w:rsidRPr="00D0460A" w:rsidRDefault="00E276BB" w:rsidP="00E276BB">
      <w:r w:rsidRPr="00D0460A">
        <w:rPr>
          <w:i/>
        </w:rPr>
        <w:t>c)</w:t>
      </w:r>
      <w:r w:rsidRPr="00D0460A">
        <w:tab/>
        <w:t>that Question ITU</w:t>
      </w:r>
      <w:r w:rsidRPr="00D0460A">
        <w:noBreakHyphen/>
        <w:t>R 77</w:t>
      </w:r>
      <w:r w:rsidRPr="00D0460A">
        <w:noBreakHyphen/>
        <w:t xml:space="preserve">8/5 considers the needs of developing countries in the </w:t>
      </w:r>
      <w:r w:rsidR="00736160" w:rsidRPr="00D0460A">
        <w:t>design and application</w:t>
      </w:r>
      <w:r w:rsidRPr="00D0460A">
        <w:t xml:space="preserve"> of IMT;</w:t>
      </w:r>
    </w:p>
    <w:p w14:paraId="7F9AEAC9" w14:textId="77777777" w:rsidR="00E276BB" w:rsidRPr="00D0460A" w:rsidRDefault="00E276BB" w:rsidP="00E276BB">
      <w:r w:rsidRPr="00D0460A">
        <w:rPr>
          <w:i/>
        </w:rPr>
        <w:t>d)</w:t>
      </w:r>
      <w:r w:rsidRPr="00D0460A">
        <w:tab/>
        <w:t>that Question ITU</w:t>
      </w:r>
      <w:r w:rsidRPr="00D0460A">
        <w:noBreakHyphen/>
        <w:t>R 229/5 seeks to address the further development of IMT;</w:t>
      </w:r>
    </w:p>
    <w:p w14:paraId="752E17A1" w14:textId="54B4F2D6" w:rsidR="00E276BB" w:rsidRPr="00D0460A" w:rsidRDefault="00E276BB" w:rsidP="00E276BB">
      <w:r w:rsidRPr="00D0460A">
        <w:rPr>
          <w:i/>
          <w:iCs/>
        </w:rPr>
        <w:t>e)</w:t>
      </w:r>
      <w:r w:rsidRPr="00D0460A">
        <w:tab/>
        <w:t>that Question ITU</w:t>
      </w:r>
      <w:r w:rsidRPr="00D0460A">
        <w:noBreakHyphen/>
        <w:t>R</w:t>
      </w:r>
      <w:r w:rsidR="008D0A39" w:rsidRPr="00D0460A">
        <w:t> </w:t>
      </w:r>
      <w:r w:rsidRPr="00D0460A">
        <w:t>262/5 addresses the study of usage of IMT systems for specific applications;</w:t>
      </w:r>
    </w:p>
    <w:p w14:paraId="044D6A03" w14:textId="1ABEB536" w:rsidR="00E276BB" w:rsidRPr="00D0460A" w:rsidRDefault="00E276BB" w:rsidP="00E276BB">
      <w:r w:rsidRPr="00D0460A">
        <w:rPr>
          <w:i/>
        </w:rPr>
        <w:t>f)</w:t>
      </w:r>
      <w:r w:rsidRPr="00D0460A">
        <w:tab/>
      </w:r>
      <w:r w:rsidR="00736160" w:rsidRPr="00D0460A">
        <w:t xml:space="preserve">that </w:t>
      </w:r>
      <w:r w:rsidRPr="00D0460A">
        <w:t>Recommendation ITU</w:t>
      </w:r>
      <w:r w:rsidRPr="00D0460A">
        <w:noBreakHyphen/>
        <w:t>R M.2083</w:t>
      </w:r>
      <w:r w:rsidR="00736160" w:rsidRPr="00D0460A">
        <w:t xml:space="preserve"> sets out</w:t>
      </w:r>
      <w:r w:rsidRPr="00D0460A">
        <w:t xml:space="preserve"> the framework and</w:t>
      </w:r>
      <w:r w:rsidR="00736160" w:rsidRPr="00D0460A">
        <w:t xml:space="preserve"> overall</w:t>
      </w:r>
      <w:r w:rsidRPr="00D0460A">
        <w:t xml:space="preserve"> objectives </w:t>
      </w:r>
      <w:r w:rsidR="00736160" w:rsidRPr="00D0460A">
        <w:t>for</w:t>
      </w:r>
      <w:r w:rsidRPr="00D0460A">
        <w:t xml:space="preserve"> the future development of IMT </w:t>
      </w:r>
      <w:r w:rsidR="00432B0B" w:rsidRPr="00D0460A">
        <w:t>towards</w:t>
      </w:r>
      <w:r w:rsidRPr="00D0460A">
        <w:t> 2020 and beyond;</w:t>
      </w:r>
    </w:p>
    <w:p w14:paraId="28E8A592" w14:textId="60D1C867" w:rsidR="00E276BB" w:rsidRPr="00D0460A" w:rsidRDefault="00E276BB" w:rsidP="00E276BB">
      <w:r w:rsidRPr="00D0460A">
        <w:rPr>
          <w:i/>
        </w:rPr>
        <w:t>g)</w:t>
      </w:r>
      <w:r w:rsidRPr="00D0460A">
        <w:rPr>
          <w:i/>
        </w:rPr>
        <w:tab/>
      </w:r>
      <w:r w:rsidR="00736160" w:rsidRPr="00D0460A">
        <w:rPr>
          <w:iCs/>
        </w:rPr>
        <w:t xml:space="preserve">that </w:t>
      </w:r>
      <w:r w:rsidRPr="00D0460A">
        <w:t>Recommendation ITU</w:t>
      </w:r>
      <w:r w:rsidRPr="00D0460A">
        <w:noBreakHyphen/>
        <w:t>R M.2101</w:t>
      </w:r>
      <w:r w:rsidR="00736160" w:rsidRPr="00D0460A">
        <w:t xml:space="preserve"> refers to</w:t>
      </w:r>
      <w:r w:rsidRPr="00D0460A">
        <w:t xml:space="preserve"> modelling and simulation of IMT networks and systems for use in sharing and compatibility studies;</w:t>
      </w:r>
    </w:p>
    <w:p w14:paraId="6B01F4DA" w14:textId="1AA651DA" w:rsidR="00057575" w:rsidRPr="00D0460A" w:rsidRDefault="00057575" w:rsidP="00E276BB">
      <w:r w:rsidRPr="00D0460A">
        <w:rPr>
          <w:i/>
          <w:iCs/>
        </w:rPr>
        <w:t>h)</w:t>
      </w:r>
      <w:r w:rsidRPr="00D0460A">
        <w:tab/>
        <w:t>that Recommendation ITU</w:t>
      </w:r>
      <w:r w:rsidR="008D0A39" w:rsidRPr="00D0460A">
        <w:noBreakHyphen/>
      </w:r>
      <w:r w:rsidRPr="00D0460A">
        <w:t>R</w:t>
      </w:r>
      <w:r w:rsidR="008D0A39" w:rsidRPr="00D0460A">
        <w:t> </w:t>
      </w:r>
      <w:r w:rsidRPr="00D0460A">
        <w:t xml:space="preserve">M.2150 gives detailed specifications </w:t>
      </w:r>
      <w:r w:rsidR="00C44382" w:rsidRPr="00D0460A">
        <w:t>of the</w:t>
      </w:r>
      <w:r w:rsidRPr="00D0460A">
        <w:t xml:space="preserve"> terrestrial radio interfaces </w:t>
      </w:r>
      <w:r w:rsidR="00C44382" w:rsidRPr="00D0460A">
        <w:t>of</w:t>
      </w:r>
      <w:r w:rsidRPr="00D0460A">
        <w:t xml:space="preserve"> International Mobile Telecommunications</w:t>
      </w:r>
      <w:r w:rsidR="008D0A39" w:rsidRPr="00D0460A">
        <w:noBreakHyphen/>
      </w:r>
      <w:r w:rsidRPr="00D0460A">
        <w:t>2020 (IMT</w:t>
      </w:r>
      <w:r w:rsidR="008D0A39" w:rsidRPr="00D0460A">
        <w:noBreakHyphen/>
      </w:r>
      <w:r w:rsidRPr="00D0460A">
        <w:t>2020);</w:t>
      </w:r>
    </w:p>
    <w:p w14:paraId="1A53B2AF" w14:textId="074362AF" w:rsidR="00057575" w:rsidRPr="00D0460A" w:rsidRDefault="00057575" w:rsidP="00E276BB">
      <w:r w:rsidRPr="00D0460A">
        <w:rPr>
          <w:i/>
          <w:iCs/>
        </w:rPr>
        <w:t>i)</w:t>
      </w:r>
      <w:r w:rsidRPr="00D0460A">
        <w:tab/>
        <w:t>that Recommendation ITU</w:t>
      </w:r>
      <w:r w:rsidR="008D0A39" w:rsidRPr="00D0460A">
        <w:noBreakHyphen/>
      </w:r>
      <w:r w:rsidRPr="00D0460A">
        <w:t>R</w:t>
      </w:r>
      <w:r w:rsidR="008D0A39" w:rsidRPr="00D0460A">
        <w:t> </w:t>
      </w:r>
      <w:r w:rsidRPr="00D0460A">
        <w:t>M.2116 lists the technical characteristics and</w:t>
      </w:r>
      <w:r w:rsidR="00432B0B" w:rsidRPr="00D0460A">
        <w:t xml:space="preserve"> protection</w:t>
      </w:r>
      <w:r w:rsidRPr="00D0460A">
        <w:t xml:space="preserve"> criteria for </w:t>
      </w:r>
      <w:r w:rsidR="00432B0B" w:rsidRPr="00D0460A">
        <w:t xml:space="preserve">aeronautical </w:t>
      </w:r>
      <w:r w:rsidRPr="00D0460A">
        <w:t>mobile systems operating in the frequency band 4 400-4 990 MHz;</w:t>
      </w:r>
    </w:p>
    <w:p w14:paraId="14973E96" w14:textId="44D8E5BF" w:rsidR="00057575" w:rsidRPr="00D0460A" w:rsidRDefault="00057575" w:rsidP="00E276BB">
      <w:r w:rsidRPr="00D0460A">
        <w:rPr>
          <w:i/>
          <w:iCs/>
        </w:rPr>
        <w:t>j)</w:t>
      </w:r>
      <w:r w:rsidRPr="00D0460A">
        <w:rPr>
          <w:i/>
          <w:iCs/>
        </w:rPr>
        <w:tab/>
      </w:r>
      <w:r w:rsidRPr="00D0460A">
        <w:t>that the new Recommendation ITU</w:t>
      </w:r>
      <w:r w:rsidR="008D0A39" w:rsidRPr="00D0460A">
        <w:noBreakHyphen/>
      </w:r>
      <w:r w:rsidRPr="00D0460A">
        <w:t>R M.[</w:t>
      </w:r>
      <w:r w:rsidRPr="00D0460A">
        <w:rPr>
          <w:iCs/>
          <w:szCs w:val="24"/>
        </w:rPr>
        <w:t>IMT.FRAMEWORK FOR 2030 AND BEYOND</w:t>
      </w:r>
      <w:r w:rsidRPr="00D0460A">
        <w:t>], which includes the objectives for future development of IMT</w:t>
      </w:r>
      <w:r w:rsidR="008D0A39" w:rsidRPr="00D0460A">
        <w:noBreakHyphen/>
      </w:r>
      <w:r w:rsidRPr="00D0460A">
        <w:t>2030 and beyond, is in the process of being approved under Resolution ITU</w:t>
      </w:r>
      <w:r w:rsidR="008D0A39" w:rsidRPr="00D0460A">
        <w:noBreakHyphen/>
      </w:r>
      <w:r w:rsidRPr="00D0460A">
        <w:t>R 1.8;</w:t>
      </w:r>
    </w:p>
    <w:p w14:paraId="00249986" w14:textId="719BA1EE" w:rsidR="00E276BB" w:rsidRPr="00D0460A" w:rsidRDefault="00057575" w:rsidP="00E276BB">
      <w:r w:rsidRPr="00D0460A">
        <w:rPr>
          <w:i/>
        </w:rPr>
        <w:t>k</w:t>
      </w:r>
      <w:r w:rsidR="00E276BB" w:rsidRPr="00D0460A">
        <w:rPr>
          <w:i/>
        </w:rPr>
        <w:t>)</w:t>
      </w:r>
      <w:r w:rsidR="00E276BB" w:rsidRPr="00D0460A">
        <w:tab/>
        <w:t>Recommendation ITU</w:t>
      </w:r>
      <w:r w:rsidR="00E276BB" w:rsidRPr="00D0460A">
        <w:noBreakHyphen/>
        <w:t>R P.2108, on prediction of clutter loss;</w:t>
      </w:r>
    </w:p>
    <w:p w14:paraId="17226819" w14:textId="00541055" w:rsidR="00E276BB" w:rsidRPr="00D0460A" w:rsidRDefault="00057575" w:rsidP="00E276BB">
      <w:r w:rsidRPr="00D0460A">
        <w:rPr>
          <w:i/>
        </w:rPr>
        <w:t>l</w:t>
      </w:r>
      <w:r w:rsidR="00E276BB" w:rsidRPr="00D0460A">
        <w:rPr>
          <w:i/>
        </w:rPr>
        <w:t>)</w:t>
      </w:r>
      <w:r w:rsidR="00E276BB" w:rsidRPr="00D0460A">
        <w:tab/>
        <w:t>that Report ITU</w:t>
      </w:r>
      <w:r w:rsidR="00E276BB" w:rsidRPr="00D0460A">
        <w:noBreakHyphen/>
        <w:t>R M.2320 addresses future technology trends of terrestrial IMT systems;</w:t>
      </w:r>
    </w:p>
    <w:p w14:paraId="1E004653" w14:textId="7FD80DDA" w:rsidR="00E276BB" w:rsidRPr="00D0460A" w:rsidRDefault="00C44382" w:rsidP="00E276BB">
      <w:r w:rsidRPr="00D0460A">
        <w:rPr>
          <w:i/>
        </w:rPr>
        <w:t>m</w:t>
      </w:r>
      <w:r w:rsidR="00E276BB" w:rsidRPr="00D0460A">
        <w:rPr>
          <w:i/>
        </w:rPr>
        <w:t>)</w:t>
      </w:r>
      <w:r w:rsidR="00E276BB" w:rsidRPr="00D0460A">
        <w:tab/>
        <w:t>that Report ITU</w:t>
      </w:r>
      <w:r w:rsidR="00E276BB" w:rsidRPr="00D0460A">
        <w:noBreakHyphen/>
        <w:t xml:space="preserve">R M.2370 analyses trends impacting future </w:t>
      </w:r>
      <w:r w:rsidRPr="00D0460A">
        <w:t xml:space="preserve">global </w:t>
      </w:r>
      <w:r w:rsidR="00E276BB" w:rsidRPr="00D0460A">
        <w:t xml:space="preserve">traffic growth </w:t>
      </w:r>
      <w:r w:rsidRPr="00D0460A">
        <w:t>for the period 2020 to</w:t>
      </w:r>
      <w:r w:rsidR="008D0A39" w:rsidRPr="00D0460A">
        <w:t> </w:t>
      </w:r>
      <w:r w:rsidRPr="00D0460A">
        <w:t>2030 for IMT for</w:t>
      </w:r>
      <w:r w:rsidR="008D0A39" w:rsidRPr="00D0460A">
        <w:t xml:space="preserve"> </w:t>
      </w:r>
      <w:r w:rsidRPr="00D0460A">
        <w:t xml:space="preserve">2020 and </w:t>
      </w:r>
      <w:r w:rsidR="00E276BB" w:rsidRPr="00D0460A">
        <w:t>beyond;</w:t>
      </w:r>
    </w:p>
    <w:p w14:paraId="2E453A35" w14:textId="15E2CDA0" w:rsidR="00E276BB" w:rsidRPr="00D0460A" w:rsidRDefault="00C44382" w:rsidP="00E276BB">
      <w:r w:rsidRPr="00D0460A">
        <w:rPr>
          <w:i/>
        </w:rPr>
        <w:t>n</w:t>
      </w:r>
      <w:r w:rsidR="00E276BB" w:rsidRPr="00D0460A">
        <w:rPr>
          <w:i/>
        </w:rPr>
        <w:t>)</w:t>
      </w:r>
      <w:r w:rsidR="00E276BB" w:rsidRPr="00D0460A">
        <w:tab/>
        <w:t>Report ITU</w:t>
      </w:r>
      <w:r w:rsidR="00E276BB" w:rsidRPr="00D0460A">
        <w:noBreakHyphen/>
        <w:t>R M.2410, on minimum requirements related to technical performance for IMT</w:t>
      </w:r>
      <w:r w:rsidR="008D0A39" w:rsidRPr="00D0460A">
        <w:noBreakHyphen/>
      </w:r>
      <w:r w:rsidR="00E276BB" w:rsidRPr="00D0460A">
        <w:t>2020 radio interface(s);</w:t>
      </w:r>
    </w:p>
    <w:p w14:paraId="1682DCB4" w14:textId="3D447EAA" w:rsidR="00C44382" w:rsidRPr="00D0460A" w:rsidRDefault="00C44382" w:rsidP="00E276BB">
      <w:r w:rsidRPr="00D0460A">
        <w:rPr>
          <w:i/>
        </w:rPr>
        <w:t>o</w:t>
      </w:r>
      <w:r w:rsidR="00E276BB" w:rsidRPr="00D0460A">
        <w:rPr>
          <w:i/>
        </w:rPr>
        <w:t>)</w:t>
      </w:r>
      <w:r w:rsidR="00E276BB" w:rsidRPr="00D0460A">
        <w:tab/>
        <w:t>Report ITU</w:t>
      </w:r>
      <w:r w:rsidR="00E276BB" w:rsidRPr="00D0460A">
        <w:noBreakHyphen/>
        <w:t>R M.</w:t>
      </w:r>
      <w:r w:rsidRPr="00D0460A">
        <w:t>2516</w:t>
      </w:r>
      <w:r w:rsidR="00E276BB" w:rsidRPr="00D0460A">
        <w:t xml:space="preserve">, </w:t>
      </w:r>
      <w:r w:rsidRPr="00D0460A">
        <w:t>on future technology trends of terrestrial IMT systems towards 2030 and beyond;</w:t>
      </w:r>
    </w:p>
    <w:p w14:paraId="30D6D0BB" w14:textId="741A8425" w:rsidR="00E276BB" w:rsidRPr="00D0460A" w:rsidRDefault="00C44382" w:rsidP="00E276BB">
      <w:r w:rsidRPr="00D0460A">
        <w:rPr>
          <w:i/>
          <w:iCs/>
        </w:rPr>
        <w:lastRenderedPageBreak/>
        <w:t>p)</w:t>
      </w:r>
      <w:r w:rsidRPr="00D0460A">
        <w:tab/>
        <w:t>Report ITU</w:t>
      </w:r>
      <w:r w:rsidR="008D0A39" w:rsidRPr="00D0460A">
        <w:noBreakHyphen/>
      </w:r>
      <w:r w:rsidRPr="00D0460A">
        <w:t>R M.2376, on technical feasibility of IMT in bands above 6</w:t>
      </w:r>
      <w:r w:rsidR="008D0A39" w:rsidRPr="00D0460A">
        <w:t> </w:t>
      </w:r>
      <w:r w:rsidRPr="00D0460A">
        <w:t>GHz</w:t>
      </w:r>
      <w:r w:rsidR="00E276BB" w:rsidRPr="00D0460A">
        <w:t>,</w:t>
      </w:r>
    </w:p>
    <w:p w14:paraId="3C1268BB" w14:textId="77777777" w:rsidR="00E276BB" w:rsidRPr="00D0460A" w:rsidRDefault="00E276BB" w:rsidP="00E276BB">
      <w:pPr>
        <w:pStyle w:val="Call"/>
      </w:pPr>
      <w:r w:rsidRPr="00D0460A">
        <w:t>recognizing</w:t>
      </w:r>
    </w:p>
    <w:p w14:paraId="29489CC3" w14:textId="3588F163" w:rsidR="00E276BB" w:rsidRPr="00D0460A" w:rsidRDefault="00E276BB" w:rsidP="00E276BB">
      <w:r w:rsidRPr="00D0460A">
        <w:rPr>
          <w:i/>
        </w:rPr>
        <w:t>a)</w:t>
      </w:r>
      <w:r w:rsidRPr="00D0460A">
        <w:tab/>
        <w:t xml:space="preserve">that there is a </w:t>
      </w:r>
      <w:r w:rsidR="00EE0BDF" w:rsidRPr="00D0460A">
        <w:t xml:space="preserve">considerable </w:t>
      </w:r>
      <w:r w:rsidRPr="00D0460A">
        <w:t>lead time between the allocation of frequency bands by world radiocommunication conferences and the deployment of systems in those bands, and that timely availability of wide and contiguous blocks of spectrum is therefore important to support the development of IMT;</w:t>
      </w:r>
    </w:p>
    <w:p w14:paraId="61B29B9C" w14:textId="77777777" w:rsidR="00E276BB" w:rsidRPr="00D0460A" w:rsidRDefault="00E276BB" w:rsidP="00E276BB">
      <w:r w:rsidRPr="00D0460A">
        <w:rPr>
          <w:i/>
          <w:iCs/>
        </w:rPr>
        <w:t>b)</w:t>
      </w:r>
      <w:r w:rsidRPr="00D0460A">
        <w:rPr>
          <w:i/>
          <w:iCs/>
        </w:rPr>
        <w:tab/>
      </w:r>
      <w:r w:rsidRPr="00D0460A">
        <w:t>that in order to ensure the future development of IMT it is important to ensure the timely identification of additional spectrum;</w:t>
      </w:r>
    </w:p>
    <w:p w14:paraId="565F433A" w14:textId="34418781" w:rsidR="00D01B40" w:rsidRPr="00D0460A" w:rsidRDefault="00E276BB" w:rsidP="00D01B40">
      <w:r w:rsidRPr="00D0460A">
        <w:rPr>
          <w:i/>
        </w:rPr>
        <w:t>c)</w:t>
      </w:r>
      <w:r w:rsidRPr="00D0460A">
        <w:tab/>
        <w:t xml:space="preserve">that any identification of frequency bands for IMT should take into account the use of the frequency bands by other services </w:t>
      </w:r>
      <w:r w:rsidR="00D01B40" w:rsidRPr="00D0460A">
        <w:t>and applications</w:t>
      </w:r>
      <w:r w:rsidR="00432B0B" w:rsidRPr="00D0460A">
        <w:t>,</w:t>
      </w:r>
      <w:r w:rsidR="00D01B40" w:rsidRPr="00D0460A">
        <w:t xml:space="preserve"> </w:t>
      </w:r>
      <w:r w:rsidR="00432B0B" w:rsidRPr="00D0460A">
        <w:t>as well as</w:t>
      </w:r>
      <w:r w:rsidRPr="00D0460A">
        <w:t xml:space="preserve"> </w:t>
      </w:r>
      <w:r w:rsidR="00D01B40" w:rsidRPr="00D0460A">
        <w:t>constantly</w:t>
      </w:r>
      <w:r w:rsidRPr="00D0460A">
        <w:t xml:space="preserve"> evolving needs</w:t>
      </w:r>
      <w:r w:rsidR="00D01B40" w:rsidRPr="00D0460A">
        <w:t>;</w:t>
      </w:r>
    </w:p>
    <w:p w14:paraId="0A8884CB" w14:textId="5A919869" w:rsidR="00D01B40" w:rsidRPr="00D0460A" w:rsidRDefault="00D01B40" w:rsidP="00D01B40">
      <w:r w:rsidRPr="00D0460A">
        <w:rPr>
          <w:i/>
          <w:iCs/>
        </w:rPr>
        <w:t>d)</w:t>
      </w:r>
      <w:r w:rsidRPr="00D0460A">
        <w:tab/>
        <w:t>that for many countries there is a need to identify additional radio spectrum resources to achieve global harmonization in IMT implementation;</w:t>
      </w:r>
    </w:p>
    <w:p w14:paraId="23F6161A" w14:textId="6930C58B" w:rsidR="00D01B40" w:rsidRPr="00D0460A" w:rsidRDefault="00D01B40" w:rsidP="00D01B40">
      <w:r w:rsidRPr="00D0460A">
        <w:rPr>
          <w:i/>
          <w:iCs/>
        </w:rPr>
        <w:t>e)</w:t>
      </w:r>
      <w:r w:rsidRPr="00D0460A">
        <w:tab/>
        <w:t>that for some administrations the only way to implement IMT would be to reconfigure spectrum set aside for other services or applications;</w:t>
      </w:r>
    </w:p>
    <w:p w14:paraId="35025AE0" w14:textId="3EEC8711" w:rsidR="00D01B40" w:rsidRPr="00D0460A" w:rsidRDefault="00D01B40" w:rsidP="00D01B40">
      <w:r w:rsidRPr="00D0460A">
        <w:rPr>
          <w:i/>
          <w:iCs/>
        </w:rPr>
        <w:t>f)</w:t>
      </w:r>
      <w:r w:rsidRPr="00D0460A">
        <w:tab/>
        <w:t xml:space="preserve">that in order to ensure the presence of the elements that could apply to the region-specific regulations, </w:t>
      </w:r>
      <w:r w:rsidR="000E0D70" w:rsidRPr="00D0460A">
        <w:t>issues</w:t>
      </w:r>
      <w:r w:rsidRPr="00D0460A">
        <w:t xml:space="preserve"> specific to each of them must be taken into account in studying the various frequency bands;</w:t>
      </w:r>
    </w:p>
    <w:p w14:paraId="1C18C983" w14:textId="1DED337A" w:rsidR="00D01B40" w:rsidRPr="00D0460A" w:rsidRDefault="00D01B40" w:rsidP="00D01B40">
      <w:r w:rsidRPr="00D0460A">
        <w:rPr>
          <w:i/>
          <w:iCs/>
        </w:rPr>
        <w:t>g)</w:t>
      </w:r>
      <w:r w:rsidRPr="00D0460A">
        <w:tab/>
        <w:t>that administrations may have different spectrum requirements, depending on their national situation or specific circumstances,</w:t>
      </w:r>
    </w:p>
    <w:p w14:paraId="130B24AA" w14:textId="77777777" w:rsidR="00E276BB" w:rsidRPr="00D0460A" w:rsidRDefault="00E276BB" w:rsidP="00E276BB">
      <w:pPr>
        <w:pStyle w:val="Call"/>
      </w:pPr>
      <w:r w:rsidRPr="00D0460A">
        <w:t>resolves to invite the ITU Radiocommunication Sector</w:t>
      </w:r>
    </w:p>
    <w:p w14:paraId="2D8A461B" w14:textId="1A7144BB" w:rsidR="00E276BB" w:rsidRPr="00D0460A" w:rsidRDefault="00E276BB" w:rsidP="00E276BB">
      <w:pPr>
        <w:keepNext/>
      </w:pPr>
      <w:r w:rsidRPr="00D0460A">
        <w:t>1</w:t>
      </w:r>
      <w:r w:rsidRPr="00D0460A">
        <w:tab/>
        <w:t>to conduct and complete in time for WRC</w:t>
      </w:r>
      <w:r w:rsidRPr="00D0460A">
        <w:noBreakHyphen/>
        <w:t>2</w:t>
      </w:r>
      <w:r w:rsidR="006D3E4E" w:rsidRPr="00D0460A">
        <w:t>7</w:t>
      </w:r>
      <w:r w:rsidRPr="00D0460A">
        <w:t xml:space="preserve"> the appropriate studies of technical, operational and regulatory issues pertaining to the possible use of the terrestrial component of IMT in the frequency bands listed in </w:t>
      </w:r>
      <w:r w:rsidRPr="00D0460A">
        <w:rPr>
          <w:i/>
          <w:iCs/>
        </w:rPr>
        <w:t>resolves to invite the ITU Radiocommunication Sector </w:t>
      </w:r>
      <w:r w:rsidRPr="00D0460A">
        <w:t>2, taking into account:</w:t>
      </w:r>
    </w:p>
    <w:p w14:paraId="2CB04410" w14:textId="03D9452A" w:rsidR="00E276BB" w:rsidRPr="00D0460A" w:rsidRDefault="00E276BB" w:rsidP="00E276BB">
      <w:pPr>
        <w:pStyle w:val="enumlev1"/>
        <w:rPr>
          <w:rFonts w:eastAsia="SimSun"/>
        </w:rPr>
      </w:pPr>
      <w:r w:rsidRPr="00D0460A">
        <w:rPr>
          <w:rFonts w:eastAsia="SimSun"/>
        </w:rPr>
        <w:t>–</w:t>
      </w:r>
      <w:r w:rsidRPr="00D0460A">
        <w:rPr>
          <w:rFonts w:eastAsia="SimSun"/>
        </w:rPr>
        <w:tab/>
        <w:t xml:space="preserve">evolving needs to </w:t>
      </w:r>
      <w:r w:rsidR="00C80934" w:rsidRPr="00D0460A">
        <w:rPr>
          <w:rFonts w:eastAsia="SimSun"/>
        </w:rPr>
        <w:t>satisfy</w:t>
      </w:r>
      <w:r w:rsidRPr="00D0460A">
        <w:rPr>
          <w:rFonts w:eastAsia="SimSun"/>
        </w:rPr>
        <w:t xml:space="preserve"> </w:t>
      </w:r>
      <w:r w:rsidR="006D3E4E" w:rsidRPr="00D0460A">
        <w:rPr>
          <w:rFonts w:eastAsia="SimSun"/>
        </w:rPr>
        <w:t>growing</w:t>
      </w:r>
      <w:r w:rsidRPr="00D0460A">
        <w:rPr>
          <w:rFonts w:eastAsia="SimSun"/>
        </w:rPr>
        <w:t xml:space="preserve"> demand for IMT;</w:t>
      </w:r>
    </w:p>
    <w:p w14:paraId="012FF3E1" w14:textId="77777777" w:rsidR="00E276BB" w:rsidRPr="00D0460A" w:rsidRDefault="00E276BB" w:rsidP="00E276BB">
      <w:pPr>
        <w:pStyle w:val="enumlev1"/>
      </w:pPr>
      <w:r w:rsidRPr="00D0460A">
        <w:t>–</w:t>
      </w:r>
      <w:r w:rsidRPr="00D0460A">
        <w:tab/>
        <w:t>technical and operational characteristics of terrestrial IMT systems that would operate in these specific frequency bands, including the evolution of IMT through advances in technology and spectrally efficient techniques;</w:t>
      </w:r>
    </w:p>
    <w:p w14:paraId="27ABBEF4" w14:textId="77777777" w:rsidR="00E276BB" w:rsidRPr="00D0460A" w:rsidRDefault="00E276BB" w:rsidP="00E276BB">
      <w:pPr>
        <w:pStyle w:val="enumlev1"/>
      </w:pPr>
      <w:r w:rsidRPr="00D0460A">
        <w:t>–</w:t>
      </w:r>
      <w:r w:rsidRPr="00D0460A">
        <w:tab/>
        <w:t xml:space="preserve">the deployment scenarios envisaged for IMT systems and the related requirements of </w:t>
      </w:r>
      <w:r w:rsidRPr="00D0460A">
        <w:rPr>
          <w:rFonts w:eastAsia="SimSun"/>
        </w:rPr>
        <w:t>balanced coverage and capacity;</w:t>
      </w:r>
    </w:p>
    <w:p w14:paraId="02C963AC" w14:textId="63900EAD" w:rsidR="00E276BB" w:rsidRPr="00D0460A" w:rsidRDefault="00E276BB" w:rsidP="00E276BB">
      <w:pPr>
        <w:pStyle w:val="enumlev1"/>
        <w:rPr>
          <w:szCs w:val="24"/>
        </w:rPr>
      </w:pPr>
      <w:r w:rsidRPr="00D0460A">
        <w:rPr>
          <w:szCs w:val="24"/>
        </w:rPr>
        <w:t>–</w:t>
      </w:r>
      <w:r w:rsidRPr="00D0460A">
        <w:rPr>
          <w:szCs w:val="24"/>
        </w:rPr>
        <w:tab/>
        <w:t>the needs of developing countries;</w:t>
      </w:r>
      <w:r w:rsidR="00C80934" w:rsidRPr="00D0460A">
        <w:rPr>
          <w:szCs w:val="24"/>
        </w:rPr>
        <w:t xml:space="preserve"> and</w:t>
      </w:r>
    </w:p>
    <w:p w14:paraId="030171FA" w14:textId="77777777" w:rsidR="00E276BB" w:rsidRPr="00D0460A" w:rsidRDefault="00E276BB" w:rsidP="00E276BB">
      <w:pPr>
        <w:pStyle w:val="enumlev1"/>
        <w:rPr>
          <w:szCs w:val="24"/>
        </w:rPr>
      </w:pPr>
      <w:r w:rsidRPr="00D0460A">
        <w:rPr>
          <w:szCs w:val="24"/>
        </w:rPr>
        <w:t>–</w:t>
      </w:r>
      <w:r w:rsidRPr="00D0460A">
        <w:rPr>
          <w:szCs w:val="24"/>
        </w:rPr>
        <w:tab/>
        <w:t>the time-frame in which spectrum would be needed;</w:t>
      </w:r>
    </w:p>
    <w:p w14:paraId="697E2D4B" w14:textId="78B1BBB6" w:rsidR="00E276BB" w:rsidRPr="00D0460A" w:rsidRDefault="00E276BB" w:rsidP="00E276BB">
      <w:pPr>
        <w:keepNext/>
        <w:rPr>
          <w:iCs/>
        </w:rPr>
      </w:pPr>
      <w:r w:rsidRPr="00D0460A">
        <w:rPr>
          <w:iCs/>
        </w:rPr>
        <w:t>2</w:t>
      </w:r>
      <w:r w:rsidRPr="00D0460A">
        <w:rPr>
          <w:iCs/>
        </w:rPr>
        <w:tab/>
        <w:t>to conduct and complete in time for WRC</w:t>
      </w:r>
      <w:r w:rsidRPr="00D0460A">
        <w:rPr>
          <w:iCs/>
        </w:rPr>
        <w:noBreakHyphen/>
        <w:t>2</w:t>
      </w:r>
      <w:r w:rsidR="00C80934" w:rsidRPr="00D0460A">
        <w:rPr>
          <w:iCs/>
        </w:rPr>
        <w:t>7</w:t>
      </w:r>
      <w:r w:rsidRPr="00D0460A">
        <w:rPr>
          <w:iCs/>
        </w:rPr>
        <w:t xml:space="preserve"> the sharing and compatibility studies, with a view to ensuring the protection of services to which the</w:t>
      </w:r>
      <w:r w:rsidRPr="00D0460A">
        <w:t xml:space="preserve"> </w:t>
      </w:r>
      <w:r w:rsidR="00C80934" w:rsidRPr="00D0460A">
        <w:t xml:space="preserve">following </w:t>
      </w:r>
      <w:r w:rsidRPr="00D0460A">
        <w:t>frequency</w:t>
      </w:r>
      <w:r w:rsidRPr="00D0460A">
        <w:rPr>
          <w:iCs/>
        </w:rPr>
        <w:t xml:space="preserve"> band</w:t>
      </w:r>
      <w:r w:rsidR="00C80934" w:rsidRPr="00D0460A">
        <w:rPr>
          <w:iCs/>
        </w:rPr>
        <w:t>s</w:t>
      </w:r>
      <w:r w:rsidRPr="00D0460A">
        <w:rPr>
          <w:iCs/>
        </w:rPr>
        <w:t xml:space="preserve"> </w:t>
      </w:r>
      <w:r w:rsidR="00C80934" w:rsidRPr="00D0460A">
        <w:rPr>
          <w:iCs/>
        </w:rPr>
        <w:t>are</w:t>
      </w:r>
      <w:r w:rsidRPr="00D0460A">
        <w:rPr>
          <w:iCs/>
        </w:rPr>
        <w:t xml:space="preserve"> allocated on a primary basis</w:t>
      </w:r>
      <w:r w:rsidRPr="00D0460A">
        <w:rPr>
          <w:rFonts w:eastAsia="SimSun"/>
        </w:rPr>
        <w:t>,</w:t>
      </w:r>
      <w:r w:rsidRPr="00D0460A">
        <w:rPr>
          <w:iCs/>
        </w:rPr>
        <w:t xml:space="preserve"> without imposing additional regulatory or technical constraints on those services, and also, </w:t>
      </w:r>
      <w:r w:rsidRPr="00D0460A">
        <w:rPr>
          <w:rFonts w:eastAsia="SimSun"/>
        </w:rPr>
        <w:t xml:space="preserve">as appropriate, </w:t>
      </w:r>
      <w:r w:rsidR="00C80934" w:rsidRPr="00D0460A">
        <w:rPr>
          <w:rFonts w:eastAsia="SimSun"/>
        </w:rPr>
        <w:t>the protection of</w:t>
      </w:r>
      <w:r w:rsidRPr="00D0460A">
        <w:rPr>
          <w:rFonts w:eastAsia="SimSun"/>
        </w:rPr>
        <w:t xml:space="preserve"> services </w:t>
      </w:r>
      <w:r w:rsidR="00C80934" w:rsidRPr="00D0460A">
        <w:rPr>
          <w:rFonts w:eastAsia="SimSun"/>
        </w:rPr>
        <w:t xml:space="preserve">with primary allocations </w:t>
      </w:r>
      <w:r w:rsidRPr="00D0460A">
        <w:rPr>
          <w:rFonts w:eastAsia="SimSun"/>
        </w:rPr>
        <w:t>in adjacent bands</w:t>
      </w:r>
      <w:r w:rsidRPr="00D0460A">
        <w:rPr>
          <w:iCs/>
        </w:rPr>
        <w:t>:</w:t>
      </w:r>
    </w:p>
    <w:p w14:paraId="289C888C" w14:textId="66A1F31A" w:rsidR="00E276BB" w:rsidRPr="00D0460A" w:rsidRDefault="00E276BB" w:rsidP="00E276BB">
      <w:pPr>
        <w:pStyle w:val="enumlev1"/>
        <w:rPr>
          <w:rFonts w:eastAsia="MS Mincho"/>
        </w:rPr>
      </w:pPr>
      <w:r w:rsidRPr="00D0460A">
        <w:rPr>
          <w:rFonts w:eastAsia="MS Mincho"/>
        </w:rPr>
        <w:t>–</w:t>
      </w:r>
      <w:r w:rsidRPr="00D0460A">
        <w:rPr>
          <w:rFonts w:eastAsia="MS Mincho"/>
        </w:rPr>
        <w:tab/>
      </w:r>
      <w:r w:rsidR="00C80934" w:rsidRPr="00D0460A">
        <w:rPr>
          <w:szCs w:val="24"/>
        </w:rPr>
        <w:t>4</w:t>
      </w:r>
      <w:r w:rsidR="00C80934" w:rsidRPr="00D0460A">
        <w:t> 800-4 990</w:t>
      </w:r>
      <w:r w:rsidR="008D0A39" w:rsidRPr="00D0460A">
        <w:t> </w:t>
      </w:r>
      <w:r w:rsidR="00C80934" w:rsidRPr="00D0460A">
        <w:t>MHz</w:t>
      </w:r>
      <w:r w:rsidRPr="00D0460A">
        <w:rPr>
          <w:rFonts w:eastAsia="MS Mincho"/>
        </w:rPr>
        <w:t>;</w:t>
      </w:r>
    </w:p>
    <w:p w14:paraId="182F2579" w14:textId="622C6CA0" w:rsidR="00E276BB" w:rsidRPr="00D0460A" w:rsidRDefault="00E276BB" w:rsidP="00E276BB">
      <w:pPr>
        <w:pStyle w:val="enumlev1"/>
        <w:rPr>
          <w:rFonts w:eastAsia="MS Mincho"/>
        </w:rPr>
      </w:pPr>
      <w:r w:rsidRPr="00D0460A">
        <w:rPr>
          <w:rFonts w:eastAsia="MS Mincho"/>
        </w:rPr>
        <w:t>–</w:t>
      </w:r>
      <w:r w:rsidRPr="00D0460A">
        <w:rPr>
          <w:rFonts w:eastAsia="MS Mincho"/>
        </w:rPr>
        <w:tab/>
      </w:r>
      <w:r w:rsidR="00C80934" w:rsidRPr="00D0460A">
        <w:rPr>
          <w:szCs w:val="24"/>
        </w:rPr>
        <w:t>6</w:t>
      </w:r>
      <w:r w:rsidR="00C80934" w:rsidRPr="00D0460A">
        <w:t> </w:t>
      </w:r>
      <w:r w:rsidR="00C80934" w:rsidRPr="00D0460A">
        <w:rPr>
          <w:szCs w:val="24"/>
        </w:rPr>
        <w:t>425</w:t>
      </w:r>
      <w:r w:rsidR="00C80934" w:rsidRPr="00D0460A">
        <w:rPr>
          <w:szCs w:val="24"/>
        </w:rPr>
        <w:noBreakHyphen/>
        <w:t>7</w:t>
      </w:r>
      <w:r w:rsidR="00C80934" w:rsidRPr="00D0460A">
        <w:t> </w:t>
      </w:r>
      <w:r w:rsidR="00C80934" w:rsidRPr="00D0460A">
        <w:rPr>
          <w:szCs w:val="24"/>
        </w:rPr>
        <w:t>025</w:t>
      </w:r>
      <w:r w:rsidR="008D0A39" w:rsidRPr="00D0460A">
        <w:rPr>
          <w:szCs w:val="24"/>
        </w:rPr>
        <w:t> </w:t>
      </w:r>
      <w:r w:rsidR="00C80934" w:rsidRPr="00D0460A">
        <w:rPr>
          <w:szCs w:val="24"/>
        </w:rPr>
        <w:t>MHz (Region 2</w:t>
      </w:r>
      <w:r w:rsidRPr="00D0460A">
        <w:rPr>
          <w:rFonts w:eastAsia="MS Mincho"/>
        </w:rPr>
        <w:t>);</w:t>
      </w:r>
    </w:p>
    <w:p w14:paraId="63BD58CA" w14:textId="66166AA8" w:rsidR="00E276BB" w:rsidRPr="00D0460A" w:rsidRDefault="00E276BB" w:rsidP="00E276BB">
      <w:pPr>
        <w:pStyle w:val="enumlev1"/>
        <w:rPr>
          <w:rFonts w:eastAsia="MS Mincho"/>
        </w:rPr>
      </w:pPr>
      <w:r w:rsidRPr="00D0460A">
        <w:rPr>
          <w:rFonts w:eastAsia="MS Mincho"/>
        </w:rPr>
        <w:t>–</w:t>
      </w:r>
      <w:r w:rsidRPr="00D0460A">
        <w:rPr>
          <w:rFonts w:eastAsia="MS Mincho"/>
        </w:rPr>
        <w:tab/>
      </w:r>
      <w:r w:rsidR="00C80934" w:rsidRPr="00D0460A">
        <w:rPr>
          <w:szCs w:val="24"/>
        </w:rPr>
        <w:t>7</w:t>
      </w:r>
      <w:r w:rsidR="00C80934" w:rsidRPr="00D0460A">
        <w:t> </w:t>
      </w:r>
      <w:r w:rsidR="00C80934" w:rsidRPr="00D0460A">
        <w:rPr>
          <w:szCs w:val="24"/>
        </w:rPr>
        <w:t>025-7</w:t>
      </w:r>
      <w:r w:rsidR="00C80934" w:rsidRPr="00D0460A">
        <w:t> </w:t>
      </w:r>
      <w:r w:rsidR="00C80934" w:rsidRPr="00D0460A">
        <w:rPr>
          <w:szCs w:val="24"/>
        </w:rPr>
        <w:t>125</w:t>
      </w:r>
      <w:r w:rsidR="008D0A39" w:rsidRPr="00D0460A">
        <w:rPr>
          <w:szCs w:val="24"/>
        </w:rPr>
        <w:t> </w:t>
      </w:r>
      <w:r w:rsidR="00C80934" w:rsidRPr="00D0460A">
        <w:rPr>
          <w:szCs w:val="24"/>
        </w:rPr>
        <w:t>MHz</w:t>
      </w:r>
      <w:r w:rsidRPr="00D0460A">
        <w:rPr>
          <w:rFonts w:eastAsia="MS Mincho"/>
        </w:rPr>
        <w:t>;</w:t>
      </w:r>
    </w:p>
    <w:p w14:paraId="23A5243E" w14:textId="685B920F" w:rsidR="00E276BB" w:rsidRPr="00D0460A" w:rsidRDefault="00E276BB" w:rsidP="00E276BB">
      <w:pPr>
        <w:pStyle w:val="enumlev1"/>
        <w:rPr>
          <w:rFonts w:eastAsia="MS Mincho"/>
        </w:rPr>
      </w:pPr>
      <w:r w:rsidRPr="00D0460A">
        <w:rPr>
          <w:rFonts w:eastAsia="MS Mincho"/>
        </w:rPr>
        <w:t>–</w:t>
      </w:r>
      <w:r w:rsidRPr="00D0460A">
        <w:rPr>
          <w:rFonts w:eastAsia="MS Mincho"/>
        </w:rPr>
        <w:tab/>
        <w:t>10.</w:t>
      </w:r>
      <w:r w:rsidR="00C80934" w:rsidRPr="00D0460A">
        <w:rPr>
          <w:rFonts w:eastAsia="MS Mincho"/>
        </w:rPr>
        <w:t>5</w:t>
      </w:r>
      <w:r w:rsidRPr="00D0460A">
        <w:rPr>
          <w:rFonts w:eastAsia="MS Mincho"/>
        </w:rPr>
        <w:t>-10.</w:t>
      </w:r>
      <w:r w:rsidR="00C80934" w:rsidRPr="00D0460A">
        <w:rPr>
          <w:rFonts w:eastAsia="MS Mincho"/>
        </w:rPr>
        <w:t>68</w:t>
      </w:r>
      <w:r w:rsidR="008D0A39" w:rsidRPr="00D0460A">
        <w:rPr>
          <w:rFonts w:eastAsia="MS Mincho"/>
        </w:rPr>
        <w:t> </w:t>
      </w:r>
      <w:r w:rsidRPr="00D0460A">
        <w:rPr>
          <w:rFonts w:eastAsia="MS Mincho"/>
        </w:rPr>
        <w:t>GHz,</w:t>
      </w:r>
    </w:p>
    <w:p w14:paraId="116C1599" w14:textId="77777777" w:rsidR="00E276BB" w:rsidRPr="00D0460A" w:rsidRDefault="00E276BB" w:rsidP="00E276BB">
      <w:pPr>
        <w:pStyle w:val="Call"/>
      </w:pPr>
      <w:r w:rsidRPr="00D0460A">
        <w:lastRenderedPageBreak/>
        <w:t>resolves</w:t>
      </w:r>
    </w:p>
    <w:p w14:paraId="7A855576" w14:textId="15175304" w:rsidR="00E276BB" w:rsidRPr="00D0460A" w:rsidRDefault="00E276BB" w:rsidP="00E276BB">
      <w:pPr>
        <w:rPr>
          <w:iCs/>
        </w:rPr>
      </w:pPr>
      <w:r w:rsidRPr="00D0460A">
        <w:rPr>
          <w:iCs/>
        </w:rPr>
        <w:t>1</w:t>
      </w:r>
      <w:r w:rsidRPr="00D0460A">
        <w:rPr>
          <w:iCs/>
        </w:rPr>
        <w:tab/>
        <w:t>to invite the first session of the Conference Preparatory Meeting for WRC</w:t>
      </w:r>
      <w:r w:rsidRPr="00D0460A">
        <w:rPr>
          <w:iCs/>
        </w:rPr>
        <w:noBreakHyphen/>
        <w:t>2</w:t>
      </w:r>
      <w:r w:rsidR="00F9227E" w:rsidRPr="00D0460A">
        <w:rPr>
          <w:iCs/>
        </w:rPr>
        <w:t>7</w:t>
      </w:r>
      <w:r w:rsidRPr="00D0460A">
        <w:rPr>
          <w:iCs/>
        </w:rPr>
        <w:t xml:space="preserve"> to </w:t>
      </w:r>
      <w:r w:rsidR="00D05200" w:rsidRPr="00D0460A">
        <w:rPr>
          <w:iCs/>
        </w:rPr>
        <w:t>determine</w:t>
      </w:r>
      <w:r w:rsidRPr="00D0460A">
        <w:rPr>
          <w:iCs/>
        </w:rPr>
        <w:t xml:space="preserve"> the date by which </w:t>
      </w:r>
      <w:r w:rsidR="00CE0029" w:rsidRPr="00D0460A">
        <w:rPr>
          <w:iCs/>
        </w:rPr>
        <w:t xml:space="preserve">the </w:t>
      </w:r>
      <w:r w:rsidRPr="00D0460A">
        <w:rPr>
          <w:iCs/>
        </w:rPr>
        <w:t xml:space="preserve">technical and operational characteristics needed for sharing and compatibility studies are to be available to ensure that </w:t>
      </w:r>
      <w:r w:rsidR="00CE0029" w:rsidRPr="00D0460A">
        <w:rPr>
          <w:iCs/>
        </w:rPr>
        <w:t xml:space="preserve">the </w:t>
      </w:r>
      <w:r w:rsidRPr="00D0460A">
        <w:rPr>
          <w:iCs/>
        </w:rPr>
        <w:t xml:space="preserve">studies referred to in </w:t>
      </w:r>
      <w:r w:rsidRPr="00D0460A">
        <w:rPr>
          <w:i/>
          <w:iCs/>
        </w:rPr>
        <w:t xml:space="preserve">resolves to invite </w:t>
      </w:r>
      <w:r w:rsidRPr="00D0460A">
        <w:rPr>
          <w:i/>
        </w:rPr>
        <w:t>the ITU Radiocommunication Sector</w:t>
      </w:r>
      <w:r w:rsidRPr="00D0460A">
        <w:rPr>
          <w:iCs/>
        </w:rPr>
        <w:t xml:space="preserve"> can be completed in time for consideration at WRC</w:t>
      </w:r>
      <w:r w:rsidRPr="00D0460A">
        <w:rPr>
          <w:iCs/>
        </w:rPr>
        <w:noBreakHyphen/>
        <w:t>2</w:t>
      </w:r>
      <w:r w:rsidR="00CE0029" w:rsidRPr="00D0460A">
        <w:rPr>
          <w:iCs/>
        </w:rPr>
        <w:t>7</w:t>
      </w:r>
      <w:r w:rsidRPr="00D0460A">
        <w:rPr>
          <w:iCs/>
        </w:rPr>
        <w:t>;</w:t>
      </w:r>
    </w:p>
    <w:p w14:paraId="682C89A0" w14:textId="0EAE61F5" w:rsidR="00E276BB" w:rsidRPr="00D0460A" w:rsidRDefault="00E276BB" w:rsidP="00E276BB">
      <w:r w:rsidRPr="00D0460A">
        <w:t>2</w:t>
      </w:r>
      <w:r w:rsidRPr="00D0460A">
        <w:tab/>
        <w:t>to invite WRC</w:t>
      </w:r>
      <w:r w:rsidRPr="00D0460A">
        <w:noBreakHyphen/>
        <w:t>2</w:t>
      </w:r>
      <w:r w:rsidR="00CE0029" w:rsidRPr="00D0460A">
        <w:t>7</w:t>
      </w:r>
      <w:r w:rsidRPr="00D0460A">
        <w:t xml:space="preserve"> to consider, based on the results of the above studies, additional spectrum allocations to the mobile service on a primary basis and to consider </w:t>
      </w:r>
      <w:r w:rsidR="00CE0029" w:rsidRPr="00D0460A">
        <w:t xml:space="preserve">the </w:t>
      </w:r>
      <w:r w:rsidRPr="00D0460A">
        <w:t xml:space="preserve">identification of frequency bands for the terrestrial component of IMT, the frequency bands to be considered being limited to part or all of the frequency bands listed in </w:t>
      </w:r>
      <w:r w:rsidRPr="00D0460A">
        <w:rPr>
          <w:i/>
          <w:iCs/>
        </w:rPr>
        <w:t>resolves to invite the ITU Radiocommunication Sector </w:t>
      </w:r>
      <w:r w:rsidRPr="00D0460A">
        <w:t>2,</w:t>
      </w:r>
    </w:p>
    <w:p w14:paraId="0FA89F69" w14:textId="77777777" w:rsidR="00E276BB" w:rsidRPr="00D0460A" w:rsidRDefault="00E276BB" w:rsidP="00E276BB">
      <w:pPr>
        <w:pStyle w:val="Call"/>
        <w:rPr>
          <w:lang w:eastAsia="nl-NL"/>
        </w:rPr>
      </w:pPr>
      <w:r w:rsidRPr="00D0460A">
        <w:rPr>
          <w:lang w:eastAsia="nl-NL"/>
        </w:rPr>
        <w:t>invites administrations</w:t>
      </w:r>
    </w:p>
    <w:p w14:paraId="52F84248" w14:textId="77777777" w:rsidR="00E276BB" w:rsidRPr="00D0460A" w:rsidRDefault="00E276BB" w:rsidP="00E276BB">
      <w:r w:rsidRPr="00D0460A">
        <w:t>to participate actively in these studies by submitting contributions to the ITU Radiocommunication Sector.</w:t>
      </w:r>
    </w:p>
    <w:p w14:paraId="35AF79F3" w14:textId="7769C5C8" w:rsidR="005A5C83" w:rsidRPr="00D0460A" w:rsidRDefault="00FF2354">
      <w:pPr>
        <w:pStyle w:val="Reasons"/>
      </w:pPr>
      <w:r w:rsidRPr="00D0460A">
        <w:rPr>
          <w:b/>
        </w:rPr>
        <w:t>Reasons:</w:t>
      </w:r>
      <w:r w:rsidRPr="00D0460A">
        <w:tab/>
      </w:r>
      <w:r w:rsidR="00CE0029" w:rsidRPr="00D0460A">
        <w:t>To include a new resolution with the aim of specifying the studies that could be carried out in certain frequency bands for the future deployment of IMT, including possible additional allocations to the mobile service on a primary basis, to supplement the spectrum already identified at present for IMT.</w:t>
      </w:r>
    </w:p>
    <w:p w14:paraId="2FD57FBF" w14:textId="77777777" w:rsidR="00CE0029" w:rsidRDefault="00CE0029" w:rsidP="00D0460A"/>
    <w:p w14:paraId="03827283" w14:textId="77777777" w:rsidR="00CE0029" w:rsidRPr="006A7A1C" w:rsidRDefault="00CE0029" w:rsidP="00CE0029">
      <w:pPr>
        <w:jc w:val="center"/>
      </w:pPr>
      <w:r w:rsidRPr="006A7A1C">
        <w:t>______________</w:t>
      </w:r>
    </w:p>
    <w:sectPr w:rsidR="00CE0029" w:rsidRPr="006A7A1C">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9B32" w14:textId="77777777" w:rsidR="0022757F" w:rsidRDefault="0022757F">
      <w:r>
        <w:separator/>
      </w:r>
    </w:p>
  </w:endnote>
  <w:endnote w:type="continuationSeparator" w:id="0">
    <w:p w14:paraId="6EB5AA38"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18B1" w14:textId="77777777" w:rsidR="00E45D05" w:rsidRDefault="00E45D05">
    <w:pPr>
      <w:framePr w:wrap="around" w:vAnchor="text" w:hAnchor="margin" w:xAlign="right" w:y="1"/>
    </w:pPr>
    <w:r>
      <w:fldChar w:fldCharType="begin"/>
    </w:r>
    <w:r>
      <w:instrText xml:space="preserve">PAGE  </w:instrText>
    </w:r>
    <w:r>
      <w:fldChar w:fldCharType="end"/>
    </w:r>
  </w:p>
  <w:p w14:paraId="2829064F" w14:textId="57CC59F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4137E">
      <w:rPr>
        <w:noProof/>
      </w:rPr>
      <w:t>09.11.23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A329" w14:textId="6759E896" w:rsidR="00E45D05" w:rsidRDefault="00E45D05" w:rsidP="009B1EA1">
    <w:pPr>
      <w:pStyle w:val="Footer"/>
    </w:pPr>
    <w:r>
      <w:fldChar w:fldCharType="begin"/>
    </w:r>
    <w:r w:rsidRPr="0041348E">
      <w:rPr>
        <w:lang w:val="en-US"/>
      </w:rPr>
      <w:instrText xml:space="preserve"> FILENAME \p  \* MERGEFORMAT </w:instrText>
    </w:r>
    <w:r>
      <w:fldChar w:fldCharType="separate"/>
    </w:r>
    <w:r w:rsidR="008D0A39">
      <w:rPr>
        <w:lang w:val="en-US"/>
      </w:rPr>
      <w:t>P:\ENG\ITU-R\CONF-R\CMR23\100\127ADD27E.docx</w:t>
    </w:r>
    <w:r>
      <w:fldChar w:fldCharType="end"/>
    </w:r>
    <w:r w:rsidR="00E276BB">
      <w:t xml:space="preserve"> (530304)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C91C" w14:textId="6017D4FF" w:rsidR="00766368" w:rsidRDefault="00CA0CBF">
    <w:pPr>
      <w:pStyle w:val="Footer"/>
    </w:pPr>
    <w:fldSimple w:instr=" FILENAME \p \* MERGEFORMAT ">
      <w:r w:rsidR="008D0A39">
        <w:t>P:\ENG\ITU-R\CONF-R\CMR23\100\127ADD27E.docx</w:t>
      </w:r>
    </w:fldSimple>
    <w:r w:rsidR="00C76B7A">
      <w:t xml:space="preserve"> (530304)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B0F99" w14:textId="77777777" w:rsidR="0022757F" w:rsidRDefault="0022757F">
      <w:r>
        <w:rPr>
          <w:b/>
        </w:rPr>
        <w:t>_______________</w:t>
      </w:r>
    </w:p>
  </w:footnote>
  <w:footnote w:type="continuationSeparator" w:id="0">
    <w:p w14:paraId="5D0F9466" w14:textId="77777777" w:rsidR="0022757F" w:rsidRDefault="0022757F">
      <w:r>
        <w:continuationSeparator/>
      </w:r>
    </w:p>
  </w:footnote>
  <w:footnote w:id="1">
    <w:p w14:paraId="76878A99" w14:textId="77777777" w:rsidR="00993EE5" w:rsidRDefault="00FF2354" w:rsidP="00755998">
      <w:pPr>
        <w:pStyle w:val="FootnoteText"/>
      </w:pPr>
      <w:r>
        <w:rPr>
          <w:rStyle w:val="FootnoteReference"/>
        </w:rPr>
        <w:t>*</w:t>
      </w:r>
      <w:r>
        <w:tab/>
        <w:t>The appearance of square brackets around certain frequency bands in this Resolution is understood to mean that WRC</w:t>
      </w:r>
      <w:r>
        <w:noBreakHyphen/>
        <w:t>23 will consider and review the inclusion of these frequency bands with square brackets and decide,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595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281E473" w14:textId="77777777" w:rsidR="00A066F1" w:rsidRPr="00A066F1" w:rsidRDefault="00BC75DE" w:rsidP="00241FA2">
    <w:pPr>
      <w:pStyle w:val="Header"/>
    </w:pPr>
    <w:r>
      <w:t>WRC</w:t>
    </w:r>
    <w:r w:rsidR="006D70B0">
      <w:t>23</w:t>
    </w:r>
    <w:r w:rsidR="00A066F1">
      <w:t>/</w:t>
    </w:r>
    <w:bookmarkStart w:id="18" w:name="OLE_LINK1"/>
    <w:bookmarkStart w:id="19" w:name="OLE_LINK2"/>
    <w:bookmarkStart w:id="20" w:name="OLE_LINK3"/>
    <w:r w:rsidR="00EB55C6">
      <w:t>127(Add.27)</w:t>
    </w:r>
    <w:bookmarkEnd w:id="18"/>
    <w:bookmarkEnd w:id="19"/>
    <w:bookmarkEnd w:id="20"/>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8610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9E9F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4662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C246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6C11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300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54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5661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CE1A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9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514732612">
    <w:abstractNumId w:val="8"/>
  </w:num>
  <w:num w:numId="2" w16cid:durableId="198249631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9857435">
    <w:abstractNumId w:val="9"/>
  </w:num>
  <w:num w:numId="4" w16cid:durableId="1737360194">
    <w:abstractNumId w:val="7"/>
  </w:num>
  <w:num w:numId="5" w16cid:durableId="2067870408">
    <w:abstractNumId w:val="6"/>
  </w:num>
  <w:num w:numId="6" w16cid:durableId="1984771009">
    <w:abstractNumId w:val="5"/>
  </w:num>
  <w:num w:numId="7" w16cid:durableId="1584296797">
    <w:abstractNumId w:val="4"/>
  </w:num>
  <w:num w:numId="8" w16cid:durableId="1677613043">
    <w:abstractNumId w:val="3"/>
  </w:num>
  <w:num w:numId="9" w16cid:durableId="1521703003">
    <w:abstractNumId w:val="2"/>
  </w:num>
  <w:num w:numId="10" w16cid:durableId="1303534874">
    <w:abstractNumId w:val="1"/>
  </w:num>
  <w:num w:numId="11" w16cid:durableId="64809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7575"/>
    <w:rsid w:val="00060F26"/>
    <w:rsid w:val="000705F2"/>
    <w:rsid w:val="00077239"/>
    <w:rsid w:val="0007795D"/>
    <w:rsid w:val="00086491"/>
    <w:rsid w:val="00091346"/>
    <w:rsid w:val="0009706C"/>
    <w:rsid w:val="000D154B"/>
    <w:rsid w:val="000D2DAF"/>
    <w:rsid w:val="000E0D70"/>
    <w:rsid w:val="000E463E"/>
    <w:rsid w:val="000F3D3F"/>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2CF"/>
    <w:rsid w:val="00216B6D"/>
    <w:rsid w:val="0022757F"/>
    <w:rsid w:val="00241FA2"/>
    <w:rsid w:val="00271316"/>
    <w:rsid w:val="002B2870"/>
    <w:rsid w:val="002B349C"/>
    <w:rsid w:val="002D58BE"/>
    <w:rsid w:val="002F4747"/>
    <w:rsid w:val="00302605"/>
    <w:rsid w:val="00361B37"/>
    <w:rsid w:val="00377BD3"/>
    <w:rsid w:val="0038299F"/>
    <w:rsid w:val="00384088"/>
    <w:rsid w:val="003852CE"/>
    <w:rsid w:val="0039169B"/>
    <w:rsid w:val="003A7F8C"/>
    <w:rsid w:val="003B2284"/>
    <w:rsid w:val="003B532E"/>
    <w:rsid w:val="003D0F8B"/>
    <w:rsid w:val="003E0DB6"/>
    <w:rsid w:val="0041348E"/>
    <w:rsid w:val="00420873"/>
    <w:rsid w:val="00432B0B"/>
    <w:rsid w:val="00492075"/>
    <w:rsid w:val="004969AD"/>
    <w:rsid w:val="00497FDC"/>
    <w:rsid w:val="004A26C4"/>
    <w:rsid w:val="004B13CB"/>
    <w:rsid w:val="004D26EA"/>
    <w:rsid w:val="004D2BFB"/>
    <w:rsid w:val="004D5D5C"/>
    <w:rsid w:val="004F3DC0"/>
    <w:rsid w:val="0050139F"/>
    <w:rsid w:val="0054137E"/>
    <w:rsid w:val="0055140B"/>
    <w:rsid w:val="005544FF"/>
    <w:rsid w:val="005861D7"/>
    <w:rsid w:val="005964AB"/>
    <w:rsid w:val="005A5C83"/>
    <w:rsid w:val="005C099A"/>
    <w:rsid w:val="005C31A5"/>
    <w:rsid w:val="005D2217"/>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3E4E"/>
    <w:rsid w:val="006D70B0"/>
    <w:rsid w:val="006E3D45"/>
    <w:rsid w:val="0070607A"/>
    <w:rsid w:val="007149F9"/>
    <w:rsid w:val="00733A30"/>
    <w:rsid w:val="00736160"/>
    <w:rsid w:val="00745AEE"/>
    <w:rsid w:val="00750F10"/>
    <w:rsid w:val="00766368"/>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8D0A39"/>
    <w:rsid w:val="00914168"/>
    <w:rsid w:val="009274B4"/>
    <w:rsid w:val="00934EA2"/>
    <w:rsid w:val="00944A5C"/>
    <w:rsid w:val="00952A66"/>
    <w:rsid w:val="00993EE5"/>
    <w:rsid w:val="009B1EA1"/>
    <w:rsid w:val="009B7C9A"/>
    <w:rsid w:val="009C56E5"/>
    <w:rsid w:val="009C7716"/>
    <w:rsid w:val="009D1AFF"/>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607B"/>
    <w:rsid w:val="00AD7914"/>
    <w:rsid w:val="00AE514B"/>
    <w:rsid w:val="00B40888"/>
    <w:rsid w:val="00B576F9"/>
    <w:rsid w:val="00B639E9"/>
    <w:rsid w:val="00B817CD"/>
    <w:rsid w:val="00B81A7D"/>
    <w:rsid w:val="00B91EF7"/>
    <w:rsid w:val="00B94AD0"/>
    <w:rsid w:val="00BB3A95"/>
    <w:rsid w:val="00BC75DE"/>
    <w:rsid w:val="00BD6CCE"/>
    <w:rsid w:val="00C0018F"/>
    <w:rsid w:val="00C16A5A"/>
    <w:rsid w:val="00C20466"/>
    <w:rsid w:val="00C214ED"/>
    <w:rsid w:val="00C23218"/>
    <w:rsid w:val="00C234E6"/>
    <w:rsid w:val="00C324A8"/>
    <w:rsid w:val="00C44382"/>
    <w:rsid w:val="00C54517"/>
    <w:rsid w:val="00C56F70"/>
    <w:rsid w:val="00C57B91"/>
    <w:rsid w:val="00C64CD8"/>
    <w:rsid w:val="00C76B7A"/>
    <w:rsid w:val="00C80934"/>
    <w:rsid w:val="00C82695"/>
    <w:rsid w:val="00C97C68"/>
    <w:rsid w:val="00CA0CBF"/>
    <w:rsid w:val="00CA1A47"/>
    <w:rsid w:val="00CA3DFC"/>
    <w:rsid w:val="00CA4145"/>
    <w:rsid w:val="00CA5091"/>
    <w:rsid w:val="00CB44E5"/>
    <w:rsid w:val="00CC247A"/>
    <w:rsid w:val="00CE0029"/>
    <w:rsid w:val="00CE388F"/>
    <w:rsid w:val="00CE5E47"/>
    <w:rsid w:val="00CE6277"/>
    <w:rsid w:val="00CF020F"/>
    <w:rsid w:val="00CF2B5B"/>
    <w:rsid w:val="00D01B40"/>
    <w:rsid w:val="00D0460A"/>
    <w:rsid w:val="00D05200"/>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276BB"/>
    <w:rsid w:val="00E45D05"/>
    <w:rsid w:val="00E5496C"/>
    <w:rsid w:val="00E55816"/>
    <w:rsid w:val="00E55AEF"/>
    <w:rsid w:val="00E77350"/>
    <w:rsid w:val="00E976C1"/>
    <w:rsid w:val="00EA12E5"/>
    <w:rsid w:val="00EB0812"/>
    <w:rsid w:val="00EB54B2"/>
    <w:rsid w:val="00EB55C6"/>
    <w:rsid w:val="00ED18C7"/>
    <w:rsid w:val="00ED6BCA"/>
    <w:rsid w:val="00EE0BDF"/>
    <w:rsid w:val="00EF1932"/>
    <w:rsid w:val="00EF71B6"/>
    <w:rsid w:val="00F02766"/>
    <w:rsid w:val="00F05BD4"/>
    <w:rsid w:val="00F06473"/>
    <w:rsid w:val="00F320AA"/>
    <w:rsid w:val="00F6155B"/>
    <w:rsid w:val="00F65C19"/>
    <w:rsid w:val="00F822B0"/>
    <w:rsid w:val="00F86C85"/>
    <w:rsid w:val="00F9227E"/>
    <w:rsid w:val="00FD08E2"/>
    <w:rsid w:val="00FD18DA"/>
    <w:rsid w:val="00FD2546"/>
    <w:rsid w:val="00FD772E"/>
    <w:rsid w:val="00FE03DB"/>
    <w:rsid w:val="00FE78C7"/>
    <w:rsid w:val="00FF2354"/>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66A8F0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C76B7A"/>
    <w:rPr>
      <w:sz w:val="16"/>
      <w:szCs w:val="16"/>
    </w:rPr>
  </w:style>
  <w:style w:type="paragraph" w:styleId="CommentText">
    <w:name w:val="annotation text"/>
    <w:basedOn w:val="Normal"/>
    <w:link w:val="CommentTextChar"/>
    <w:unhideWhenUsed/>
    <w:rsid w:val="00C76B7A"/>
    <w:rPr>
      <w:sz w:val="20"/>
    </w:rPr>
  </w:style>
  <w:style w:type="character" w:customStyle="1" w:styleId="CommentTextChar">
    <w:name w:val="Comment Text Char"/>
    <w:basedOn w:val="DefaultParagraphFont"/>
    <w:link w:val="CommentText"/>
    <w:rsid w:val="00C76B7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76B7A"/>
    <w:rPr>
      <w:b/>
      <w:bCs/>
    </w:rPr>
  </w:style>
  <w:style w:type="character" w:customStyle="1" w:styleId="CommentSubjectChar">
    <w:name w:val="Comment Subject Char"/>
    <w:basedOn w:val="CommentTextChar"/>
    <w:link w:val="CommentSubject"/>
    <w:semiHidden/>
    <w:rsid w:val="00C76B7A"/>
    <w:rPr>
      <w:rFonts w:ascii="Times New Roman" w:hAnsi="Times New Roman"/>
      <w:b/>
      <w:bCs/>
      <w:lang w:val="en-GB" w:eastAsia="en-US"/>
    </w:rPr>
  </w:style>
  <w:style w:type="paragraph" w:styleId="NormalWeb">
    <w:name w:val="Normal (Web)"/>
    <w:basedOn w:val="Normal"/>
    <w:uiPriority w:val="99"/>
    <w:semiHidden/>
    <w:unhideWhenUsed/>
    <w:rsid w:val="00E276BB"/>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paragraph" w:styleId="Revision">
    <w:name w:val="Revision"/>
    <w:hidden/>
    <w:uiPriority w:val="99"/>
    <w:semiHidden/>
    <w:rsid w:val="00E276B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1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R23-WRC23-C-0127!A27!MSW-E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3AF76-81A3-4D1D-BD1F-BBF11473BA40}">
  <ds:schemaRefs>
    <ds:schemaRef ds:uri="http://schemas.openxmlformats.org/officeDocument/2006/bibliography"/>
  </ds:schemaRefs>
</ds:datastoreItem>
</file>

<file path=customXml/itemProps2.xml><?xml version="1.0" encoding="utf-8"?>
<ds:datastoreItem xmlns:ds="http://schemas.openxmlformats.org/officeDocument/2006/customXml" ds:itemID="{99506FA2-F20B-46CE-B611-78E32D81D4B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66FF1400-9719-4A78-85D8-AA17FDFAD363}">
  <ds:schemaRefs>
    <ds:schemaRef ds:uri="http://schemas.microsoft.com/sharepoint/events"/>
  </ds:schemaRefs>
</ds:datastoreItem>
</file>

<file path=customXml/itemProps4.xml><?xml version="1.0" encoding="utf-8"?>
<ds:datastoreItem xmlns:ds="http://schemas.openxmlformats.org/officeDocument/2006/customXml" ds:itemID="{492F4BFD-0EE9-4855-9137-019F3AB8A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814B1E-E3A7-4E02-9666-C7F6BB1A1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1722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R23-WRC23-C-0127!A27!MSW-E</vt:lpstr>
    </vt:vector>
  </TitlesOfParts>
  <Manager>General Secretariat - Pool</Manager>
  <Company>International Telecommunication Union (ITU)</Company>
  <LinksUpToDate>false</LinksUpToDate>
  <CharactersWithSpaces>11402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R23-WRC23-C-0127!A27!MSW-E</dc:title>
  <dc:subject>World Radiocommunication Conference - 2023</dc:subject>
  <dc:creator>Documents Proposals Manager (DPM)</dc:creator>
  <cp:keywords>DPM_v2023.8.1.1_prod</cp:keywords>
  <dc:description>Uploaded on 2015.07.06</dc:description>
  <cp:lastModifiedBy>TPU E RR</cp:lastModifiedBy>
  <cp:revision>3</cp:revision>
  <cp:lastPrinted>2017-02-10T08:23:00Z</cp:lastPrinted>
  <dcterms:created xsi:type="dcterms:W3CDTF">2023-11-09T15:12:00Z</dcterms:created>
  <dcterms:modified xsi:type="dcterms:W3CDTF">2023-11-09T15:32:00Z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