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47540A" w14:paraId="0D6EFCC2" w14:textId="77777777" w:rsidTr="00F320AA">
        <w:trPr>
          <w:cantSplit/>
        </w:trPr>
        <w:tc>
          <w:tcPr>
            <w:tcW w:w="1418" w:type="dxa"/>
            <w:vAlign w:val="center"/>
          </w:tcPr>
          <w:p w14:paraId="74E32596" w14:textId="77777777" w:rsidR="00F320AA" w:rsidRPr="0047540A" w:rsidRDefault="00F320AA" w:rsidP="00F320AA">
            <w:pPr>
              <w:spacing w:before="0"/>
              <w:rPr>
                <w:rFonts w:ascii="Verdana" w:hAnsi="Verdana"/>
                <w:position w:val="6"/>
              </w:rPr>
            </w:pPr>
            <w:r w:rsidRPr="0047540A">
              <w:drawing>
                <wp:inline distT="0" distB="0" distL="0" distR="0" wp14:anchorId="71EF486C" wp14:editId="03BA508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925F1B0" w14:textId="77777777" w:rsidR="00F320AA" w:rsidRPr="0047540A" w:rsidRDefault="00F320AA" w:rsidP="00F320AA">
            <w:pPr>
              <w:spacing w:before="400" w:after="48" w:line="240" w:lineRule="atLeast"/>
              <w:rPr>
                <w:rFonts w:ascii="Verdana" w:hAnsi="Verdana"/>
                <w:position w:val="6"/>
              </w:rPr>
            </w:pPr>
            <w:r w:rsidRPr="0047540A">
              <w:rPr>
                <w:rFonts w:ascii="Verdana" w:hAnsi="Verdana" w:cs="Times"/>
                <w:b/>
                <w:position w:val="6"/>
                <w:sz w:val="22"/>
                <w:szCs w:val="22"/>
              </w:rPr>
              <w:t>World Radiocommunication Conference (WRC-23)</w:t>
            </w:r>
            <w:r w:rsidRPr="0047540A">
              <w:rPr>
                <w:rFonts w:ascii="Verdana" w:hAnsi="Verdana" w:cs="Times"/>
                <w:b/>
                <w:position w:val="6"/>
                <w:sz w:val="26"/>
                <w:szCs w:val="26"/>
              </w:rPr>
              <w:br/>
            </w:r>
            <w:r w:rsidRPr="0047540A">
              <w:rPr>
                <w:rFonts w:ascii="Verdana" w:hAnsi="Verdana"/>
                <w:b/>
                <w:bCs/>
                <w:position w:val="6"/>
                <w:sz w:val="18"/>
                <w:szCs w:val="18"/>
              </w:rPr>
              <w:t>Dubai, 20 November - 15 December 2023</w:t>
            </w:r>
          </w:p>
        </w:tc>
        <w:tc>
          <w:tcPr>
            <w:tcW w:w="1951" w:type="dxa"/>
            <w:vAlign w:val="center"/>
          </w:tcPr>
          <w:p w14:paraId="4FB5D310" w14:textId="77777777" w:rsidR="00F320AA" w:rsidRPr="0047540A" w:rsidRDefault="00EB0812" w:rsidP="00F320AA">
            <w:pPr>
              <w:spacing w:before="0" w:line="240" w:lineRule="atLeast"/>
            </w:pPr>
            <w:r w:rsidRPr="0047540A">
              <w:drawing>
                <wp:inline distT="0" distB="0" distL="0" distR="0" wp14:anchorId="1DB0C156" wp14:editId="20F5B5B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47540A" w14:paraId="7A1FA0AD" w14:textId="77777777">
        <w:trPr>
          <w:cantSplit/>
        </w:trPr>
        <w:tc>
          <w:tcPr>
            <w:tcW w:w="6911" w:type="dxa"/>
            <w:gridSpan w:val="2"/>
            <w:tcBorders>
              <w:bottom w:val="single" w:sz="12" w:space="0" w:color="auto"/>
            </w:tcBorders>
          </w:tcPr>
          <w:p w14:paraId="75E36030" w14:textId="77777777" w:rsidR="00A066F1" w:rsidRPr="0047540A"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EEDF6BE" w14:textId="77777777" w:rsidR="00A066F1" w:rsidRPr="0047540A" w:rsidRDefault="00A066F1" w:rsidP="00A066F1">
            <w:pPr>
              <w:spacing w:before="0" w:line="240" w:lineRule="atLeast"/>
              <w:rPr>
                <w:rFonts w:ascii="Verdana" w:hAnsi="Verdana"/>
                <w:szCs w:val="24"/>
              </w:rPr>
            </w:pPr>
          </w:p>
        </w:tc>
      </w:tr>
      <w:tr w:rsidR="00A066F1" w:rsidRPr="0047540A" w14:paraId="54C16BDC" w14:textId="77777777">
        <w:trPr>
          <w:cantSplit/>
        </w:trPr>
        <w:tc>
          <w:tcPr>
            <w:tcW w:w="6911" w:type="dxa"/>
            <w:gridSpan w:val="2"/>
            <w:tcBorders>
              <w:top w:val="single" w:sz="12" w:space="0" w:color="auto"/>
            </w:tcBorders>
          </w:tcPr>
          <w:p w14:paraId="2A63FBE5" w14:textId="77777777" w:rsidR="00A066F1" w:rsidRPr="0047540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8C33B29" w14:textId="77777777" w:rsidR="00A066F1" w:rsidRPr="0047540A" w:rsidRDefault="00A066F1" w:rsidP="00A066F1">
            <w:pPr>
              <w:spacing w:before="0" w:line="240" w:lineRule="atLeast"/>
              <w:rPr>
                <w:rFonts w:ascii="Verdana" w:hAnsi="Verdana"/>
                <w:sz w:val="20"/>
              </w:rPr>
            </w:pPr>
          </w:p>
        </w:tc>
      </w:tr>
      <w:tr w:rsidR="00A066F1" w:rsidRPr="0047540A" w14:paraId="0B2F6B35" w14:textId="77777777">
        <w:trPr>
          <w:cantSplit/>
          <w:trHeight w:val="23"/>
        </w:trPr>
        <w:tc>
          <w:tcPr>
            <w:tcW w:w="6911" w:type="dxa"/>
            <w:gridSpan w:val="2"/>
            <w:shd w:val="clear" w:color="auto" w:fill="auto"/>
          </w:tcPr>
          <w:p w14:paraId="1B53BA34" w14:textId="77777777" w:rsidR="00A066F1" w:rsidRPr="0047540A"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47540A">
              <w:rPr>
                <w:rFonts w:ascii="Verdana" w:hAnsi="Verdana"/>
                <w:sz w:val="20"/>
                <w:szCs w:val="20"/>
              </w:rPr>
              <w:t>PLENARY MEETING</w:t>
            </w:r>
          </w:p>
        </w:tc>
        <w:tc>
          <w:tcPr>
            <w:tcW w:w="3120" w:type="dxa"/>
            <w:gridSpan w:val="2"/>
          </w:tcPr>
          <w:p w14:paraId="761B2A37" w14:textId="77777777" w:rsidR="00A066F1" w:rsidRPr="0047540A" w:rsidRDefault="00E55816" w:rsidP="00AA666F">
            <w:pPr>
              <w:tabs>
                <w:tab w:val="left" w:pos="851"/>
              </w:tabs>
              <w:spacing w:before="0" w:line="240" w:lineRule="atLeast"/>
              <w:rPr>
                <w:rFonts w:ascii="Verdana" w:hAnsi="Verdana"/>
                <w:sz w:val="20"/>
              </w:rPr>
            </w:pPr>
            <w:r w:rsidRPr="0047540A">
              <w:rPr>
                <w:rFonts w:ascii="Verdana" w:hAnsi="Verdana"/>
                <w:b/>
                <w:sz w:val="20"/>
              </w:rPr>
              <w:t>Document 122</w:t>
            </w:r>
            <w:r w:rsidR="00A066F1" w:rsidRPr="0047540A">
              <w:rPr>
                <w:rFonts w:ascii="Verdana" w:hAnsi="Verdana"/>
                <w:b/>
                <w:sz w:val="20"/>
              </w:rPr>
              <w:t>-</w:t>
            </w:r>
            <w:r w:rsidR="005E10C9" w:rsidRPr="0047540A">
              <w:rPr>
                <w:rFonts w:ascii="Verdana" w:hAnsi="Verdana"/>
                <w:b/>
                <w:sz w:val="20"/>
              </w:rPr>
              <w:t>E</w:t>
            </w:r>
          </w:p>
        </w:tc>
      </w:tr>
      <w:tr w:rsidR="00A066F1" w:rsidRPr="0047540A" w14:paraId="57CB25A2" w14:textId="77777777">
        <w:trPr>
          <w:cantSplit/>
          <w:trHeight w:val="23"/>
        </w:trPr>
        <w:tc>
          <w:tcPr>
            <w:tcW w:w="6911" w:type="dxa"/>
            <w:gridSpan w:val="2"/>
            <w:shd w:val="clear" w:color="auto" w:fill="auto"/>
          </w:tcPr>
          <w:p w14:paraId="35308109" w14:textId="77777777" w:rsidR="00A066F1" w:rsidRPr="0047540A"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0D2F343" w14:textId="77777777" w:rsidR="00A066F1" w:rsidRPr="0047540A" w:rsidRDefault="00420873" w:rsidP="00A066F1">
            <w:pPr>
              <w:tabs>
                <w:tab w:val="left" w:pos="993"/>
              </w:tabs>
              <w:spacing w:before="0"/>
              <w:rPr>
                <w:rFonts w:ascii="Verdana" w:hAnsi="Verdana"/>
                <w:sz w:val="20"/>
              </w:rPr>
            </w:pPr>
            <w:r w:rsidRPr="0047540A">
              <w:rPr>
                <w:rFonts w:ascii="Verdana" w:hAnsi="Verdana"/>
                <w:b/>
                <w:sz w:val="20"/>
              </w:rPr>
              <w:t>30 October 2023</w:t>
            </w:r>
          </w:p>
        </w:tc>
      </w:tr>
      <w:tr w:rsidR="00A066F1" w:rsidRPr="0047540A" w14:paraId="11BBD47F" w14:textId="77777777">
        <w:trPr>
          <w:cantSplit/>
          <w:trHeight w:val="23"/>
        </w:trPr>
        <w:tc>
          <w:tcPr>
            <w:tcW w:w="6911" w:type="dxa"/>
            <w:gridSpan w:val="2"/>
            <w:shd w:val="clear" w:color="auto" w:fill="auto"/>
          </w:tcPr>
          <w:p w14:paraId="276F9EF4" w14:textId="77777777" w:rsidR="00A066F1" w:rsidRPr="0047540A"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0031CE16" w14:textId="77777777" w:rsidR="00A066F1" w:rsidRPr="0047540A" w:rsidRDefault="00E55816" w:rsidP="00A066F1">
            <w:pPr>
              <w:tabs>
                <w:tab w:val="left" w:pos="993"/>
              </w:tabs>
              <w:spacing w:before="0"/>
              <w:rPr>
                <w:rFonts w:ascii="Verdana" w:hAnsi="Verdana"/>
                <w:b/>
                <w:sz w:val="20"/>
              </w:rPr>
            </w:pPr>
            <w:r w:rsidRPr="0047540A">
              <w:rPr>
                <w:rFonts w:ascii="Verdana" w:hAnsi="Verdana"/>
                <w:b/>
                <w:sz w:val="20"/>
              </w:rPr>
              <w:t>Original: English</w:t>
            </w:r>
          </w:p>
        </w:tc>
      </w:tr>
      <w:tr w:rsidR="00A066F1" w:rsidRPr="0047540A" w14:paraId="71DD6DE1" w14:textId="77777777" w:rsidTr="00025864">
        <w:trPr>
          <w:cantSplit/>
          <w:trHeight w:val="23"/>
        </w:trPr>
        <w:tc>
          <w:tcPr>
            <w:tcW w:w="10031" w:type="dxa"/>
            <w:gridSpan w:val="4"/>
            <w:shd w:val="clear" w:color="auto" w:fill="auto"/>
          </w:tcPr>
          <w:p w14:paraId="6DD3CFF2" w14:textId="77777777" w:rsidR="00A066F1" w:rsidRPr="0047540A" w:rsidRDefault="00A066F1" w:rsidP="00A066F1">
            <w:pPr>
              <w:tabs>
                <w:tab w:val="left" w:pos="993"/>
              </w:tabs>
              <w:spacing w:before="0"/>
              <w:rPr>
                <w:rFonts w:ascii="Verdana" w:hAnsi="Verdana"/>
                <w:b/>
                <w:sz w:val="20"/>
              </w:rPr>
            </w:pPr>
          </w:p>
        </w:tc>
      </w:tr>
      <w:tr w:rsidR="00E55816" w:rsidRPr="0047540A" w14:paraId="1BA75652" w14:textId="77777777" w:rsidTr="00025864">
        <w:trPr>
          <w:cantSplit/>
          <w:trHeight w:val="23"/>
        </w:trPr>
        <w:tc>
          <w:tcPr>
            <w:tcW w:w="10031" w:type="dxa"/>
            <w:gridSpan w:val="4"/>
            <w:shd w:val="clear" w:color="auto" w:fill="auto"/>
          </w:tcPr>
          <w:p w14:paraId="56CD439A" w14:textId="77777777" w:rsidR="00E55816" w:rsidRPr="0047540A" w:rsidRDefault="00884D60" w:rsidP="00E55816">
            <w:pPr>
              <w:pStyle w:val="Source"/>
            </w:pPr>
            <w:r w:rsidRPr="0047540A">
              <w:t>Lao People's Democratic Republic/Viet Nam (Socialist Republic of)</w:t>
            </w:r>
          </w:p>
        </w:tc>
      </w:tr>
      <w:tr w:rsidR="00E55816" w:rsidRPr="0047540A" w14:paraId="1545BE1C" w14:textId="77777777" w:rsidTr="00025864">
        <w:trPr>
          <w:cantSplit/>
          <w:trHeight w:val="23"/>
        </w:trPr>
        <w:tc>
          <w:tcPr>
            <w:tcW w:w="10031" w:type="dxa"/>
            <w:gridSpan w:val="4"/>
            <w:shd w:val="clear" w:color="auto" w:fill="auto"/>
          </w:tcPr>
          <w:p w14:paraId="7DA7466D" w14:textId="77777777" w:rsidR="00E55816" w:rsidRPr="0047540A" w:rsidRDefault="007D5320" w:rsidP="00E55816">
            <w:pPr>
              <w:pStyle w:val="Title1"/>
            </w:pPr>
            <w:r w:rsidRPr="0047540A">
              <w:t>PROPOSALS FOR THE WORK OF THE CONFERENCE</w:t>
            </w:r>
          </w:p>
        </w:tc>
      </w:tr>
      <w:tr w:rsidR="00E55816" w:rsidRPr="0047540A" w14:paraId="65381202" w14:textId="77777777" w:rsidTr="00025864">
        <w:trPr>
          <w:cantSplit/>
          <w:trHeight w:val="23"/>
        </w:trPr>
        <w:tc>
          <w:tcPr>
            <w:tcW w:w="10031" w:type="dxa"/>
            <w:gridSpan w:val="4"/>
            <w:shd w:val="clear" w:color="auto" w:fill="auto"/>
          </w:tcPr>
          <w:p w14:paraId="2F9AEB0D" w14:textId="77777777" w:rsidR="00E55816" w:rsidRPr="0047540A" w:rsidRDefault="00E55816" w:rsidP="00E55816">
            <w:pPr>
              <w:pStyle w:val="Title2"/>
            </w:pPr>
          </w:p>
        </w:tc>
      </w:tr>
      <w:tr w:rsidR="00A538A6" w:rsidRPr="0047540A" w14:paraId="33BD0439" w14:textId="77777777" w:rsidTr="00025864">
        <w:trPr>
          <w:cantSplit/>
          <w:trHeight w:val="23"/>
        </w:trPr>
        <w:tc>
          <w:tcPr>
            <w:tcW w:w="10031" w:type="dxa"/>
            <w:gridSpan w:val="4"/>
            <w:shd w:val="clear" w:color="auto" w:fill="auto"/>
          </w:tcPr>
          <w:p w14:paraId="3317D116" w14:textId="77777777" w:rsidR="00A538A6" w:rsidRPr="0047540A" w:rsidRDefault="004B13CB" w:rsidP="004B13CB">
            <w:pPr>
              <w:pStyle w:val="Agendaitem"/>
              <w:rPr>
                <w:lang w:val="en-GB"/>
              </w:rPr>
            </w:pPr>
            <w:r w:rsidRPr="0047540A">
              <w:rPr>
                <w:lang w:val="en-GB"/>
              </w:rPr>
              <w:t>Agenda item 10</w:t>
            </w:r>
          </w:p>
        </w:tc>
      </w:tr>
    </w:tbl>
    <w:bookmarkEnd w:id="5"/>
    <w:bookmarkEnd w:id="6"/>
    <w:p w14:paraId="7557C044" w14:textId="77777777" w:rsidR="00187BD9" w:rsidRPr="0047540A" w:rsidRDefault="00E92560" w:rsidP="00F07A69">
      <w:pPr>
        <w:pStyle w:val="Normalaftertitle"/>
      </w:pPr>
      <w:r w:rsidRPr="0047540A">
        <w:t>10</w:t>
      </w:r>
      <w:r w:rsidRPr="0047540A">
        <w:rPr>
          <w:b/>
          <w:bCs/>
        </w:rPr>
        <w:tab/>
      </w:r>
      <w:r w:rsidRPr="0047540A">
        <w:t xml:space="preserve">to recommend to the ITU Council items for inclusion in the agenda for the next world radiocommunication conference, </w:t>
      </w:r>
      <w:r w:rsidRPr="0047540A">
        <w:rPr>
          <w:iCs/>
        </w:rPr>
        <w:t xml:space="preserve">and items for the preliminary agenda of future conferences, </w:t>
      </w:r>
      <w:r w:rsidRPr="0047540A">
        <w:t xml:space="preserve">in accordance with Article 7 of the ITU Convention </w:t>
      </w:r>
      <w:r w:rsidRPr="0047540A">
        <w:rPr>
          <w:iCs/>
        </w:rPr>
        <w:t xml:space="preserve">and Resolution </w:t>
      </w:r>
      <w:r w:rsidRPr="0047540A">
        <w:rPr>
          <w:b/>
          <w:bCs/>
          <w:iCs/>
        </w:rPr>
        <w:t>804 (Rev.WRC</w:t>
      </w:r>
      <w:r w:rsidRPr="0047540A">
        <w:rPr>
          <w:b/>
          <w:bCs/>
          <w:iCs/>
        </w:rPr>
        <w:noBreakHyphen/>
        <w:t>19)</w:t>
      </w:r>
      <w:r w:rsidRPr="0047540A">
        <w:rPr>
          <w:iCs/>
        </w:rPr>
        <w:t>,</w:t>
      </w:r>
    </w:p>
    <w:p w14:paraId="0CCF5E43" w14:textId="77777777" w:rsidR="00F07A69" w:rsidRPr="0047540A" w:rsidRDefault="00F07A69" w:rsidP="00F07A69">
      <w:pPr>
        <w:pStyle w:val="Headingb"/>
        <w:rPr>
          <w:b w:val="0"/>
          <w:lang w:val="en-GB"/>
        </w:rPr>
      </w:pPr>
      <w:r w:rsidRPr="0047540A">
        <w:rPr>
          <w:lang w:val="en-GB"/>
        </w:rPr>
        <w:t>Background</w:t>
      </w:r>
    </w:p>
    <w:p w14:paraId="0A5FD535" w14:textId="6E7AD591" w:rsidR="00F07A69" w:rsidRPr="0047540A" w:rsidRDefault="00F07A69" w:rsidP="00F07A69">
      <w:pPr>
        <w:spacing w:after="120"/>
        <w:rPr>
          <w:rFonts w:eastAsia="MS Mincho"/>
          <w:kern w:val="2"/>
          <w:lang w:eastAsia="ja-JP"/>
        </w:rPr>
      </w:pPr>
      <w:r w:rsidRPr="0047540A">
        <w:rPr>
          <w:rFonts w:eastAsia="MS Mincho"/>
          <w:kern w:val="2"/>
          <w:lang w:eastAsia="ja-JP"/>
        </w:rPr>
        <w:t xml:space="preserve">Since ITU initiated the studies on </w:t>
      </w:r>
      <w:r w:rsidR="00B64664" w:rsidRPr="0047540A">
        <w:t>International Mobile Telecommunications</w:t>
      </w:r>
      <w:r w:rsidR="00B64664" w:rsidRPr="0047540A">
        <w:rPr>
          <w:rFonts w:eastAsia="MS Mincho"/>
          <w:kern w:val="2"/>
          <w:lang w:eastAsia="ja-JP"/>
        </w:rPr>
        <w:t xml:space="preserve"> </w:t>
      </w:r>
      <w:r w:rsidR="00B018F7" w:rsidRPr="0047540A">
        <w:rPr>
          <w:rFonts w:eastAsia="MS Mincho"/>
          <w:kern w:val="2"/>
          <w:lang w:eastAsia="ja-JP"/>
        </w:rPr>
        <w:t>(</w:t>
      </w:r>
      <w:r w:rsidRPr="0047540A">
        <w:rPr>
          <w:rFonts w:eastAsia="MS Mincho"/>
          <w:kern w:val="2"/>
          <w:lang w:eastAsia="ja-JP"/>
        </w:rPr>
        <w:t>IMT</w:t>
      </w:r>
      <w:r w:rsidR="00B018F7" w:rsidRPr="0047540A">
        <w:rPr>
          <w:rFonts w:eastAsia="MS Mincho"/>
          <w:kern w:val="2"/>
          <w:lang w:eastAsia="ja-JP"/>
        </w:rPr>
        <w:t>)</w:t>
      </w:r>
      <w:r w:rsidRPr="0047540A">
        <w:rPr>
          <w:rFonts w:eastAsia="MS Mincho"/>
          <w:kern w:val="2"/>
          <w:lang w:eastAsia="ja-JP"/>
        </w:rPr>
        <w:t xml:space="preserve"> in 1985, IMT has evolved not only for providing the international mobile telecommunications but also for supporting the development of various industry sectors. Furthermore, IMT will </w:t>
      </w:r>
      <w:r w:rsidRPr="0047540A">
        <w:t>be an important enabler of achieving the UN Sustainable Development Goals (SDGs) and societal, economic, environmental, and cultural development.</w:t>
      </w:r>
    </w:p>
    <w:p w14:paraId="198313D2" w14:textId="77777777" w:rsidR="00F07A69" w:rsidRPr="0047540A" w:rsidRDefault="00F07A69" w:rsidP="00F07A69">
      <w:pPr>
        <w:spacing w:after="120"/>
        <w:rPr>
          <w:rFonts w:eastAsia="Malgun Gothic"/>
          <w:kern w:val="2"/>
          <w:lang w:eastAsia="ko-KR"/>
        </w:rPr>
      </w:pPr>
      <w:r w:rsidRPr="0047540A">
        <w:rPr>
          <w:rFonts w:eastAsia="Malgun Gothic"/>
          <w:kern w:val="2"/>
          <w:lang w:eastAsia="ko-KR"/>
        </w:rPr>
        <w:t xml:space="preserve">The evolution of IMT has been facilitated through the identification of the frequency bands for IMT in the ITU Radio Regulations (RR). In the early stage of the identification of IMT spectrum, global harmonized use of IMT was the main purpose. However, it is now well recognized that the identification of IMT spectrum is also associated with the information on proper conditions regarding how IMT could share the frequency bands with other incumbent services through the provisions in the RR. </w:t>
      </w:r>
    </w:p>
    <w:p w14:paraId="549C104B" w14:textId="77777777" w:rsidR="00F07A69" w:rsidRPr="0047540A" w:rsidRDefault="00F07A69" w:rsidP="00F07A69">
      <w:pPr>
        <w:spacing w:after="120"/>
        <w:rPr>
          <w:rFonts w:eastAsia="Malgun Gothic"/>
          <w:kern w:val="2"/>
          <w:lang w:eastAsia="ko-KR"/>
        </w:rPr>
      </w:pPr>
      <w:r w:rsidRPr="0047540A">
        <w:rPr>
          <w:rFonts w:eastAsia="Malgun Gothic"/>
          <w:kern w:val="2"/>
          <w:lang w:eastAsia="ko-KR"/>
        </w:rPr>
        <w:t>These provisions in the RR gives flexibility for Members to use the identified IMT frequency bands in accordance with their own national spectrum policies.</w:t>
      </w:r>
    </w:p>
    <w:p w14:paraId="0229DF26" w14:textId="77777777" w:rsidR="00F07A69" w:rsidRPr="0047540A" w:rsidRDefault="00F07A69" w:rsidP="00F07A69">
      <w:pPr>
        <w:spacing w:after="120"/>
        <w:rPr>
          <w:rFonts w:eastAsia="Malgun Gothic"/>
          <w:kern w:val="2"/>
          <w:lang w:eastAsia="ko-KR"/>
        </w:rPr>
      </w:pPr>
      <w:r w:rsidRPr="0047540A">
        <w:rPr>
          <w:rFonts w:eastAsia="Malgun Gothic"/>
          <w:kern w:val="2"/>
          <w:lang w:eastAsia="ko-KR"/>
        </w:rPr>
        <w:t xml:space="preserve">Considering the enlargement of usage scenario of IMT, the development of technology which also enables the sharing of the frequency bands with other incumbent services and IMT identification for the proper use of IMT, ITU (collectively of Members) should continue exploring new identification of IMT spectrum in order not only to keep providing a way of efficient use of spectrum but also to assist Members to use/select those identified frequency bands for IMT according to their own national spectrum policies. </w:t>
      </w:r>
    </w:p>
    <w:p w14:paraId="1B625660" w14:textId="44696912" w:rsidR="00F07A69" w:rsidRPr="0047540A" w:rsidRDefault="00F07A69" w:rsidP="00F07A69">
      <w:pPr>
        <w:spacing w:after="120"/>
        <w:rPr>
          <w:rFonts w:eastAsia="Malgun Gothic"/>
          <w:kern w:val="2"/>
          <w:lang w:eastAsia="ko-KR"/>
        </w:rPr>
      </w:pPr>
      <w:r w:rsidRPr="0047540A">
        <w:rPr>
          <w:rFonts w:eastAsia="Malgun Gothic"/>
          <w:kern w:val="2"/>
          <w:lang w:eastAsia="ko-KR"/>
        </w:rPr>
        <w:t>At the past WRCs, while the frequency ranges below 7.125 GHz and between 24.25 GHz and 86</w:t>
      </w:r>
      <w:r w:rsidR="00B018F7" w:rsidRPr="0047540A">
        <w:rPr>
          <w:rFonts w:eastAsia="Malgun Gothic"/>
          <w:kern w:val="2"/>
          <w:lang w:eastAsia="ko-KR"/>
        </w:rPr>
        <w:t> </w:t>
      </w:r>
      <w:r w:rsidRPr="0047540A">
        <w:rPr>
          <w:rFonts w:eastAsia="Malgun Gothic"/>
          <w:kern w:val="2"/>
          <w:lang w:eastAsia="ko-KR"/>
        </w:rPr>
        <w:t xml:space="preserve">GHz were extensively discussed for IMT, other frequency ranges were not thoroughly studied. Therefore, it would be useful to study some specific frequency bands for IMT from the frequency </w:t>
      </w:r>
      <w:r w:rsidRPr="0047540A">
        <w:rPr>
          <w:rFonts w:eastAsia="Malgun Gothic"/>
          <w:kern w:val="2"/>
          <w:lang w:eastAsia="ko-KR"/>
        </w:rPr>
        <w:lastRenderedPageBreak/>
        <w:t xml:space="preserve">ranges that were not fully studied previously considering the needs for IMT to provide </w:t>
      </w:r>
      <w:r w:rsidRPr="0047540A">
        <w:rPr>
          <w:rFonts w:eastAsia="MS Mincho"/>
          <w:kern w:val="2"/>
          <w:lang w:eastAsia="ja-JP"/>
        </w:rPr>
        <w:t>broadband capacity together with a certain level of coverage</w:t>
      </w:r>
      <w:r w:rsidRPr="0047540A">
        <w:rPr>
          <w:rFonts w:eastAsia="Malgun Gothic"/>
          <w:kern w:val="2"/>
          <w:lang w:eastAsia="ko-KR"/>
        </w:rPr>
        <w:t>.</w:t>
      </w:r>
      <w:r w:rsidRPr="0047540A">
        <w:rPr>
          <w:rFonts w:eastAsia="MS Mincho"/>
          <w:kern w:val="2"/>
          <w:lang w:eastAsia="ja-JP"/>
        </w:rPr>
        <w:t xml:space="preserve"> As an example, one country started an examination of the </w:t>
      </w:r>
      <w:r w:rsidR="00E92560" w:rsidRPr="0047540A">
        <w:rPr>
          <w:rFonts w:eastAsia="MS Mincho"/>
          <w:kern w:val="2"/>
          <w:lang w:eastAsia="ja-JP"/>
        </w:rPr>
        <w:t xml:space="preserve">frequency band </w:t>
      </w:r>
      <w:r w:rsidRPr="0047540A">
        <w:rPr>
          <w:rFonts w:eastAsia="MS Mincho"/>
          <w:kern w:val="2"/>
          <w:lang w:eastAsia="ja-JP"/>
        </w:rPr>
        <w:t>12.7 GHz for next-generation wireless services, including 5G (IMT-2020), 6G (IMT-2030), and beyond</w:t>
      </w:r>
      <w:r w:rsidRPr="0047540A">
        <w:rPr>
          <w:rFonts w:eastAsia="MS Mincho"/>
          <w:kern w:val="2"/>
          <w:vertAlign w:val="superscript"/>
          <w:lang w:eastAsia="ja-JP"/>
        </w:rPr>
        <w:footnoteReference w:id="1"/>
      </w:r>
      <w:r w:rsidRPr="0047540A">
        <w:rPr>
          <w:rFonts w:eastAsia="MS Mincho"/>
          <w:kern w:val="2"/>
          <w:lang w:eastAsia="ja-JP"/>
        </w:rPr>
        <w:t>. For this study, it is essential to keep in mind that there were some reasons why some of these frequency ranges were not considered for IMT at the past WRCs, such as heavy use of spectrum by the incumbent services and requirements of their protection and their future development.</w:t>
      </w:r>
    </w:p>
    <w:p w14:paraId="269862BE" w14:textId="77777777" w:rsidR="00F07A69" w:rsidRPr="0047540A" w:rsidRDefault="00F07A69" w:rsidP="00F07A69">
      <w:r w:rsidRPr="0047540A">
        <w:rPr>
          <w:rFonts w:eastAsia="MS Mincho"/>
          <w:kern w:val="2"/>
          <w:lang w:eastAsia="ja-JP"/>
        </w:rPr>
        <w:t>There is a significant gap of time between the identification of frequency bands for IMT in the ITU Radio Regulations and the implementation and deployment of IMT systems in those bands. Therefore, timely identification of IMT spectrum in the ITU Radio Regulations is important to support the development of IMT, while considering the need to protect existing services and to allow for their continued development.</w:t>
      </w:r>
    </w:p>
    <w:p w14:paraId="3F10D08A" w14:textId="77777777" w:rsidR="00F07A69" w:rsidRPr="0047540A" w:rsidRDefault="00F07A69" w:rsidP="00F07A69">
      <w:pPr>
        <w:pStyle w:val="Headingb"/>
        <w:rPr>
          <w:lang w:val="en-GB"/>
        </w:rPr>
      </w:pPr>
      <w:r w:rsidRPr="0047540A">
        <w:rPr>
          <w:lang w:val="en-GB"/>
        </w:rPr>
        <w:t>Proposals</w:t>
      </w:r>
    </w:p>
    <w:p w14:paraId="0E02EA60" w14:textId="77777777" w:rsidR="00187BD9" w:rsidRPr="0047540A" w:rsidRDefault="00187BD9" w:rsidP="00187BD9">
      <w:pPr>
        <w:tabs>
          <w:tab w:val="clear" w:pos="1134"/>
          <w:tab w:val="clear" w:pos="1871"/>
          <w:tab w:val="clear" w:pos="2268"/>
        </w:tabs>
        <w:overflowPunct/>
        <w:autoSpaceDE/>
        <w:autoSpaceDN/>
        <w:adjustRightInd/>
        <w:spacing w:before="0"/>
        <w:textAlignment w:val="auto"/>
      </w:pPr>
      <w:r w:rsidRPr="0047540A">
        <w:br w:type="page"/>
      </w:r>
    </w:p>
    <w:p w14:paraId="20E61462" w14:textId="77777777" w:rsidR="00835D19" w:rsidRPr="0047540A" w:rsidRDefault="00E92560">
      <w:pPr>
        <w:pStyle w:val="Proposal"/>
      </w:pPr>
      <w:r w:rsidRPr="0047540A">
        <w:lastRenderedPageBreak/>
        <w:t>ADD</w:t>
      </w:r>
      <w:r w:rsidRPr="0047540A">
        <w:tab/>
        <w:t>LAO/VTN/122/1</w:t>
      </w:r>
    </w:p>
    <w:p w14:paraId="35A8AD39" w14:textId="35EE543D" w:rsidR="00835D19" w:rsidRPr="0047540A" w:rsidRDefault="00E92560">
      <w:pPr>
        <w:pStyle w:val="ResNo"/>
      </w:pPr>
      <w:r w:rsidRPr="0047540A">
        <w:t>Draft New Resolution [LAO/VTN-</w:t>
      </w:r>
      <w:r w:rsidR="00DE2813" w:rsidRPr="0047540A">
        <w:t>WRC</w:t>
      </w:r>
      <w:r w:rsidR="00DE2813" w:rsidRPr="0047540A">
        <w:noBreakHyphen/>
        <w:t>27 AGENDA on IMT</w:t>
      </w:r>
      <w:r w:rsidRPr="0047540A">
        <w:t>]</w:t>
      </w:r>
      <w:r w:rsidR="003004F8" w:rsidRPr="0047540A">
        <w:t xml:space="preserve"> (WRC</w:t>
      </w:r>
      <w:r w:rsidR="003004F8" w:rsidRPr="0047540A">
        <w:noBreakHyphen/>
        <w:t>23)</w:t>
      </w:r>
    </w:p>
    <w:p w14:paraId="03754690" w14:textId="77777777" w:rsidR="00FA0924" w:rsidRPr="0047540A" w:rsidRDefault="00FA0924" w:rsidP="00FA0924">
      <w:pPr>
        <w:pStyle w:val="Restitle"/>
      </w:pPr>
      <w:bookmarkStart w:id="7" w:name="_Toc319401924"/>
      <w:bookmarkStart w:id="8" w:name="_Toc327364587"/>
      <w:r w:rsidRPr="0047540A">
        <w:t>Agenda for the 2027 World Radiocommunication Conference</w:t>
      </w:r>
      <w:bookmarkEnd w:id="7"/>
      <w:bookmarkEnd w:id="8"/>
    </w:p>
    <w:p w14:paraId="01C6DB01" w14:textId="77777777" w:rsidR="003F26BD" w:rsidRPr="0047540A" w:rsidRDefault="003F26BD" w:rsidP="003F26BD">
      <w:pPr>
        <w:pStyle w:val="Normalaftertitle"/>
      </w:pPr>
      <w:r w:rsidRPr="0047540A">
        <w:t>The World Radiocommunication Conference (Dubai, 2023),</w:t>
      </w:r>
    </w:p>
    <w:p w14:paraId="37E1999D" w14:textId="77777777" w:rsidR="009D365C" w:rsidRPr="0047540A" w:rsidRDefault="009D365C" w:rsidP="009D365C">
      <w:r w:rsidRPr="0047540A">
        <w:t>…</w:t>
      </w:r>
    </w:p>
    <w:p w14:paraId="64CF0096" w14:textId="77777777" w:rsidR="009D365C" w:rsidRPr="0047540A" w:rsidRDefault="009D365C" w:rsidP="009D365C">
      <w:pPr>
        <w:pStyle w:val="Call"/>
      </w:pPr>
      <w:r w:rsidRPr="0047540A">
        <w:t>resolves</w:t>
      </w:r>
    </w:p>
    <w:p w14:paraId="7456718D" w14:textId="714E91A9" w:rsidR="009D365C" w:rsidRPr="0047540A" w:rsidRDefault="009D365C" w:rsidP="009D365C">
      <w:r w:rsidRPr="0047540A">
        <w:t xml:space="preserve">to recommend to the Council that </w:t>
      </w:r>
      <w:r w:rsidR="00447727" w:rsidRPr="0047540A">
        <w:t xml:space="preserve">a </w:t>
      </w:r>
      <w:r w:rsidR="00DE3174" w:rsidRPr="0047540A">
        <w:rPr>
          <w:lang w:eastAsia="nl-NL"/>
        </w:rPr>
        <w:t xml:space="preserve">world </w:t>
      </w:r>
      <w:r w:rsidR="00DE3174" w:rsidRPr="0047540A">
        <w:t>radiocommunication</w:t>
      </w:r>
      <w:r w:rsidR="00DE3174" w:rsidRPr="0047540A">
        <w:rPr>
          <w:lang w:eastAsia="nl-NL"/>
        </w:rPr>
        <w:t xml:space="preserve"> conference</w:t>
      </w:r>
      <w:r w:rsidR="00DE3174" w:rsidRPr="0047540A">
        <w:t xml:space="preserve"> </w:t>
      </w:r>
      <w:r w:rsidRPr="0047540A">
        <w:t>be held in 202</w:t>
      </w:r>
      <w:r w:rsidR="00447727" w:rsidRPr="0047540A">
        <w:t>7</w:t>
      </w:r>
      <w:r w:rsidRPr="0047540A">
        <w:t xml:space="preserve"> for a maximum period of four weeks, with the following agenda:</w:t>
      </w:r>
    </w:p>
    <w:p w14:paraId="334F201D" w14:textId="516781C2" w:rsidR="009D365C" w:rsidRPr="0047540A" w:rsidRDefault="009D365C" w:rsidP="009D365C">
      <w:r w:rsidRPr="0047540A">
        <w:t>1</w:t>
      </w:r>
      <w:r w:rsidRPr="0047540A">
        <w:tab/>
      </w:r>
      <w:proofErr w:type="gramStart"/>
      <w:r w:rsidRPr="0047540A">
        <w:t>on the basis of</w:t>
      </w:r>
      <w:proofErr w:type="gramEnd"/>
      <w:r w:rsidRPr="0047540A">
        <w:t xml:space="preserve"> proposals from administrations, taking account of the results of WRC</w:t>
      </w:r>
      <w:r w:rsidR="00DE3174" w:rsidRPr="0047540A">
        <w:noBreakHyphen/>
      </w:r>
      <w:r w:rsidR="00E92560" w:rsidRPr="0047540A">
        <w:t xml:space="preserve">23 </w:t>
      </w:r>
      <w:r w:rsidRPr="0047540A">
        <w:t>and the Report of the Conference Preparatory Meeting, and with due regard to the requirements of existing and future services in the frequency bands under consideration, to consider and take appropriate action in respect of the following items:</w:t>
      </w:r>
    </w:p>
    <w:p w14:paraId="7D8FD5F8" w14:textId="77777777" w:rsidR="009D365C" w:rsidRPr="0047540A" w:rsidRDefault="009D365C" w:rsidP="009D365C">
      <w:r w:rsidRPr="0047540A">
        <w:t>…</w:t>
      </w:r>
    </w:p>
    <w:p w14:paraId="12107858" w14:textId="1C03083E" w:rsidR="009D365C" w:rsidRPr="0047540A" w:rsidRDefault="009D365C" w:rsidP="009D365C">
      <w:r w:rsidRPr="0047540A">
        <w:t xml:space="preserve">1.[X] </w:t>
      </w:r>
      <w:r w:rsidRPr="0047540A">
        <w:tab/>
        <w:t>to consider identification of frequency bands in the frequency range 7.125</w:t>
      </w:r>
      <w:r w:rsidR="00E92560" w:rsidRPr="0047540A">
        <w:t>-</w:t>
      </w:r>
      <w:r w:rsidRPr="0047540A">
        <w:t>15.35</w:t>
      </w:r>
      <w:r w:rsidR="004A69E7" w:rsidRPr="0047540A">
        <w:t> </w:t>
      </w:r>
      <w:r w:rsidRPr="0047540A">
        <w:t>GHz for the future development of terrestrial component of International Mobile Telecommunications (IMT), including possible additional allocations to the mobile service on a primary basis, in accordance with Resolution </w:t>
      </w:r>
      <w:r w:rsidRPr="0047540A">
        <w:rPr>
          <w:b/>
        </w:rPr>
        <w:t>[AI</w:t>
      </w:r>
      <w:r w:rsidR="00DC2944" w:rsidRPr="0047540A">
        <w:rPr>
          <w:b/>
        </w:rPr>
        <w:t xml:space="preserve"> </w:t>
      </w:r>
      <w:r w:rsidRPr="0047540A">
        <w:rPr>
          <w:b/>
        </w:rPr>
        <w:t>10</w:t>
      </w:r>
      <w:r w:rsidRPr="0047540A">
        <w:rPr>
          <w:b/>
        </w:rPr>
        <w:noBreakHyphen/>
        <w:t>IMT @ 7.125-15.35 GHz] (WRC</w:t>
      </w:r>
      <w:r w:rsidRPr="0047540A">
        <w:rPr>
          <w:b/>
        </w:rPr>
        <w:noBreakHyphen/>
        <w:t>23)</w:t>
      </w:r>
      <w:r w:rsidRPr="0047540A">
        <w:t>;</w:t>
      </w:r>
    </w:p>
    <w:p w14:paraId="1CE57527" w14:textId="70643F4C" w:rsidR="009D365C" w:rsidRPr="0047540A" w:rsidRDefault="009D365C" w:rsidP="009D365C">
      <w:pPr>
        <w:rPr>
          <w:b/>
          <w:i/>
        </w:rPr>
      </w:pPr>
      <w:r w:rsidRPr="0047540A">
        <w:t>…</w:t>
      </w:r>
    </w:p>
    <w:p w14:paraId="5AFB978D" w14:textId="3927304B" w:rsidR="00A0375C" w:rsidRPr="0047540A" w:rsidRDefault="00E92560" w:rsidP="00693576">
      <w:pPr>
        <w:pStyle w:val="Reasons"/>
        <w:rPr>
          <w:rFonts w:eastAsia="MS Mincho"/>
          <w:lang w:eastAsia="ja-JP"/>
        </w:rPr>
      </w:pPr>
      <w:r w:rsidRPr="0047540A">
        <w:rPr>
          <w:b/>
        </w:rPr>
        <w:t>Reasons:</w:t>
      </w:r>
      <w:r w:rsidRPr="0047540A">
        <w:tab/>
      </w:r>
      <w:r w:rsidR="00A0375C" w:rsidRPr="0047540A">
        <w:rPr>
          <w:rFonts w:eastAsia="MS Mincho"/>
          <w:lang w:eastAsia="ja-JP"/>
        </w:rPr>
        <w:t xml:space="preserve">There is a significant gap of time between the identification of frequency bands for </w:t>
      </w:r>
      <w:r w:rsidR="00A0375C" w:rsidRPr="0047540A">
        <w:t xml:space="preserve">terrestrial component of </w:t>
      </w:r>
      <w:r w:rsidR="00A0375C" w:rsidRPr="0047540A">
        <w:rPr>
          <w:rFonts w:eastAsia="MS Mincho"/>
          <w:lang w:eastAsia="ja-JP"/>
        </w:rPr>
        <w:t xml:space="preserve">IMT in the ITU Radio Regulations and the implementation and deployment of IMT systems in those bands. There are robust demands to access new spectrum for </w:t>
      </w:r>
      <w:r w:rsidR="00A0375C" w:rsidRPr="0047540A">
        <w:t xml:space="preserve">terrestrial component of </w:t>
      </w:r>
      <w:r w:rsidR="00A0375C" w:rsidRPr="0047540A">
        <w:rPr>
          <w:rFonts w:eastAsia="MS Mincho"/>
          <w:lang w:eastAsia="ja-JP"/>
        </w:rPr>
        <w:t xml:space="preserve">IMT. </w:t>
      </w:r>
      <w:r w:rsidR="00A0375C" w:rsidRPr="0047540A">
        <w:rPr>
          <w:rFonts w:cs="Arial"/>
          <w:iCs/>
          <w:color w:val="000000"/>
        </w:rPr>
        <w:t>The availability of wide and contiguous bandwidth of spectrum is important to support the development of IMT as well as the growth of traffic in IMT networks.</w:t>
      </w:r>
      <w:r w:rsidR="00A0375C" w:rsidRPr="0047540A">
        <w:rPr>
          <w:rFonts w:eastAsia="MS Mincho"/>
          <w:lang w:eastAsia="ja-JP"/>
        </w:rPr>
        <w:t xml:space="preserve"> </w:t>
      </w:r>
      <w:r w:rsidR="00F85336" w:rsidRPr="0047540A">
        <w:rPr>
          <w:rFonts w:eastAsia="MS Mincho"/>
          <w:lang w:eastAsia="ja-JP"/>
        </w:rPr>
        <w:br/>
      </w:r>
      <w:r w:rsidR="00A0375C" w:rsidRPr="0047540A">
        <w:rPr>
          <w:rFonts w:eastAsia="MS Mincho"/>
          <w:kern w:val="2"/>
        </w:rPr>
        <w:t>Therefore</w:t>
      </w:r>
      <w:r w:rsidR="00A0375C" w:rsidRPr="0047540A">
        <w:rPr>
          <w:rFonts w:eastAsia="MS Mincho"/>
          <w:lang w:eastAsia="ja-JP"/>
        </w:rPr>
        <w:t>, timely identification of IMT spectrum in the ITU Radio Regulations is important to support the development of IMT, while considering the need to protect existing services and to allow for their continued development.</w:t>
      </w:r>
    </w:p>
    <w:p w14:paraId="1F679032" w14:textId="6313848F" w:rsidR="0069730B" w:rsidRPr="0047540A" w:rsidRDefault="0069730B" w:rsidP="00A83415">
      <w:pPr>
        <w:rPr>
          <w:rFonts w:eastAsia="MS Mincho"/>
          <w:lang w:eastAsia="ja-JP"/>
        </w:rPr>
      </w:pPr>
      <w:r w:rsidRPr="0047540A">
        <w:rPr>
          <w:rFonts w:eastAsia="MS Mincho"/>
          <w:lang w:eastAsia="ja-JP"/>
        </w:rPr>
        <w:br w:type="page"/>
      </w:r>
    </w:p>
    <w:p w14:paraId="3642BE49" w14:textId="77777777" w:rsidR="00835D19" w:rsidRPr="0047540A" w:rsidRDefault="00E92560">
      <w:pPr>
        <w:pStyle w:val="Proposal"/>
      </w:pPr>
      <w:r w:rsidRPr="0047540A">
        <w:lastRenderedPageBreak/>
        <w:t>ADD</w:t>
      </w:r>
      <w:r w:rsidRPr="0047540A">
        <w:tab/>
        <w:t>LAO/VTN/122/2</w:t>
      </w:r>
    </w:p>
    <w:p w14:paraId="398AC0D9" w14:textId="0FB82C95" w:rsidR="00835D19" w:rsidRPr="0047540A" w:rsidRDefault="00E92560">
      <w:pPr>
        <w:pStyle w:val="ResNo"/>
      </w:pPr>
      <w:r w:rsidRPr="0047540A">
        <w:t>Draft New Resolution [</w:t>
      </w:r>
      <w:r w:rsidR="006F1D4B" w:rsidRPr="0047540A">
        <w:t>AI</w:t>
      </w:r>
      <w:r w:rsidRPr="0047540A">
        <w:t xml:space="preserve"> </w:t>
      </w:r>
      <w:r w:rsidR="006F1D4B" w:rsidRPr="0047540A">
        <w:t>10-IMT @ 7.125-15.35 GHz</w:t>
      </w:r>
      <w:r w:rsidRPr="0047540A">
        <w:t>]</w:t>
      </w:r>
      <w:r w:rsidR="006F1D4B" w:rsidRPr="0047540A">
        <w:t xml:space="preserve"> (WRC</w:t>
      </w:r>
      <w:r w:rsidR="006F1D4B" w:rsidRPr="0047540A">
        <w:noBreakHyphen/>
        <w:t>23)</w:t>
      </w:r>
    </w:p>
    <w:p w14:paraId="75892034" w14:textId="0D841146" w:rsidR="001F0B9F" w:rsidRPr="0047540A" w:rsidRDefault="001F0B9F" w:rsidP="00E92560">
      <w:pPr>
        <w:pStyle w:val="Restitle"/>
        <w:rPr>
          <w:rFonts w:eastAsia="SimSun"/>
          <w:kern w:val="2"/>
          <w:lang w:eastAsia="zh-CN"/>
        </w:rPr>
      </w:pPr>
      <w:r w:rsidRPr="0047540A">
        <w:t xml:space="preserve">Studies on </w:t>
      </w:r>
      <w:r w:rsidRPr="0047540A">
        <w:rPr>
          <w:lang w:eastAsia="ko-KR"/>
        </w:rPr>
        <w:t>frequency-related matters</w:t>
      </w:r>
      <w:r w:rsidRPr="0047540A">
        <w:rPr>
          <w:lang w:eastAsia="ja-JP"/>
        </w:rPr>
        <w:t xml:space="preserve"> for IMT identification including possible additional allocations to the mobile services on a primary basis in portion(s) of the frequency range between 7.125</w:t>
      </w:r>
      <w:r w:rsidR="004A69E7" w:rsidRPr="0047540A">
        <w:rPr>
          <w:lang w:eastAsia="ja-JP"/>
        </w:rPr>
        <w:t> </w:t>
      </w:r>
      <w:r w:rsidRPr="0047540A">
        <w:rPr>
          <w:lang w:eastAsia="ja-JP"/>
        </w:rPr>
        <w:t>GHz and 15.35</w:t>
      </w:r>
      <w:r w:rsidR="004A69E7" w:rsidRPr="0047540A">
        <w:rPr>
          <w:lang w:eastAsia="ja-JP"/>
        </w:rPr>
        <w:t> </w:t>
      </w:r>
      <w:r w:rsidRPr="0047540A">
        <w:rPr>
          <w:lang w:eastAsia="ja-JP"/>
        </w:rPr>
        <w:t>GHz for the future development of terrestrial component of IMT for 2030 and beyond</w:t>
      </w:r>
    </w:p>
    <w:p w14:paraId="035262D9" w14:textId="1B5C4FD8" w:rsidR="00403366" w:rsidRPr="0047540A" w:rsidRDefault="00403366" w:rsidP="00231554">
      <w:pPr>
        <w:pStyle w:val="Normalaftertitle"/>
        <w:rPr>
          <w:lang w:eastAsia="nl-NL"/>
        </w:rPr>
      </w:pPr>
      <w:r w:rsidRPr="0047540A">
        <w:rPr>
          <w:lang w:eastAsia="nl-NL"/>
        </w:rPr>
        <w:t xml:space="preserve">The World </w:t>
      </w:r>
      <w:r w:rsidRPr="0047540A">
        <w:t>Radiocommunication</w:t>
      </w:r>
      <w:r w:rsidRPr="0047540A">
        <w:rPr>
          <w:lang w:eastAsia="nl-NL"/>
        </w:rPr>
        <w:t xml:space="preserve"> Conference (</w:t>
      </w:r>
      <w:r w:rsidR="00E92560" w:rsidRPr="0047540A">
        <w:rPr>
          <w:lang w:eastAsia="nl-NL"/>
        </w:rPr>
        <w:t>Dubai</w:t>
      </w:r>
      <w:r w:rsidRPr="0047540A">
        <w:rPr>
          <w:lang w:eastAsia="nl-NL"/>
        </w:rPr>
        <w:t>, 2023),</w:t>
      </w:r>
    </w:p>
    <w:p w14:paraId="0AA6C067" w14:textId="77777777" w:rsidR="00403366" w:rsidRPr="0047540A" w:rsidRDefault="00403366" w:rsidP="00AF2AEB">
      <w:pPr>
        <w:pStyle w:val="Call"/>
      </w:pPr>
      <w:r w:rsidRPr="0047540A">
        <w:t>considering</w:t>
      </w:r>
    </w:p>
    <w:p w14:paraId="3A2FF148" w14:textId="77777777" w:rsidR="00403366" w:rsidRPr="0047540A" w:rsidRDefault="00403366" w:rsidP="00403366">
      <w:r w:rsidRPr="0047540A">
        <w:rPr>
          <w:i/>
          <w:iCs/>
        </w:rPr>
        <w:t>a)</w:t>
      </w:r>
      <w:r w:rsidRPr="0047540A">
        <w:rPr>
          <w:i/>
          <w:iCs/>
        </w:rPr>
        <w:tab/>
      </w:r>
      <w:r w:rsidRPr="0047540A">
        <w:t>that International Mobile Telecommunications (IMT) is intended to provide telecommunication services on a worldwide scale, regardless of location and type of networks or terminals;</w:t>
      </w:r>
    </w:p>
    <w:p w14:paraId="5C483B06" w14:textId="05C9DA65" w:rsidR="00403366" w:rsidRPr="0047540A" w:rsidRDefault="00403366" w:rsidP="00403366">
      <w:pPr>
        <w:rPr>
          <w:lang w:eastAsia="ko-KR"/>
        </w:rPr>
      </w:pPr>
      <w:r w:rsidRPr="0047540A">
        <w:rPr>
          <w:i/>
          <w:iCs/>
          <w:lang w:eastAsia="ko-KR"/>
        </w:rPr>
        <w:t>b</w:t>
      </w:r>
      <w:r w:rsidRPr="0047540A">
        <w:rPr>
          <w:i/>
          <w:iCs/>
        </w:rPr>
        <w:t>)</w:t>
      </w:r>
      <w:r w:rsidRPr="0047540A">
        <w:tab/>
        <w:t xml:space="preserve">that </w:t>
      </w:r>
      <w:r w:rsidRPr="0047540A">
        <w:rPr>
          <w:lang w:eastAsia="ko-KR"/>
        </w:rPr>
        <w:t xml:space="preserve">IMT systems are now being evolved to provide diverse usage scenarios such as [to be clarified </w:t>
      </w:r>
      <w:r w:rsidR="00DE3174" w:rsidRPr="0047540A">
        <w:rPr>
          <w:lang w:eastAsia="ko-KR"/>
        </w:rPr>
        <w:t xml:space="preserve">at a </w:t>
      </w:r>
      <w:r w:rsidRPr="0047540A">
        <w:rPr>
          <w:lang w:eastAsia="ko-KR"/>
        </w:rPr>
        <w:t>later stage based on the progress of studies by WP 5D], and applications including fixed broadband;</w:t>
      </w:r>
    </w:p>
    <w:p w14:paraId="5A0D4AF7" w14:textId="77777777" w:rsidR="00403366" w:rsidRPr="0047540A" w:rsidRDefault="00403366" w:rsidP="00403366">
      <w:pPr>
        <w:rPr>
          <w:i/>
          <w:lang w:eastAsia="ko-KR"/>
        </w:rPr>
      </w:pPr>
      <w:r w:rsidRPr="0047540A">
        <w:rPr>
          <w:i/>
          <w:lang w:eastAsia="ko-KR"/>
        </w:rPr>
        <w:t>c)</w:t>
      </w:r>
      <w:r w:rsidRPr="0047540A">
        <w:rPr>
          <w:i/>
          <w:lang w:eastAsia="ko-KR"/>
        </w:rPr>
        <w:tab/>
      </w:r>
      <w:r w:rsidRPr="0047540A">
        <w:rPr>
          <w:iCs/>
          <w:lang w:eastAsia="ko-KR"/>
        </w:rPr>
        <w:t>the development of IMT for 2030 and beyond is to continue improving quality of life for all and to expand its goals towards societal, environmental, cultural and economic sustainability;</w:t>
      </w:r>
    </w:p>
    <w:p w14:paraId="4B01D440" w14:textId="2F68F234" w:rsidR="00403366" w:rsidRPr="0047540A" w:rsidRDefault="00403366" w:rsidP="00403366">
      <w:pPr>
        <w:rPr>
          <w:iCs/>
          <w:lang w:eastAsia="ko-KR"/>
        </w:rPr>
      </w:pPr>
      <w:r w:rsidRPr="0047540A">
        <w:rPr>
          <w:i/>
          <w:lang w:eastAsia="ko-KR"/>
        </w:rPr>
        <w:t>d)</w:t>
      </w:r>
      <w:r w:rsidRPr="0047540A">
        <w:rPr>
          <w:i/>
          <w:lang w:eastAsia="ko-KR"/>
        </w:rPr>
        <w:tab/>
      </w:r>
      <w:r w:rsidRPr="0047540A">
        <w:rPr>
          <w:iCs/>
          <w:lang w:eastAsia="ko-KR"/>
        </w:rPr>
        <w:t>that some of the frequency bands below 7</w:t>
      </w:r>
      <w:r w:rsidR="00DE3174" w:rsidRPr="0047540A">
        <w:rPr>
          <w:iCs/>
          <w:lang w:eastAsia="ko-KR"/>
        </w:rPr>
        <w:t> </w:t>
      </w:r>
      <w:r w:rsidRPr="0047540A">
        <w:rPr>
          <w:iCs/>
          <w:lang w:eastAsia="ko-KR"/>
        </w:rPr>
        <w:t>125</w:t>
      </w:r>
      <w:r w:rsidR="004A69E7" w:rsidRPr="0047540A">
        <w:rPr>
          <w:iCs/>
          <w:lang w:eastAsia="ko-KR"/>
        </w:rPr>
        <w:t> </w:t>
      </w:r>
      <w:r w:rsidRPr="0047540A">
        <w:rPr>
          <w:iCs/>
          <w:lang w:eastAsia="ko-KR"/>
        </w:rPr>
        <w:t>MHz and between 24.25 and 86</w:t>
      </w:r>
      <w:r w:rsidR="004A69E7" w:rsidRPr="0047540A">
        <w:rPr>
          <w:iCs/>
          <w:lang w:eastAsia="ko-KR"/>
        </w:rPr>
        <w:t> </w:t>
      </w:r>
      <w:r w:rsidRPr="0047540A">
        <w:rPr>
          <w:iCs/>
          <w:lang w:eastAsia="ko-KR"/>
        </w:rPr>
        <w:t>GHz have been studied and identified for IMT in the ITU Radio Regulations</w:t>
      </w:r>
      <w:r w:rsidR="00DE3174" w:rsidRPr="0047540A">
        <w:rPr>
          <w:iCs/>
          <w:lang w:eastAsia="ko-KR"/>
        </w:rPr>
        <w:t xml:space="preserve"> (RR)</w:t>
      </w:r>
      <w:r w:rsidRPr="0047540A">
        <w:rPr>
          <w:iCs/>
          <w:lang w:eastAsia="ko-KR"/>
        </w:rPr>
        <w:t xml:space="preserve"> globally, regionally and/or nationally;</w:t>
      </w:r>
    </w:p>
    <w:p w14:paraId="20387205" w14:textId="76AB139D" w:rsidR="00403366" w:rsidRPr="0047540A" w:rsidRDefault="00403366" w:rsidP="00403366">
      <w:pPr>
        <w:rPr>
          <w:i/>
          <w:lang w:eastAsia="ko-KR"/>
        </w:rPr>
      </w:pPr>
      <w:r w:rsidRPr="0047540A">
        <w:rPr>
          <w:i/>
          <w:lang w:eastAsia="ko-KR"/>
        </w:rPr>
        <w:t>e)</w:t>
      </w:r>
      <w:r w:rsidRPr="0047540A">
        <w:rPr>
          <w:i/>
          <w:lang w:eastAsia="ko-KR"/>
        </w:rPr>
        <w:tab/>
      </w:r>
      <w:r w:rsidRPr="0047540A">
        <w:rPr>
          <w:iCs/>
          <w:lang w:eastAsia="ko-KR"/>
        </w:rPr>
        <w:t xml:space="preserve">the identification of spectrum for IMT </w:t>
      </w:r>
      <w:r w:rsidR="00E92560" w:rsidRPr="0047540A">
        <w:rPr>
          <w:iCs/>
          <w:lang w:eastAsia="ko-KR"/>
        </w:rPr>
        <w:t>–</w:t>
      </w:r>
      <w:r w:rsidRPr="0047540A">
        <w:rPr>
          <w:iCs/>
          <w:lang w:eastAsia="ko-KR"/>
        </w:rPr>
        <w:t xml:space="preserve"> in the RR provides the information not only for the harmonized use of radio spectrum but also for the proper use of radio spectrum for IMT, which enables IMT to achieve sharing and compatibility with other applications and services in the same and/or adjacent frequency bands;</w:t>
      </w:r>
    </w:p>
    <w:p w14:paraId="307AEA55" w14:textId="5D985C2A" w:rsidR="00403366" w:rsidRPr="0047540A" w:rsidRDefault="00403366" w:rsidP="00403366">
      <w:pPr>
        <w:rPr>
          <w:iCs/>
          <w:lang w:eastAsia="ko-KR"/>
        </w:rPr>
      </w:pPr>
      <w:r w:rsidRPr="0047540A">
        <w:rPr>
          <w:i/>
          <w:lang w:eastAsia="ko-KR"/>
        </w:rPr>
        <w:t>f)</w:t>
      </w:r>
      <w:r w:rsidRPr="0047540A">
        <w:rPr>
          <w:i/>
          <w:lang w:eastAsia="ko-KR"/>
        </w:rPr>
        <w:tab/>
      </w:r>
      <w:r w:rsidRPr="0047540A">
        <w:rPr>
          <w:iCs/>
          <w:lang w:eastAsia="ko-KR"/>
        </w:rPr>
        <w:t>that while the frequency bands are identified for IMT, some countries have not been used or not be planned for use by IMT due to different spectrum usage for other applications and services;</w:t>
      </w:r>
    </w:p>
    <w:p w14:paraId="767C816A" w14:textId="77777777" w:rsidR="00403366" w:rsidRPr="0047540A" w:rsidRDefault="00403366" w:rsidP="00403366">
      <w:pPr>
        <w:rPr>
          <w:i/>
          <w:lang w:eastAsia="ko-KR"/>
        </w:rPr>
      </w:pPr>
      <w:r w:rsidRPr="0047540A">
        <w:rPr>
          <w:i/>
          <w:lang w:eastAsia="ko-KR"/>
        </w:rPr>
        <w:t>g)</w:t>
      </w:r>
      <w:r w:rsidRPr="0047540A">
        <w:rPr>
          <w:i/>
          <w:lang w:eastAsia="ko-KR"/>
        </w:rPr>
        <w:tab/>
      </w:r>
      <w:r w:rsidRPr="0047540A">
        <w:rPr>
          <w:iCs/>
          <w:lang w:eastAsia="ko-KR"/>
        </w:rPr>
        <w:t xml:space="preserve">that continuation of studies regarding additional identification for IMT spectrum is needed </w:t>
      </w:r>
      <w:proofErr w:type="gramStart"/>
      <w:r w:rsidRPr="0047540A">
        <w:rPr>
          <w:iCs/>
          <w:lang w:eastAsia="ko-KR"/>
        </w:rPr>
        <w:t>in order to</w:t>
      </w:r>
      <w:proofErr w:type="gramEnd"/>
      <w:r w:rsidRPr="0047540A">
        <w:rPr>
          <w:iCs/>
          <w:lang w:eastAsia="ko-KR"/>
        </w:rPr>
        <w:t xml:space="preserve"> provide proper conditions for a use of IMT, which provide sharing and compatibility with other incumbent applications, and then to give flexibility for administrations to select the frequency bands among those identified bands for IMT;</w:t>
      </w:r>
    </w:p>
    <w:p w14:paraId="217DA4BD" w14:textId="2559D624" w:rsidR="00403366" w:rsidRPr="0047540A" w:rsidRDefault="00403366" w:rsidP="00403366">
      <w:pPr>
        <w:rPr>
          <w:iCs/>
          <w:lang w:eastAsia="ko-KR"/>
        </w:rPr>
      </w:pPr>
      <w:r w:rsidRPr="0047540A">
        <w:rPr>
          <w:i/>
          <w:lang w:eastAsia="ko-KR"/>
        </w:rPr>
        <w:t>h)</w:t>
      </w:r>
      <w:r w:rsidRPr="0047540A">
        <w:rPr>
          <w:i/>
          <w:lang w:eastAsia="ko-KR"/>
        </w:rPr>
        <w:tab/>
      </w:r>
      <w:r w:rsidRPr="0047540A">
        <w:rPr>
          <w:iCs/>
          <w:lang w:eastAsia="ko-KR"/>
        </w:rPr>
        <w:t xml:space="preserve">that at previous WRCs, frequency ranges other than those mentioned in </w:t>
      </w:r>
      <w:r w:rsidRPr="0047540A">
        <w:rPr>
          <w:i/>
          <w:lang w:eastAsia="ko-KR"/>
        </w:rPr>
        <w:t>considering</w:t>
      </w:r>
      <w:r w:rsidR="0053576F" w:rsidRPr="0047540A">
        <w:rPr>
          <w:iCs/>
          <w:lang w:eastAsia="ko-KR"/>
        </w:rPr>
        <w:t> </w:t>
      </w:r>
      <w:r w:rsidRPr="0047540A">
        <w:rPr>
          <w:i/>
          <w:lang w:eastAsia="ko-KR"/>
        </w:rPr>
        <w:t>d)</w:t>
      </w:r>
      <w:r w:rsidRPr="0047540A">
        <w:rPr>
          <w:iCs/>
          <w:lang w:eastAsia="ko-KR"/>
        </w:rPr>
        <w:t xml:space="preserve"> were not thoroughly studied;</w:t>
      </w:r>
    </w:p>
    <w:p w14:paraId="6C25A96B" w14:textId="77777777" w:rsidR="00403366" w:rsidRPr="0047540A" w:rsidRDefault="00403366" w:rsidP="00403366">
      <w:pPr>
        <w:rPr>
          <w:lang w:eastAsia="ko-KR"/>
        </w:rPr>
      </w:pPr>
      <w:r w:rsidRPr="0047540A">
        <w:rPr>
          <w:i/>
          <w:lang w:eastAsia="ko-KR"/>
        </w:rPr>
        <w:t>i)</w:t>
      </w:r>
      <w:r w:rsidRPr="0047540A">
        <w:rPr>
          <w:i/>
          <w:lang w:eastAsia="ko-KR"/>
        </w:rPr>
        <w:tab/>
      </w:r>
      <w:r w:rsidRPr="0047540A">
        <w:rPr>
          <w:lang w:eastAsia="ko-KR"/>
        </w:rPr>
        <w:t>that it may be required to study additional spectrum requirements to meet the gigabit-per-second user data rate, high quality of user experience (QoE) and user demands in dense urban areas and/or in peak times;</w:t>
      </w:r>
    </w:p>
    <w:p w14:paraId="7BE16800" w14:textId="77777777" w:rsidR="00403366" w:rsidRPr="0047540A" w:rsidRDefault="00403366" w:rsidP="00403366">
      <w:pPr>
        <w:rPr>
          <w:lang w:eastAsia="ja-JP"/>
        </w:rPr>
      </w:pPr>
      <w:r w:rsidRPr="0047540A">
        <w:rPr>
          <w:i/>
          <w:iCs/>
          <w:lang w:eastAsia="ja-JP"/>
        </w:rPr>
        <w:t>j)</w:t>
      </w:r>
      <w:r w:rsidRPr="0047540A">
        <w:rPr>
          <w:lang w:eastAsia="ja-JP"/>
        </w:rPr>
        <w:tab/>
        <w:t>that the ITU Radiocommunication Sector has been working on standardization for IMT for 2030 and beyond;</w:t>
      </w:r>
    </w:p>
    <w:p w14:paraId="115FCB34" w14:textId="6E8F1CD5" w:rsidR="00403366" w:rsidRPr="0047540A" w:rsidRDefault="00403366" w:rsidP="00403366">
      <w:r w:rsidRPr="0047540A">
        <w:rPr>
          <w:i/>
          <w:lang w:eastAsia="ko-KR"/>
        </w:rPr>
        <w:t>k</w:t>
      </w:r>
      <w:r w:rsidRPr="0047540A">
        <w:rPr>
          <w:i/>
        </w:rPr>
        <w:t>)</w:t>
      </w:r>
      <w:r w:rsidRPr="0047540A">
        <w:rPr>
          <w:i/>
        </w:rPr>
        <w:tab/>
      </w:r>
      <w:r w:rsidRPr="0047540A">
        <w:t xml:space="preserve">that adequate and timely availability of spectrum and supporting regulatory provisions is essential to support the future development of IMT and to </w:t>
      </w:r>
      <w:r w:rsidRPr="0047540A">
        <w:rPr>
          <w:lang w:eastAsia="ko-KR"/>
        </w:rPr>
        <w:t>realize the objectives in Recommendation ITU</w:t>
      </w:r>
      <w:r w:rsidR="0053576F" w:rsidRPr="0047540A">
        <w:rPr>
          <w:lang w:eastAsia="ko-KR"/>
        </w:rPr>
        <w:noBreakHyphen/>
      </w:r>
      <w:r w:rsidRPr="0047540A">
        <w:rPr>
          <w:lang w:eastAsia="ko-KR"/>
        </w:rPr>
        <w:t>R</w:t>
      </w:r>
      <w:r w:rsidR="0053576F" w:rsidRPr="0047540A">
        <w:rPr>
          <w:lang w:eastAsia="ko-KR"/>
        </w:rPr>
        <w:t> </w:t>
      </w:r>
      <w:r w:rsidRPr="0047540A">
        <w:rPr>
          <w:lang w:eastAsia="ko-KR"/>
        </w:rPr>
        <w:t>M.</w:t>
      </w:r>
      <w:r w:rsidRPr="0047540A">
        <w:rPr>
          <w:rFonts w:eastAsia="Malgun Gothic"/>
          <w:lang w:eastAsia="ko-KR"/>
        </w:rPr>
        <w:t>[IMT.FRAMEWORK FOR 2030 AND BEYOND]</w:t>
      </w:r>
      <w:r w:rsidRPr="0047540A">
        <w:t>;</w:t>
      </w:r>
    </w:p>
    <w:p w14:paraId="23033F77" w14:textId="4BB672DE" w:rsidR="00403366" w:rsidRPr="0047540A" w:rsidRDefault="00E92560" w:rsidP="00403366">
      <w:r w:rsidRPr="0047540A">
        <w:rPr>
          <w:i/>
          <w:color w:val="000000"/>
          <w:lang w:eastAsia="ko-KR"/>
        </w:rPr>
        <w:lastRenderedPageBreak/>
        <w:t>l</w:t>
      </w:r>
      <w:r w:rsidR="00403366" w:rsidRPr="0047540A">
        <w:rPr>
          <w:i/>
          <w:color w:val="000000"/>
        </w:rPr>
        <w:t>)</w:t>
      </w:r>
      <w:r w:rsidR="00403366" w:rsidRPr="0047540A">
        <w:rPr>
          <w:i/>
          <w:color w:val="000000"/>
        </w:rPr>
        <w:tab/>
      </w:r>
      <w:r w:rsidR="00403366" w:rsidRPr="0047540A">
        <w:t xml:space="preserve">that harmonized worldwide frequency bands and harmonized frequency arrangements for IMT are highly desirable </w:t>
      </w:r>
      <w:proofErr w:type="gramStart"/>
      <w:r w:rsidR="00403366" w:rsidRPr="0047540A">
        <w:t>in order to</w:t>
      </w:r>
      <w:proofErr w:type="gramEnd"/>
      <w:r w:rsidR="00403366" w:rsidRPr="0047540A">
        <w:t xml:space="preserve"> achieve global roaming and the benefits of economies of scale;</w:t>
      </w:r>
    </w:p>
    <w:p w14:paraId="4EA68D33" w14:textId="06AF6A39" w:rsidR="00403366" w:rsidRPr="0047540A" w:rsidRDefault="00E92560" w:rsidP="00403366">
      <w:r w:rsidRPr="0047540A">
        <w:rPr>
          <w:i/>
          <w:iCs/>
        </w:rPr>
        <w:t>m</w:t>
      </w:r>
      <w:r w:rsidR="00403366" w:rsidRPr="0047540A">
        <w:rPr>
          <w:i/>
          <w:iCs/>
        </w:rPr>
        <w:t>)</w:t>
      </w:r>
      <w:r w:rsidR="00403366" w:rsidRPr="0047540A">
        <w:tab/>
        <w:t>that identification of additional frequency bands for IMT may change the sharing situation regarding applications of all services to which the frequency band is already allocated, and may require additional regulatory actions;</w:t>
      </w:r>
    </w:p>
    <w:p w14:paraId="6683B69D" w14:textId="6FC7DF12" w:rsidR="00403366" w:rsidRPr="0047540A" w:rsidRDefault="00E92560" w:rsidP="00403366">
      <w:r w:rsidRPr="0047540A">
        <w:rPr>
          <w:i/>
          <w:iCs/>
        </w:rPr>
        <w:t>n</w:t>
      </w:r>
      <w:r w:rsidR="00403366" w:rsidRPr="0047540A">
        <w:rPr>
          <w:i/>
          <w:iCs/>
        </w:rPr>
        <w:t>)</w:t>
      </w:r>
      <w:r w:rsidR="00403366" w:rsidRPr="0047540A">
        <w:tab/>
        <w:t>that IMT has effectively shared the limited spectrum resource with other services and applications through the provisions in the RR;</w:t>
      </w:r>
    </w:p>
    <w:p w14:paraId="6601A41D" w14:textId="786710F1" w:rsidR="00403366" w:rsidRPr="0047540A" w:rsidRDefault="00E92560" w:rsidP="00403366">
      <w:pPr>
        <w:rPr>
          <w:rFonts w:eastAsia="SimSun"/>
          <w:i/>
          <w:iCs/>
          <w:lang w:eastAsia="ko-KR"/>
        </w:rPr>
      </w:pPr>
      <w:r w:rsidRPr="0047540A">
        <w:rPr>
          <w:i/>
          <w:lang w:eastAsia="ko-KR"/>
        </w:rPr>
        <w:t>o</w:t>
      </w:r>
      <w:r w:rsidR="00403366" w:rsidRPr="0047540A">
        <w:rPr>
          <w:rFonts w:eastAsia="MS Mincho"/>
          <w:i/>
          <w:lang w:eastAsia="ja-JP"/>
        </w:rPr>
        <w:t>)</w:t>
      </w:r>
      <w:r w:rsidR="00403366" w:rsidRPr="0047540A">
        <w:rPr>
          <w:rFonts w:eastAsia="MS Mincho"/>
          <w:lang w:eastAsia="ja-JP"/>
        </w:rPr>
        <w:tab/>
        <w:t>the need to protect existing services and to allow for their continued development when considering frequency bands for possible additional allocations to any service,</w:t>
      </w:r>
    </w:p>
    <w:p w14:paraId="27801E69" w14:textId="77777777" w:rsidR="00403366" w:rsidRPr="0047540A" w:rsidRDefault="00403366" w:rsidP="009E1FD0">
      <w:pPr>
        <w:pStyle w:val="Call"/>
      </w:pPr>
      <w:r w:rsidRPr="0047540A">
        <w:t>noting</w:t>
      </w:r>
    </w:p>
    <w:p w14:paraId="791B6ABF" w14:textId="77777777" w:rsidR="00403366" w:rsidRPr="0047540A" w:rsidRDefault="00403366" w:rsidP="009E7F86">
      <w:pPr>
        <w:rPr>
          <w:rFonts w:eastAsia="Batang"/>
        </w:rPr>
      </w:pPr>
      <w:r w:rsidRPr="0047540A">
        <w:rPr>
          <w:rFonts w:eastAsia="Batang"/>
          <w:i/>
        </w:rPr>
        <w:t>a)</w:t>
      </w:r>
      <w:r w:rsidRPr="0047540A">
        <w:rPr>
          <w:rFonts w:eastAsia="Batang"/>
        </w:rPr>
        <w:tab/>
        <w:t>that Resolution ITU</w:t>
      </w:r>
      <w:r w:rsidRPr="0047540A">
        <w:rPr>
          <w:rFonts w:eastAsia="Batang"/>
        </w:rPr>
        <w:noBreakHyphen/>
        <w:t>R 65 addresses the principles for the process of development of IMT for 2030 and beyond;</w:t>
      </w:r>
    </w:p>
    <w:p w14:paraId="2BDB21F7" w14:textId="70923C59" w:rsidR="00403366" w:rsidRPr="0047540A" w:rsidRDefault="00403366" w:rsidP="009E7F86">
      <w:pPr>
        <w:rPr>
          <w:rFonts w:eastAsia="Batang"/>
        </w:rPr>
      </w:pPr>
      <w:r w:rsidRPr="0047540A">
        <w:rPr>
          <w:rFonts w:eastAsia="Batang"/>
          <w:i/>
        </w:rPr>
        <w:t>b)</w:t>
      </w:r>
      <w:r w:rsidRPr="0047540A">
        <w:rPr>
          <w:rFonts w:eastAsia="Batang"/>
        </w:rPr>
        <w:tab/>
        <w:t>that IMT encompasses IMT</w:t>
      </w:r>
      <w:r w:rsidR="0053576F" w:rsidRPr="0047540A">
        <w:rPr>
          <w:rFonts w:eastAsia="Batang"/>
        </w:rPr>
        <w:noBreakHyphen/>
      </w:r>
      <w:r w:rsidRPr="0047540A">
        <w:rPr>
          <w:rFonts w:eastAsia="Batang"/>
        </w:rPr>
        <w:t>2000, IMT</w:t>
      </w:r>
      <w:r w:rsidR="0053576F" w:rsidRPr="0047540A">
        <w:rPr>
          <w:rFonts w:eastAsia="Batang"/>
        </w:rPr>
        <w:noBreakHyphen/>
      </w:r>
      <w:r w:rsidRPr="0047540A">
        <w:rPr>
          <w:rFonts w:eastAsia="Batang"/>
        </w:rPr>
        <w:t>Advanced, IMT</w:t>
      </w:r>
      <w:r w:rsidR="0053576F" w:rsidRPr="0047540A">
        <w:rPr>
          <w:rFonts w:eastAsia="Batang"/>
        </w:rPr>
        <w:noBreakHyphen/>
      </w:r>
      <w:r w:rsidRPr="0047540A">
        <w:rPr>
          <w:rFonts w:eastAsia="Batang"/>
        </w:rPr>
        <w:t>2020 [and IMT</w:t>
      </w:r>
      <w:r w:rsidR="0053576F" w:rsidRPr="0047540A">
        <w:rPr>
          <w:rFonts w:eastAsia="Batang"/>
        </w:rPr>
        <w:noBreakHyphen/>
      </w:r>
      <w:r w:rsidRPr="0047540A">
        <w:rPr>
          <w:rFonts w:eastAsia="Batang"/>
        </w:rPr>
        <w:t>2030] collectively, as described in Resolution ITU</w:t>
      </w:r>
      <w:r w:rsidRPr="0047540A">
        <w:rPr>
          <w:rFonts w:eastAsia="Batang"/>
        </w:rPr>
        <w:noBreakHyphen/>
        <w:t>R 56;</w:t>
      </w:r>
    </w:p>
    <w:p w14:paraId="10B2CEE2" w14:textId="77777777" w:rsidR="00403366" w:rsidRPr="0047540A" w:rsidRDefault="00403366" w:rsidP="00D5138D">
      <w:pPr>
        <w:rPr>
          <w:rFonts w:eastAsia="Batang"/>
        </w:rPr>
      </w:pPr>
      <w:r w:rsidRPr="0047540A">
        <w:rPr>
          <w:rFonts w:eastAsia="Batang"/>
          <w:i/>
        </w:rPr>
        <w:t>c)</w:t>
      </w:r>
      <w:r w:rsidRPr="0047540A">
        <w:rPr>
          <w:rFonts w:eastAsia="Batang"/>
        </w:rPr>
        <w:tab/>
        <w:t>that Question ITU</w:t>
      </w:r>
      <w:r w:rsidRPr="0047540A">
        <w:rPr>
          <w:rFonts w:eastAsia="Batang"/>
        </w:rPr>
        <w:noBreakHyphen/>
        <w:t>R 229/5 seeks to address the further development of IMT;</w:t>
      </w:r>
    </w:p>
    <w:p w14:paraId="36B778E3" w14:textId="64F57F4B" w:rsidR="00403366" w:rsidRPr="0047540A" w:rsidRDefault="00403366" w:rsidP="009E7F86">
      <w:pPr>
        <w:rPr>
          <w:rFonts w:eastAsia="Batang"/>
        </w:rPr>
      </w:pPr>
      <w:r w:rsidRPr="0047540A">
        <w:rPr>
          <w:rFonts w:eastAsia="Batang"/>
          <w:i/>
          <w:iCs/>
        </w:rPr>
        <w:t>d)</w:t>
      </w:r>
      <w:r w:rsidRPr="0047540A">
        <w:rPr>
          <w:rFonts w:eastAsia="Batang"/>
        </w:rPr>
        <w:tab/>
        <w:t>that Question ITU</w:t>
      </w:r>
      <w:r w:rsidRPr="0047540A">
        <w:rPr>
          <w:rFonts w:eastAsia="Batang"/>
        </w:rPr>
        <w:noBreakHyphen/>
        <w:t>R</w:t>
      </w:r>
      <w:r w:rsidR="00D5138D" w:rsidRPr="0047540A">
        <w:rPr>
          <w:rFonts w:eastAsia="Batang"/>
        </w:rPr>
        <w:t> </w:t>
      </w:r>
      <w:r w:rsidRPr="0047540A">
        <w:rPr>
          <w:rFonts w:eastAsia="Batang"/>
        </w:rPr>
        <w:t>262/5 addresses the study of usage of IMT systems for specific applications;</w:t>
      </w:r>
    </w:p>
    <w:p w14:paraId="37A56C90" w14:textId="77777777" w:rsidR="00403366" w:rsidRPr="0047540A" w:rsidRDefault="00403366" w:rsidP="009E7F86">
      <w:pPr>
        <w:rPr>
          <w:rFonts w:eastAsia="Batang"/>
        </w:rPr>
      </w:pPr>
      <w:r w:rsidRPr="0047540A">
        <w:rPr>
          <w:rFonts w:eastAsia="Batang"/>
          <w:i/>
        </w:rPr>
        <w:t>e)</w:t>
      </w:r>
      <w:r w:rsidRPr="0047540A">
        <w:rPr>
          <w:rFonts w:eastAsia="Batang"/>
        </w:rPr>
        <w:tab/>
        <w:t>Recommendation ITU</w:t>
      </w:r>
      <w:r w:rsidRPr="0047540A">
        <w:rPr>
          <w:rFonts w:eastAsia="Batang"/>
        </w:rPr>
        <w:noBreakHyphen/>
        <w:t>R M.</w:t>
      </w:r>
      <w:r w:rsidRPr="0047540A">
        <w:rPr>
          <w:rFonts w:eastAsia="Malgun Gothic"/>
          <w:lang w:eastAsia="ko-KR"/>
        </w:rPr>
        <w:t xml:space="preserve"> [IMT.FRAMEWORK FOR 2030 AND BEYOND]</w:t>
      </w:r>
      <w:r w:rsidRPr="0047540A">
        <w:rPr>
          <w:rFonts w:eastAsia="Batang"/>
        </w:rPr>
        <w:t>, on the framework and objectives of the future development of IMT for 2030 and beyond;</w:t>
      </w:r>
    </w:p>
    <w:p w14:paraId="6042B0D2" w14:textId="77777777" w:rsidR="00403366" w:rsidRPr="0047540A" w:rsidRDefault="00403366" w:rsidP="009E7F86">
      <w:pPr>
        <w:rPr>
          <w:rFonts w:eastAsia="Batang"/>
        </w:rPr>
      </w:pPr>
      <w:r w:rsidRPr="0047540A">
        <w:rPr>
          <w:rFonts w:eastAsia="Batang"/>
          <w:i/>
        </w:rPr>
        <w:t>f)</w:t>
      </w:r>
      <w:r w:rsidRPr="0047540A">
        <w:rPr>
          <w:rFonts w:eastAsia="Batang"/>
        </w:rPr>
        <w:tab/>
        <w:t>that Report ITU</w:t>
      </w:r>
      <w:r w:rsidRPr="0047540A">
        <w:rPr>
          <w:rFonts w:eastAsia="Batang"/>
        </w:rPr>
        <w:noBreakHyphen/>
        <w:t>R M.2516 addresses future technology trends of terrestrial IMT systems;</w:t>
      </w:r>
    </w:p>
    <w:p w14:paraId="79864054" w14:textId="565E14EE" w:rsidR="00403366" w:rsidRPr="0047540A" w:rsidRDefault="00E92560" w:rsidP="009E7F86">
      <w:pPr>
        <w:rPr>
          <w:rFonts w:eastAsia="Batang"/>
        </w:rPr>
      </w:pPr>
      <w:r w:rsidRPr="0047540A">
        <w:rPr>
          <w:i/>
          <w:iCs/>
          <w:lang w:eastAsia="ko-KR"/>
        </w:rPr>
        <w:t>g</w:t>
      </w:r>
      <w:r w:rsidR="00403366" w:rsidRPr="0047540A">
        <w:rPr>
          <w:i/>
          <w:iCs/>
          <w:lang w:eastAsia="ko-KR"/>
        </w:rPr>
        <w:t>)</w:t>
      </w:r>
      <w:r w:rsidR="00403366" w:rsidRPr="0047540A">
        <w:rPr>
          <w:lang w:eastAsia="ko-KR"/>
        </w:rPr>
        <w:t xml:space="preserve"> </w:t>
      </w:r>
      <w:r w:rsidR="00403366" w:rsidRPr="0047540A">
        <w:rPr>
          <w:lang w:eastAsia="ko-KR"/>
        </w:rPr>
        <w:tab/>
        <w:t>Report ITU</w:t>
      </w:r>
      <w:r w:rsidR="0053576F" w:rsidRPr="0047540A">
        <w:rPr>
          <w:lang w:eastAsia="ko-KR"/>
        </w:rPr>
        <w:noBreakHyphen/>
      </w:r>
      <w:r w:rsidR="00403366" w:rsidRPr="0047540A">
        <w:rPr>
          <w:lang w:eastAsia="ko-KR"/>
        </w:rPr>
        <w:t>R</w:t>
      </w:r>
      <w:r w:rsidR="0053576F" w:rsidRPr="0047540A">
        <w:rPr>
          <w:lang w:eastAsia="ko-KR"/>
        </w:rPr>
        <w:t> </w:t>
      </w:r>
      <w:r w:rsidR="00403366" w:rsidRPr="0047540A">
        <w:rPr>
          <w:lang w:eastAsia="ko-KR"/>
        </w:rPr>
        <w:t>M.2376, on technical feasibility of IMT in bands above 6</w:t>
      </w:r>
      <w:r w:rsidR="0053576F" w:rsidRPr="0047540A">
        <w:rPr>
          <w:lang w:eastAsia="ko-KR"/>
        </w:rPr>
        <w:t> </w:t>
      </w:r>
      <w:r w:rsidR="00403366" w:rsidRPr="0047540A">
        <w:rPr>
          <w:lang w:eastAsia="ko-KR"/>
        </w:rPr>
        <w:t>GHz;</w:t>
      </w:r>
    </w:p>
    <w:p w14:paraId="2E5EC0C4" w14:textId="4C538BEB" w:rsidR="00403366" w:rsidRPr="0047540A" w:rsidRDefault="00E92560" w:rsidP="009E7F86">
      <w:pPr>
        <w:rPr>
          <w:rFonts w:eastAsia="Yu Mincho"/>
          <w:i/>
          <w:iCs/>
          <w:lang w:eastAsia="ja-JP"/>
        </w:rPr>
      </w:pPr>
      <w:r w:rsidRPr="0047540A">
        <w:rPr>
          <w:rFonts w:eastAsia="Yu Mincho"/>
          <w:i/>
          <w:iCs/>
          <w:lang w:eastAsia="ja-JP"/>
        </w:rPr>
        <w:t>h</w:t>
      </w:r>
      <w:r w:rsidR="00403366" w:rsidRPr="0047540A">
        <w:rPr>
          <w:rFonts w:eastAsia="Yu Mincho"/>
          <w:i/>
          <w:iCs/>
          <w:lang w:eastAsia="ja-JP"/>
        </w:rPr>
        <w:t>)</w:t>
      </w:r>
      <w:r w:rsidR="00403366" w:rsidRPr="0047540A">
        <w:rPr>
          <w:rFonts w:eastAsia="Yu Mincho"/>
          <w:i/>
          <w:iCs/>
          <w:lang w:eastAsia="ja-JP"/>
        </w:rPr>
        <w:tab/>
      </w:r>
      <w:r w:rsidR="00403366" w:rsidRPr="0047540A">
        <w:rPr>
          <w:rFonts w:eastAsia="MS Mincho"/>
          <w:lang w:eastAsia="ja-JP"/>
        </w:rPr>
        <w:t>that No.</w:t>
      </w:r>
      <w:r w:rsidR="0053576F" w:rsidRPr="0047540A">
        <w:rPr>
          <w:b/>
          <w:bCs/>
        </w:rPr>
        <w:t> </w:t>
      </w:r>
      <w:r w:rsidR="00DE3174" w:rsidRPr="0047540A">
        <w:rPr>
          <w:b/>
          <w:bCs/>
        </w:rPr>
        <w:t>5</w:t>
      </w:r>
      <w:r w:rsidR="00403366" w:rsidRPr="0047540A">
        <w:rPr>
          <w:b/>
          <w:bCs/>
        </w:rPr>
        <w:t>.340</w:t>
      </w:r>
      <w:r w:rsidR="00403366" w:rsidRPr="0047540A">
        <w:t xml:space="preserve"> lists the frequency bands where all emissions are prohibited,</w:t>
      </w:r>
    </w:p>
    <w:p w14:paraId="5787891E" w14:textId="77777777" w:rsidR="00403366" w:rsidRPr="0047540A" w:rsidRDefault="00403366" w:rsidP="009E1FD0">
      <w:pPr>
        <w:pStyle w:val="Call"/>
      </w:pPr>
      <w:r w:rsidRPr="0047540A">
        <w:t>recognizing</w:t>
      </w:r>
    </w:p>
    <w:p w14:paraId="05A43592" w14:textId="77777777" w:rsidR="00403366" w:rsidRPr="0047540A" w:rsidRDefault="00403366" w:rsidP="00D5138D">
      <w:pPr>
        <w:rPr>
          <w:i/>
        </w:rPr>
      </w:pPr>
      <w:r w:rsidRPr="0047540A">
        <w:rPr>
          <w:i/>
        </w:rPr>
        <w:t>a)</w:t>
      </w:r>
      <w:r w:rsidRPr="0047540A">
        <w:rPr>
          <w:i/>
        </w:rPr>
        <w:tab/>
      </w:r>
      <w:r w:rsidRPr="0047540A">
        <w:t>that there is a lead time between the allocation of frequency bands by world radiocommunication conferences and the deployment of systems in those bands, and that timely availability of wide and contiguous blocks of spectrum is therefore important to support the development of IMT;</w:t>
      </w:r>
    </w:p>
    <w:p w14:paraId="07A7C436" w14:textId="77777777" w:rsidR="00403366" w:rsidRPr="0047540A" w:rsidRDefault="00403366" w:rsidP="00403366">
      <w:pPr>
        <w:rPr>
          <w:lang w:eastAsia="ko-KR"/>
        </w:rPr>
      </w:pPr>
      <w:r w:rsidRPr="0047540A">
        <w:rPr>
          <w:i/>
          <w:iCs/>
          <w:lang w:eastAsia="ko-KR"/>
        </w:rPr>
        <w:t>b)</w:t>
      </w:r>
      <w:r w:rsidRPr="0047540A">
        <w:rPr>
          <w:lang w:eastAsia="ko-KR"/>
        </w:rPr>
        <w:tab/>
        <w:t xml:space="preserve">that </w:t>
      </w:r>
      <w:proofErr w:type="gramStart"/>
      <w:r w:rsidRPr="0047540A">
        <w:rPr>
          <w:lang w:eastAsia="ko-KR"/>
        </w:rPr>
        <w:t>in order to</w:t>
      </w:r>
      <w:proofErr w:type="gramEnd"/>
      <w:r w:rsidRPr="0047540A">
        <w:rPr>
          <w:lang w:eastAsia="ko-KR"/>
        </w:rPr>
        <w:t xml:space="preserve"> ensure the future development of IMT it is important to ensure the timely identification of additional spectrum;</w:t>
      </w:r>
    </w:p>
    <w:p w14:paraId="4A1EF880" w14:textId="77777777" w:rsidR="00403366" w:rsidRPr="0047540A" w:rsidRDefault="00403366" w:rsidP="00403366">
      <w:r w:rsidRPr="0047540A">
        <w:rPr>
          <w:i/>
        </w:rPr>
        <w:t>c)</w:t>
      </w:r>
      <w:r w:rsidRPr="0047540A">
        <w:tab/>
        <w:t>the developments in new spectrum sharing techniques including use of Artificial Intelligence, Machine Learning, Integrated Access &amp; Backhaul, Dynamic Spectrum Access, etc.;</w:t>
      </w:r>
    </w:p>
    <w:p w14:paraId="213018C6" w14:textId="076DCA35" w:rsidR="00403366" w:rsidRPr="0047540A" w:rsidRDefault="00403366" w:rsidP="00403366">
      <w:r w:rsidRPr="0047540A">
        <w:rPr>
          <w:i/>
          <w:iCs/>
        </w:rPr>
        <w:t>d)</w:t>
      </w:r>
      <w:r w:rsidRPr="0047540A">
        <w:tab/>
        <w:t xml:space="preserve">that various frequency bands in the </w:t>
      </w:r>
      <w:r w:rsidR="00E92560" w:rsidRPr="0047540A">
        <w:t xml:space="preserve">frequency </w:t>
      </w:r>
      <w:r w:rsidRPr="0047540A">
        <w:t>range 7.125-15.35</w:t>
      </w:r>
      <w:r w:rsidR="0053576F" w:rsidRPr="0047540A">
        <w:t> </w:t>
      </w:r>
      <w:r w:rsidRPr="0047540A">
        <w:t xml:space="preserve">GHz are being used extensively by incumbent services, including </w:t>
      </w:r>
      <w:r w:rsidR="00DE3174" w:rsidRPr="0047540A">
        <w:t>satellite-based</w:t>
      </w:r>
      <w:r w:rsidRPr="0047540A">
        <w:t xml:space="preserve"> services;</w:t>
      </w:r>
    </w:p>
    <w:p w14:paraId="4D332857" w14:textId="77777777" w:rsidR="00403366" w:rsidRPr="0047540A" w:rsidRDefault="00403366" w:rsidP="00403366">
      <w:r w:rsidRPr="0047540A">
        <w:rPr>
          <w:i/>
          <w:iCs/>
        </w:rPr>
        <w:t>e)</w:t>
      </w:r>
      <w:r w:rsidRPr="0047540A">
        <w:tab/>
        <w:t xml:space="preserve">that any identification of frequency bands for IMT should </w:t>
      </w:r>
      <w:proofErr w:type="gramStart"/>
      <w:r w:rsidRPr="0047540A">
        <w:t>take into account</w:t>
      </w:r>
      <w:proofErr w:type="gramEnd"/>
      <w:r w:rsidRPr="0047540A">
        <w:t xml:space="preserve"> the use of the frequency bands by other services and the evolving needs of these services;</w:t>
      </w:r>
    </w:p>
    <w:p w14:paraId="3E9F653A" w14:textId="77777777" w:rsidR="00403366" w:rsidRPr="0047540A" w:rsidRDefault="00403366" w:rsidP="00403366">
      <w:r w:rsidRPr="0047540A">
        <w:rPr>
          <w:i/>
          <w:iCs/>
        </w:rPr>
        <w:t>f)</w:t>
      </w:r>
      <w:r w:rsidRPr="0047540A">
        <w:tab/>
        <w:t>there should be no additional regulatory or technical constraints imposed to services to which the band is currently allocated on a primary basis;</w:t>
      </w:r>
    </w:p>
    <w:p w14:paraId="03FB30D3" w14:textId="7F26445B" w:rsidR="00403366" w:rsidRPr="0047540A" w:rsidRDefault="00403366" w:rsidP="00403366">
      <w:pPr>
        <w:rPr>
          <w:i/>
          <w:iCs/>
        </w:rPr>
      </w:pPr>
      <w:r w:rsidRPr="0047540A">
        <w:rPr>
          <w:i/>
          <w:iCs/>
        </w:rPr>
        <w:lastRenderedPageBreak/>
        <w:t>g)</w:t>
      </w:r>
      <w:r w:rsidRPr="0047540A">
        <w:tab/>
        <w:t xml:space="preserve">that the preamble of the </w:t>
      </w:r>
      <w:r w:rsidR="0047540A" w:rsidRPr="0047540A">
        <w:t>RR</w:t>
      </w:r>
      <w:r w:rsidRPr="0047540A">
        <w:t xml:space="preserve"> provides objectives including:</w:t>
      </w:r>
      <w:r w:rsidRPr="0047540A">
        <w:rPr>
          <w:i/>
          <w:iCs/>
        </w:rPr>
        <w:t xml:space="preserve"> to facilitate the efficient and effective operation of all radiocommunication services; and to provide for and, where necessary, regulate new applications of radiocommunication technology</w:t>
      </w:r>
      <w:r w:rsidRPr="0047540A">
        <w:t>,</w:t>
      </w:r>
    </w:p>
    <w:p w14:paraId="568CBE75" w14:textId="77777777" w:rsidR="00403366" w:rsidRPr="0047540A" w:rsidRDefault="00403366" w:rsidP="009E1FD0">
      <w:pPr>
        <w:pStyle w:val="Call"/>
      </w:pPr>
      <w:r w:rsidRPr="0047540A">
        <w:t>resolves to invite ITU Radiocommunication Sector</w:t>
      </w:r>
    </w:p>
    <w:p w14:paraId="707363FF" w14:textId="77777777" w:rsidR="00403366" w:rsidRPr="0047540A" w:rsidRDefault="00403366" w:rsidP="00403366">
      <w:pPr>
        <w:keepNext/>
      </w:pPr>
      <w:r w:rsidRPr="0047540A">
        <w:t>1</w:t>
      </w:r>
      <w:r w:rsidRPr="0047540A">
        <w:tab/>
        <w:t>to conduct and complete in time for WRC</w:t>
      </w:r>
      <w:r w:rsidRPr="0047540A">
        <w:noBreakHyphen/>
        <w:t xml:space="preserve">27 the appropriate studies of technical, operational and regulatory issues pertaining to the possible use of the terrestrial component of IMT in the frequency bands listed in </w:t>
      </w:r>
      <w:r w:rsidRPr="0047540A">
        <w:rPr>
          <w:i/>
          <w:iCs/>
        </w:rPr>
        <w:t>resolves to invite the ITU Radiocommunication Sector </w:t>
      </w:r>
      <w:r w:rsidRPr="0047540A">
        <w:t xml:space="preserve">2, </w:t>
      </w:r>
      <w:proofErr w:type="gramStart"/>
      <w:r w:rsidRPr="0047540A">
        <w:t>taking into account</w:t>
      </w:r>
      <w:proofErr w:type="gramEnd"/>
      <w:r w:rsidRPr="0047540A">
        <w:t>:</w:t>
      </w:r>
    </w:p>
    <w:p w14:paraId="15D01125" w14:textId="77777777" w:rsidR="00403366" w:rsidRPr="0047540A" w:rsidRDefault="00403366" w:rsidP="00403366">
      <w:pPr>
        <w:tabs>
          <w:tab w:val="left" w:pos="2608"/>
          <w:tab w:val="left" w:pos="3345"/>
        </w:tabs>
        <w:spacing w:before="80"/>
        <w:ind w:left="1134" w:hanging="1134"/>
        <w:rPr>
          <w:lang w:eastAsia="ko-KR"/>
        </w:rPr>
      </w:pPr>
      <w:r w:rsidRPr="0047540A">
        <w:t>–</w:t>
      </w:r>
      <w:r w:rsidRPr="0047540A">
        <w:tab/>
        <w:t>evolving needs to meet emerging service demand;</w:t>
      </w:r>
    </w:p>
    <w:p w14:paraId="6A2E744F" w14:textId="2FCE529E" w:rsidR="00403366" w:rsidRPr="0047540A" w:rsidRDefault="00403366" w:rsidP="00403366">
      <w:pPr>
        <w:tabs>
          <w:tab w:val="left" w:pos="2608"/>
          <w:tab w:val="left" w:pos="3345"/>
        </w:tabs>
        <w:spacing w:before="80"/>
        <w:ind w:left="1134" w:hanging="1134"/>
        <w:rPr>
          <w:lang w:eastAsia="ko-KR"/>
        </w:rPr>
      </w:pPr>
      <w:r w:rsidRPr="0047540A">
        <w:t>–</w:t>
      </w:r>
      <w:r w:rsidRPr="0047540A">
        <w:tab/>
        <w:t xml:space="preserve">situations </w:t>
      </w:r>
      <w:r w:rsidRPr="0047540A">
        <w:rPr>
          <w:rFonts w:eastAsia="MS Mincho"/>
          <w:lang w:eastAsia="ja-JP"/>
        </w:rPr>
        <w:t>with high data traffic demands,</w:t>
      </w:r>
      <w:r w:rsidRPr="0047540A">
        <w:rPr>
          <w:lang w:eastAsia="ko-KR"/>
        </w:rPr>
        <w:t xml:space="preserve"> such as </w:t>
      </w:r>
      <w:r w:rsidRPr="0047540A">
        <w:rPr>
          <w:rFonts w:eastAsia="MS Mincho"/>
          <w:lang w:eastAsia="ja-JP"/>
        </w:rPr>
        <w:t xml:space="preserve">in </w:t>
      </w:r>
      <w:r w:rsidRPr="0047540A">
        <w:rPr>
          <w:lang w:eastAsia="ko-KR"/>
        </w:rPr>
        <w:t>dense</w:t>
      </w:r>
      <w:r w:rsidRPr="0047540A">
        <w:rPr>
          <w:rFonts w:eastAsia="MS Mincho"/>
          <w:lang w:eastAsia="ja-JP"/>
        </w:rPr>
        <w:t xml:space="preserve"> urban</w:t>
      </w:r>
      <w:r w:rsidRPr="0047540A">
        <w:rPr>
          <w:lang w:eastAsia="ko-KR"/>
        </w:rPr>
        <w:t xml:space="preserve"> area</w:t>
      </w:r>
      <w:r w:rsidRPr="0047540A">
        <w:rPr>
          <w:rFonts w:eastAsia="MS Mincho"/>
          <w:lang w:eastAsia="ja-JP"/>
        </w:rPr>
        <w:t>s and/</w:t>
      </w:r>
      <w:r w:rsidRPr="0047540A">
        <w:rPr>
          <w:lang w:eastAsia="ko-KR"/>
        </w:rPr>
        <w:t>or in peak times;</w:t>
      </w:r>
    </w:p>
    <w:p w14:paraId="1330D990" w14:textId="77777777" w:rsidR="00403366" w:rsidRPr="0047540A" w:rsidRDefault="00403366" w:rsidP="00403366">
      <w:pPr>
        <w:tabs>
          <w:tab w:val="left" w:pos="2608"/>
          <w:tab w:val="left" w:pos="3345"/>
        </w:tabs>
        <w:spacing w:before="80"/>
        <w:ind w:left="1134" w:hanging="1134"/>
      </w:pPr>
      <w:r w:rsidRPr="0047540A">
        <w:t>–</w:t>
      </w:r>
      <w:r w:rsidRPr="0047540A">
        <w:tab/>
        <w:t>technical and operational characteristics of IMT systems</w:t>
      </w:r>
      <w:r w:rsidRPr="0047540A">
        <w:rPr>
          <w:lang w:eastAsia="ja-JP"/>
        </w:rPr>
        <w:t xml:space="preserve"> </w:t>
      </w:r>
      <w:r w:rsidRPr="0047540A">
        <w:t>that would operate in these specific frequency bands, including the evolution of IMT through advances in technology and enabling technique;</w:t>
      </w:r>
    </w:p>
    <w:p w14:paraId="54171B24" w14:textId="77777777" w:rsidR="00403366" w:rsidRPr="0047540A" w:rsidRDefault="00403366" w:rsidP="00403366">
      <w:pPr>
        <w:tabs>
          <w:tab w:val="left" w:pos="2608"/>
          <w:tab w:val="left" w:pos="3345"/>
        </w:tabs>
        <w:spacing w:before="80"/>
        <w:ind w:left="1134" w:hanging="1134"/>
      </w:pPr>
      <w:r w:rsidRPr="0047540A">
        <w:t>–</w:t>
      </w:r>
      <w:r w:rsidRPr="0047540A">
        <w:tab/>
        <w:t>the deployment scenarios envisaged for IMT systems and the related requirements of balanced coverage and capacity;</w:t>
      </w:r>
    </w:p>
    <w:p w14:paraId="157905E7" w14:textId="77777777" w:rsidR="00403366" w:rsidRPr="0047540A" w:rsidRDefault="00403366" w:rsidP="00403366">
      <w:pPr>
        <w:tabs>
          <w:tab w:val="left" w:pos="2608"/>
          <w:tab w:val="left" w:pos="3345"/>
        </w:tabs>
        <w:spacing w:before="80"/>
        <w:ind w:left="1134" w:hanging="1134"/>
      </w:pPr>
      <w:r w:rsidRPr="0047540A">
        <w:t>–</w:t>
      </w:r>
      <w:r w:rsidRPr="0047540A">
        <w:tab/>
        <w:t>the time-frame in which spectrum would be needed;</w:t>
      </w:r>
    </w:p>
    <w:p w14:paraId="5EE42FE1" w14:textId="77777777" w:rsidR="00403366" w:rsidRPr="0047540A" w:rsidRDefault="00403366" w:rsidP="00403366">
      <w:pPr>
        <w:rPr>
          <w:iCs/>
        </w:rPr>
      </w:pPr>
      <w:bookmarkStart w:id="9" w:name="_Hlk24364466"/>
      <w:r w:rsidRPr="0047540A">
        <w:rPr>
          <w:iCs/>
        </w:rPr>
        <w:t>2</w:t>
      </w:r>
      <w:r w:rsidRPr="0047540A">
        <w:rPr>
          <w:iCs/>
        </w:rPr>
        <w:tab/>
        <w:t>to conduct and complete in time for WRC</w:t>
      </w:r>
      <w:r w:rsidRPr="0047540A">
        <w:rPr>
          <w:iCs/>
        </w:rPr>
        <w:noBreakHyphen/>
        <w:t>27 the sharing and compatibility studies</w:t>
      </w:r>
      <w:r w:rsidRPr="0047540A">
        <w:rPr>
          <w:iCs/>
          <w:vertAlign w:val="superscript"/>
        </w:rPr>
        <w:footnoteReference w:customMarkFollows="1" w:id="2"/>
        <w:t>1</w:t>
      </w:r>
      <w:r w:rsidRPr="0047540A">
        <w:rPr>
          <w:iCs/>
        </w:rPr>
        <w:t>, with a view to ensuring the protection of services to which the</w:t>
      </w:r>
      <w:r w:rsidRPr="0047540A">
        <w:t xml:space="preserve"> frequency</w:t>
      </w:r>
      <w:r w:rsidRPr="0047540A">
        <w:rPr>
          <w:iCs/>
        </w:rPr>
        <w:t xml:space="preserve"> band is allocated on a primary basis</w:t>
      </w:r>
      <w:r w:rsidRPr="0047540A">
        <w:t>,</w:t>
      </w:r>
      <w:r w:rsidRPr="0047540A">
        <w:rPr>
          <w:iCs/>
        </w:rPr>
        <w:t xml:space="preserve"> without imposing additional regulatory or technical constraints on those services, </w:t>
      </w:r>
      <w:proofErr w:type="gramStart"/>
      <w:r w:rsidRPr="0047540A">
        <w:rPr>
          <w:iCs/>
        </w:rPr>
        <w:t>and also</w:t>
      </w:r>
      <w:proofErr w:type="gramEnd"/>
      <w:r w:rsidRPr="0047540A">
        <w:rPr>
          <w:iCs/>
        </w:rPr>
        <w:t xml:space="preserve">, </w:t>
      </w:r>
      <w:r w:rsidRPr="0047540A">
        <w:t>as appropriate, on services in adjacent bands,</w:t>
      </w:r>
      <w:r w:rsidRPr="0047540A">
        <w:rPr>
          <w:iCs/>
        </w:rPr>
        <w:t xml:space="preserve"> for the frequency bands:</w:t>
      </w:r>
    </w:p>
    <w:bookmarkEnd w:id="9"/>
    <w:p w14:paraId="730DB715" w14:textId="7D6982AE" w:rsidR="00403366" w:rsidRPr="0047540A" w:rsidRDefault="00403366" w:rsidP="0047540A">
      <w:pPr>
        <w:pStyle w:val="enumlev1"/>
      </w:pPr>
      <w:r w:rsidRPr="0047540A">
        <w:t>–</w:t>
      </w:r>
      <w:r w:rsidRPr="0047540A">
        <w:tab/>
      </w:r>
      <w:r w:rsidR="0047540A" w:rsidRPr="0047540A">
        <w:t xml:space="preserve">portions </w:t>
      </w:r>
      <w:r w:rsidRPr="0047540A">
        <w:t>of the frequency range 7</w:t>
      </w:r>
      <w:r w:rsidR="0047540A" w:rsidRPr="0047540A">
        <w:t> </w:t>
      </w:r>
      <w:r w:rsidRPr="0047540A">
        <w:t>125-8</w:t>
      </w:r>
      <w:r w:rsidR="0047540A" w:rsidRPr="0047540A">
        <w:t> </w:t>
      </w:r>
      <w:r w:rsidRPr="0047540A">
        <w:t>500</w:t>
      </w:r>
      <w:r w:rsidR="0053576F" w:rsidRPr="0047540A">
        <w:t> </w:t>
      </w:r>
      <w:r w:rsidRPr="0047540A">
        <w:t>MHz;</w:t>
      </w:r>
    </w:p>
    <w:p w14:paraId="7035937E" w14:textId="0F1880DE" w:rsidR="00403366" w:rsidRPr="0047540A" w:rsidRDefault="00403366" w:rsidP="0047540A">
      <w:pPr>
        <w:pStyle w:val="enumlev1"/>
      </w:pPr>
      <w:r w:rsidRPr="0047540A">
        <w:t>–</w:t>
      </w:r>
      <w:r w:rsidRPr="0047540A">
        <w:tab/>
      </w:r>
      <w:r w:rsidR="0047540A" w:rsidRPr="0047540A">
        <w:t xml:space="preserve">portions </w:t>
      </w:r>
      <w:r w:rsidRPr="0047540A">
        <w:t>of the frequency range 8</w:t>
      </w:r>
      <w:r w:rsidR="0047540A" w:rsidRPr="0047540A">
        <w:t> </w:t>
      </w:r>
      <w:r w:rsidRPr="0047540A">
        <w:t>500-10</w:t>
      </w:r>
      <w:r w:rsidR="0047540A" w:rsidRPr="0047540A">
        <w:t> </w:t>
      </w:r>
      <w:r w:rsidRPr="0047540A">
        <w:t>000</w:t>
      </w:r>
      <w:r w:rsidR="0053576F" w:rsidRPr="0047540A">
        <w:t> </w:t>
      </w:r>
      <w:r w:rsidRPr="0047540A">
        <w:t>MHz, some of which may require additional allocations to the mobile service on a primary basis;</w:t>
      </w:r>
    </w:p>
    <w:p w14:paraId="52683425" w14:textId="78E6F58A" w:rsidR="00403366" w:rsidRPr="0047540A" w:rsidRDefault="00403366" w:rsidP="0047540A">
      <w:pPr>
        <w:pStyle w:val="enumlev1"/>
      </w:pPr>
      <w:r w:rsidRPr="0047540A">
        <w:t>–</w:t>
      </w:r>
      <w:r w:rsidRPr="0047540A">
        <w:tab/>
        <w:t>12.75-13.25</w:t>
      </w:r>
      <w:r w:rsidR="0053576F" w:rsidRPr="0047540A">
        <w:t> </w:t>
      </w:r>
      <w:r w:rsidRPr="0047540A">
        <w:t>GHz;</w:t>
      </w:r>
    </w:p>
    <w:p w14:paraId="02A55486" w14:textId="2E7BA95B" w:rsidR="00403366" w:rsidRPr="0047540A" w:rsidRDefault="00403366" w:rsidP="0047540A">
      <w:pPr>
        <w:pStyle w:val="enumlev1"/>
      </w:pPr>
      <w:r w:rsidRPr="0047540A">
        <w:t>–</w:t>
      </w:r>
      <w:r w:rsidRPr="0047540A">
        <w:tab/>
        <w:t>13.25-14.3</w:t>
      </w:r>
      <w:r w:rsidR="0053576F" w:rsidRPr="0047540A">
        <w:t> </w:t>
      </w:r>
      <w:r w:rsidRPr="0047540A">
        <w:t>GHz, some of which may require additional allocations to the mobile service on a primary basis;</w:t>
      </w:r>
    </w:p>
    <w:p w14:paraId="1BA84D6F" w14:textId="43696DDB" w:rsidR="00403366" w:rsidRPr="0047540A" w:rsidRDefault="00403366" w:rsidP="0047540A">
      <w:pPr>
        <w:pStyle w:val="enumlev1"/>
      </w:pPr>
      <w:r w:rsidRPr="0047540A">
        <w:t>–</w:t>
      </w:r>
      <w:r w:rsidRPr="0047540A">
        <w:tab/>
        <w:t>14.5-15.35</w:t>
      </w:r>
      <w:r w:rsidR="0053576F" w:rsidRPr="0047540A">
        <w:t> </w:t>
      </w:r>
      <w:r w:rsidRPr="0047540A">
        <w:t>GHz</w:t>
      </w:r>
      <w:r w:rsidR="00E92560" w:rsidRPr="0047540A">
        <w:t>,</w:t>
      </w:r>
    </w:p>
    <w:p w14:paraId="22AF4A02" w14:textId="77777777" w:rsidR="00403366" w:rsidRPr="0047540A" w:rsidRDefault="00403366" w:rsidP="009E1FD0">
      <w:pPr>
        <w:pStyle w:val="Call"/>
        <w:rPr>
          <w:rFonts w:eastAsia="Batang"/>
        </w:rPr>
      </w:pPr>
      <w:r w:rsidRPr="0047540A">
        <w:rPr>
          <w:rFonts w:eastAsia="Batang"/>
        </w:rPr>
        <w:t>resolves</w:t>
      </w:r>
    </w:p>
    <w:p w14:paraId="39B6FF6D" w14:textId="77777777" w:rsidR="00403366" w:rsidRPr="0047540A" w:rsidRDefault="00403366" w:rsidP="00906FA1">
      <w:pPr>
        <w:rPr>
          <w:rFonts w:eastAsia="Batang"/>
        </w:rPr>
      </w:pPr>
      <w:r w:rsidRPr="0047540A">
        <w:rPr>
          <w:rFonts w:eastAsia="Batang"/>
        </w:rPr>
        <w:t>1</w:t>
      </w:r>
      <w:r w:rsidRPr="0047540A">
        <w:rPr>
          <w:rFonts w:eastAsia="Batang"/>
        </w:rPr>
        <w:tab/>
        <w:t>to invite the first session of the Conference Preparatory Meeting for WRC</w:t>
      </w:r>
      <w:r w:rsidRPr="0047540A">
        <w:rPr>
          <w:rFonts w:eastAsia="Batang"/>
        </w:rPr>
        <w:noBreakHyphen/>
        <w:t xml:space="preserve">27 to define the date by which technical and operational characteristics needed for sharing and compatibility studies are to be available to ensure that studies referred to in </w:t>
      </w:r>
      <w:r w:rsidRPr="0047540A">
        <w:rPr>
          <w:rFonts w:eastAsia="Batang"/>
          <w:i/>
        </w:rPr>
        <w:t>resolves to invite the ITU Radiocommunication Sector</w:t>
      </w:r>
      <w:r w:rsidRPr="0047540A">
        <w:rPr>
          <w:rFonts w:eastAsia="Batang"/>
        </w:rPr>
        <w:t xml:space="preserve"> can be completed in time for consideration at WRC</w:t>
      </w:r>
      <w:r w:rsidRPr="0047540A">
        <w:rPr>
          <w:rFonts w:eastAsia="Batang"/>
        </w:rPr>
        <w:noBreakHyphen/>
        <w:t>27;</w:t>
      </w:r>
    </w:p>
    <w:p w14:paraId="3C71C420" w14:textId="77777777" w:rsidR="00403366" w:rsidRPr="0047540A" w:rsidRDefault="00403366" w:rsidP="00906FA1">
      <w:pPr>
        <w:rPr>
          <w:rFonts w:eastAsia="Batang"/>
        </w:rPr>
      </w:pPr>
      <w:r w:rsidRPr="0047540A">
        <w:rPr>
          <w:rFonts w:eastAsia="Batang"/>
        </w:rPr>
        <w:t>2</w:t>
      </w:r>
      <w:r w:rsidRPr="0047540A">
        <w:rPr>
          <w:rFonts w:eastAsia="Batang"/>
        </w:rPr>
        <w:tab/>
        <w:t>to invite WRC</w:t>
      </w:r>
      <w:r w:rsidRPr="0047540A">
        <w:rPr>
          <w:rFonts w:eastAsia="Batang"/>
        </w:rPr>
        <w:noBreakHyphen/>
        <w:t xml:space="preserve">27 to consider, based on the results of the above studies, additional spectrum allocations to the mobile service on a primary basis and to consider identification of frequency bands for the terrestrial component of IMT, the frequency bands to be considered being limited to part or </w:t>
      </w:r>
      <w:proofErr w:type="gramStart"/>
      <w:r w:rsidRPr="0047540A">
        <w:rPr>
          <w:rFonts w:eastAsia="Batang"/>
        </w:rPr>
        <w:t>all of</w:t>
      </w:r>
      <w:proofErr w:type="gramEnd"/>
      <w:r w:rsidRPr="0047540A">
        <w:rPr>
          <w:rFonts w:eastAsia="Batang"/>
        </w:rPr>
        <w:t xml:space="preserve"> the frequency bands listed in </w:t>
      </w:r>
      <w:r w:rsidRPr="0047540A">
        <w:rPr>
          <w:rFonts w:eastAsia="Batang"/>
          <w:i/>
          <w:iCs/>
        </w:rPr>
        <w:t>resolves to invite the ITU Radiocommunication Sector </w:t>
      </w:r>
      <w:r w:rsidRPr="0047540A">
        <w:rPr>
          <w:rFonts w:eastAsia="Batang"/>
        </w:rPr>
        <w:t>2,</w:t>
      </w:r>
    </w:p>
    <w:p w14:paraId="737DDD0F" w14:textId="77777777" w:rsidR="00403366" w:rsidRPr="0047540A" w:rsidRDefault="00403366" w:rsidP="00403366">
      <w:pPr>
        <w:pStyle w:val="Call"/>
      </w:pPr>
      <w:r w:rsidRPr="0047540A">
        <w:t>invites administrations</w:t>
      </w:r>
    </w:p>
    <w:p w14:paraId="3E9675B2" w14:textId="77777777" w:rsidR="00403366" w:rsidRPr="0047540A" w:rsidRDefault="00403366" w:rsidP="00403366">
      <w:r w:rsidRPr="0047540A">
        <w:t>to participate actively in these studies by submitting contributions to the ITU Radiocommunication Sector.</w:t>
      </w:r>
    </w:p>
    <w:p w14:paraId="2D2E0136" w14:textId="77777777" w:rsidR="00403366" w:rsidRPr="0047540A" w:rsidRDefault="00403366" w:rsidP="00FE6588">
      <w:pPr>
        <w:pStyle w:val="Call"/>
        <w:rPr>
          <w:lang w:eastAsia="nl-NL"/>
        </w:rPr>
      </w:pPr>
      <w:r w:rsidRPr="0047540A">
        <w:rPr>
          <w:lang w:eastAsia="nl-NL"/>
        </w:rPr>
        <w:lastRenderedPageBreak/>
        <w:t xml:space="preserve">encourages </w:t>
      </w:r>
      <w:r w:rsidRPr="0047540A">
        <w:rPr>
          <w:lang w:eastAsia="zh-CN"/>
        </w:rPr>
        <w:t>Member States, Sector Members, Academia, and Associates</w:t>
      </w:r>
    </w:p>
    <w:p w14:paraId="58F13C66" w14:textId="77777777" w:rsidR="00403366" w:rsidRPr="0047540A" w:rsidRDefault="00403366" w:rsidP="00403366">
      <w:pPr>
        <w:rPr>
          <w:lang w:eastAsia="nl-NL"/>
        </w:rPr>
      </w:pPr>
      <w:r w:rsidRPr="0047540A">
        <w:rPr>
          <w:lang w:eastAsia="nl-NL"/>
        </w:rPr>
        <w:t>to participate in the studies by submitting contributions to ITU</w:t>
      </w:r>
      <w:r w:rsidRPr="0047540A">
        <w:rPr>
          <w:lang w:eastAsia="nl-NL"/>
        </w:rPr>
        <w:noBreakHyphen/>
        <w:t>R.</w:t>
      </w:r>
    </w:p>
    <w:p w14:paraId="23191C13" w14:textId="1DE5AE99" w:rsidR="004615E2" w:rsidRPr="0047540A" w:rsidRDefault="00E92560" w:rsidP="00C73CAF">
      <w:pPr>
        <w:pStyle w:val="Reasons"/>
        <w:rPr>
          <w:rFonts w:eastAsia="MS Mincho"/>
          <w:lang w:eastAsia="ja-JP"/>
        </w:rPr>
      </w:pPr>
      <w:r w:rsidRPr="0047540A">
        <w:rPr>
          <w:b/>
          <w:bCs/>
        </w:rPr>
        <w:t>Reasons:</w:t>
      </w:r>
      <w:r w:rsidRPr="0047540A">
        <w:tab/>
      </w:r>
      <w:r w:rsidR="004615E2" w:rsidRPr="0047540A">
        <w:rPr>
          <w:rFonts w:eastAsia="MS Mincho"/>
          <w:lang w:eastAsia="ja-JP"/>
        </w:rPr>
        <w:t xml:space="preserve">There is a significant gap of time between the identification of frequency bands for </w:t>
      </w:r>
      <w:r w:rsidR="004615E2" w:rsidRPr="0047540A">
        <w:t xml:space="preserve">terrestrial component of </w:t>
      </w:r>
      <w:r w:rsidR="004615E2" w:rsidRPr="0047540A">
        <w:rPr>
          <w:rFonts w:eastAsia="MS Mincho"/>
          <w:lang w:eastAsia="ja-JP"/>
        </w:rPr>
        <w:t xml:space="preserve">IMT in the Radio Regulations and the implementation and deployment of IMT systems in those bands. There are robust demands to access new spectrum for </w:t>
      </w:r>
      <w:r w:rsidR="004615E2" w:rsidRPr="0047540A">
        <w:t xml:space="preserve">terrestrial component of </w:t>
      </w:r>
      <w:r w:rsidR="004615E2" w:rsidRPr="0047540A">
        <w:rPr>
          <w:rFonts w:eastAsia="MS Mincho"/>
          <w:lang w:eastAsia="ja-JP"/>
        </w:rPr>
        <w:t xml:space="preserve">IMT. </w:t>
      </w:r>
      <w:r w:rsidR="004615E2" w:rsidRPr="0047540A">
        <w:rPr>
          <w:rFonts w:cs="Arial"/>
        </w:rPr>
        <w:t>The availability of wide and contiguous bandwidth of spectrum is important to support the development of IMT as well as the growth of traffic in IMT networks.</w:t>
      </w:r>
      <w:r w:rsidR="004615E2" w:rsidRPr="0047540A">
        <w:rPr>
          <w:rFonts w:eastAsia="MS Mincho"/>
          <w:lang w:eastAsia="ja-JP"/>
        </w:rPr>
        <w:t xml:space="preserve"> </w:t>
      </w:r>
      <w:r w:rsidR="00FE6588" w:rsidRPr="0047540A">
        <w:rPr>
          <w:rFonts w:eastAsia="MS Mincho"/>
          <w:lang w:eastAsia="ja-JP"/>
        </w:rPr>
        <w:br/>
      </w:r>
      <w:r w:rsidR="004615E2" w:rsidRPr="0047540A">
        <w:rPr>
          <w:rFonts w:eastAsia="MS Mincho"/>
          <w:lang w:eastAsia="ja-JP"/>
        </w:rPr>
        <w:t>Therefore, frequency</w:t>
      </w:r>
      <w:r w:rsidR="004615E2" w:rsidRPr="0047540A">
        <w:t xml:space="preserve"> bands studied within Resolution</w:t>
      </w:r>
      <w:r w:rsidR="0053576F" w:rsidRPr="0047540A">
        <w:t> </w:t>
      </w:r>
      <w:r w:rsidR="004615E2" w:rsidRPr="0047540A">
        <w:rPr>
          <w:b/>
          <w:bCs/>
        </w:rPr>
        <w:t>[AI</w:t>
      </w:r>
      <w:r w:rsidRPr="0047540A">
        <w:rPr>
          <w:b/>
          <w:bCs/>
        </w:rPr>
        <w:t xml:space="preserve"> </w:t>
      </w:r>
      <w:r w:rsidR="004615E2" w:rsidRPr="0047540A">
        <w:rPr>
          <w:b/>
          <w:bCs/>
        </w:rPr>
        <w:t>10</w:t>
      </w:r>
      <w:r w:rsidR="004615E2" w:rsidRPr="0047540A">
        <w:rPr>
          <w:b/>
          <w:bCs/>
        </w:rPr>
        <w:noBreakHyphen/>
        <w:t>IMT @7.125-15.35 GHz]</w:t>
      </w:r>
      <w:r w:rsidR="004615E2" w:rsidRPr="0047540A">
        <w:t xml:space="preserve"> </w:t>
      </w:r>
      <w:r w:rsidR="004615E2" w:rsidRPr="0047540A">
        <w:rPr>
          <w:b/>
          <w:bCs/>
        </w:rPr>
        <w:t>(WRC</w:t>
      </w:r>
      <w:r w:rsidR="004615E2" w:rsidRPr="0047540A">
        <w:rPr>
          <w:b/>
          <w:bCs/>
        </w:rPr>
        <w:noBreakHyphen/>
        <w:t>23)</w:t>
      </w:r>
      <w:r w:rsidR="004615E2" w:rsidRPr="0047540A">
        <w:t xml:space="preserve"> could support both coverage and capacity demands of</w:t>
      </w:r>
      <w:r w:rsidR="004615E2" w:rsidRPr="0047540A">
        <w:rPr>
          <w:rFonts w:eastAsia="MS Mincho"/>
          <w:lang w:eastAsia="ja-JP"/>
        </w:rPr>
        <w:t xml:space="preserve"> IMT</w:t>
      </w:r>
      <w:r w:rsidR="0053576F" w:rsidRPr="0047540A">
        <w:rPr>
          <w:rFonts w:eastAsia="MS Mincho"/>
          <w:lang w:eastAsia="ja-JP"/>
        </w:rPr>
        <w:noBreakHyphen/>
      </w:r>
      <w:r w:rsidR="004615E2" w:rsidRPr="0047540A">
        <w:rPr>
          <w:rFonts w:eastAsia="MS Mincho"/>
          <w:lang w:eastAsia="ja-JP"/>
        </w:rPr>
        <w:t>030, while considering the need to protect existing services and to allow for their continued development.</w:t>
      </w:r>
    </w:p>
    <w:p w14:paraId="49CA536D" w14:textId="54662F9C" w:rsidR="004615E2" w:rsidRPr="0047540A" w:rsidRDefault="004615E2">
      <w:pPr>
        <w:tabs>
          <w:tab w:val="clear" w:pos="1134"/>
          <w:tab w:val="clear" w:pos="1871"/>
          <w:tab w:val="clear" w:pos="2268"/>
        </w:tabs>
        <w:overflowPunct/>
        <w:autoSpaceDE/>
        <w:autoSpaceDN/>
        <w:adjustRightInd/>
        <w:spacing w:before="0"/>
        <w:textAlignment w:val="auto"/>
      </w:pPr>
      <w:r w:rsidRPr="0047540A">
        <w:br w:type="page"/>
      </w:r>
    </w:p>
    <w:p w14:paraId="111F086A" w14:textId="77777777" w:rsidR="00243A53" w:rsidRPr="0047540A" w:rsidRDefault="00243A53" w:rsidP="00243A53">
      <w:pPr>
        <w:pStyle w:val="AnnexNo"/>
      </w:pPr>
      <w:r w:rsidRPr="0047540A">
        <w:lastRenderedPageBreak/>
        <w:t>ANNEX</w:t>
      </w:r>
    </w:p>
    <w:p w14:paraId="6E9283C1" w14:textId="77777777" w:rsidR="00243A53" w:rsidRPr="0047540A" w:rsidRDefault="00243A53" w:rsidP="00243A53">
      <w:pPr>
        <w:pStyle w:val="Annextitle"/>
      </w:pPr>
      <w:r w:rsidRPr="0047540A">
        <w:t>Proposal for WRC</w:t>
      </w:r>
      <w:r w:rsidRPr="0047540A">
        <w:noBreakHyphen/>
        <w:t xml:space="preserve">27 agenda item for identification of </w:t>
      </w:r>
      <w:r w:rsidRPr="0047540A">
        <w:br/>
        <w:t>new frequency bands for IMT</w:t>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243A53" w:rsidRPr="0047540A" w14:paraId="2D04ADC9" w14:textId="77777777" w:rsidTr="008F33BA">
        <w:tc>
          <w:tcPr>
            <w:tcW w:w="9317" w:type="dxa"/>
            <w:gridSpan w:val="2"/>
            <w:tcBorders>
              <w:top w:val="nil"/>
              <w:bottom w:val="nil"/>
            </w:tcBorders>
          </w:tcPr>
          <w:p w14:paraId="038F56E1" w14:textId="33FDA0F6" w:rsidR="00243A53" w:rsidRPr="0047540A" w:rsidRDefault="00243A53" w:rsidP="008F33BA">
            <w:pPr>
              <w:spacing w:beforeLines="50" w:afterLines="50" w:after="120"/>
              <w:rPr>
                <w:rFonts w:eastAsia="MS Mincho"/>
                <w:kern w:val="2"/>
                <w:lang w:eastAsia="ja-JP"/>
              </w:rPr>
            </w:pPr>
            <w:r w:rsidRPr="0047540A">
              <w:rPr>
                <w:rFonts w:eastAsia="MS Gothic"/>
                <w:b/>
                <w:bCs/>
                <w:i/>
                <w:iCs/>
                <w:kern w:val="2"/>
              </w:rPr>
              <w:t xml:space="preserve">Subject: </w:t>
            </w:r>
            <w:r w:rsidRPr="0047540A">
              <w:rPr>
                <w:rFonts w:eastAsia="MS Mincho"/>
                <w:kern w:val="2"/>
                <w:lang w:eastAsia="ja-JP"/>
              </w:rPr>
              <w:t>Proposal for a new WRC-27 agenda item to consider identification of specific frequency bands in the frequency range 7.125</w:t>
            </w:r>
            <w:r w:rsidR="00E92560" w:rsidRPr="0047540A">
              <w:rPr>
                <w:rFonts w:eastAsia="MS Mincho"/>
                <w:kern w:val="2"/>
                <w:lang w:eastAsia="ja-JP"/>
              </w:rPr>
              <w:t>-</w:t>
            </w:r>
            <w:r w:rsidRPr="0047540A">
              <w:rPr>
                <w:rFonts w:eastAsia="MS Mincho"/>
                <w:kern w:val="2"/>
                <w:lang w:eastAsia="ja-JP"/>
              </w:rPr>
              <w:t>15.35 GHz for International Mobile Telecommunications (IMT)</w:t>
            </w:r>
          </w:p>
        </w:tc>
      </w:tr>
      <w:tr w:rsidR="00243A53" w:rsidRPr="0047540A" w14:paraId="393B3F63" w14:textId="77777777" w:rsidTr="008F33BA">
        <w:tc>
          <w:tcPr>
            <w:tcW w:w="9317" w:type="dxa"/>
            <w:gridSpan w:val="2"/>
            <w:tcBorders>
              <w:top w:val="nil"/>
            </w:tcBorders>
          </w:tcPr>
          <w:p w14:paraId="278BCCC4" w14:textId="77777777" w:rsidR="00243A53" w:rsidRPr="0047540A" w:rsidRDefault="00243A53" w:rsidP="008F33BA">
            <w:pPr>
              <w:spacing w:beforeLines="50" w:afterLines="50" w:after="120"/>
              <w:rPr>
                <w:rFonts w:eastAsia="MS Gothic"/>
                <w:b/>
                <w:bCs/>
                <w:kern w:val="2"/>
              </w:rPr>
            </w:pPr>
            <w:r w:rsidRPr="0047540A">
              <w:rPr>
                <w:rFonts w:eastAsia="MS Gothic"/>
                <w:b/>
                <w:bCs/>
                <w:i/>
                <w:kern w:val="2"/>
              </w:rPr>
              <w:t xml:space="preserve">Origin: </w:t>
            </w:r>
            <w:r w:rsidRPr="0047540A">
              <w:rPr>
                <w:lang w:eastAsia="ko-KR"/>
              </w:rPr>
              <w:t xml:space="preserve">Lao (People's Democratic Republic) and </w:t>
            </w:r>
            <w:r w:rsidRPr="0047540A">
              <w:rPr>
                <w:rFonts w:eastAsia="MS Mincho"/>
                <w:kern w:val="2"/>
                <w:lang w:eastAsia="ja-JP"/>
              </w:rPr>
              <w:t>Viet Nam (Socialist Republic of)</w:t>
            </w:r>
          </w:p>
        </w:tc>
      </w:tr>
      <w:tr w:rsidR="00243A53" w:rsidRPr="0047540A" w14:paraId="31B0F237" w14:textId="77777777" w:rsidTr="008F33BA">
        <w:tc>
          <w:tcPr>
            <w:tcW w:w="9317" w:type="dxa"/>
            <w:gridSpan w:val="2"/>
          </w:tcPr>
          <w:p w14:paraId="30FB9E0B" w14:textId="77777777" w:rsidR="00243A53" w:rsidRPr="0047540A" w:rsidRDefault="00243A53" w:rsidP="008F33BA">
            <w:pPr>
              <w:spacing w:beforeLines="50" w:afterLines="50" w:after="120"/>
              <w:rPr>
                <w:rFonts w:eastAsia="MS Gothic"/>
                <w:b/>
                <w:bCs/>
                <w:i/>
                <w:iCs/>
                <w:kern w:val="2"/>
                <w:lang w:eastAsia="ja-JP"/>
              </w:rPr>
            </w:pPr>
            <w:r w:rsidRPr="0047540A">
              <w:rPr>
                <w:rFonts w:eastAsia="MS Gothic"/>
                <w:b/>
                <w:bCs/>
                <w:i/>
                <w:iCs/>
                <w:kern w:val="2"/>
              </w:rPr>
              <w:t>Proposal:</w:t>
            </w:r>
          </w:p>
          <w:p w14:paraId="3FEAE71C" w14:textId="2A9C87DC" w:rsidR="00243A53" w:rsidRPr="0047540A" w:rsidRDefault="00E92560" w:rsidP="008F33BA">
            <w:pPr>
              <w:spacing w:beforeLines="50" w:afterLines="50" w:after="120"/>
              <w:rPr>
                <w:rFonts w:eastAsia="SimSun"/>
                <w:i/>
                <w:kern w:val="2"/>
                <w:lang w:eastAsia="ko-KR"/>
              </w:rPr>
            </w:pPr>
            <w:r w:rsidRPr="0047540A">
              <w:rPr>
                <w:rFonts w:eastAsia="MS Mincho"/>
                <w:kern w:val="2"/>
                <w:lang w:eastAsia="ja-JP"/>
              </w:rPr>
              <w:t xml:space="preserve">to </w:t>
            </w:r>
            <w:r w:rsidR="00243A53" w:rsidRPr="0047540A">
              <w:rPr>
                <w:rFonts w:eastAsia="MS Mincho"/>
                <w:kern w:val="2"/>
                <w:lang w:eastAsia="ja-JP"/>
              </w:rPr>
              <w:t xml:space="preserve">consider identification of specific frequency bands in the frequency range </w:t>
            </w:r>
            <w:bookmarkStart w:id="10" w:name="_Hlk127896341"/>
            <w:r w:rsidR="00243A53" w:rsidRPr="0047540A">
              <w:rPr>
                <w:rFonts w:eastAsia="MS Mincho"/>
                <w:kern w:val="2"/>
                <w:lang w:eastAsia="ja-JP"/>
              </w:rPr>
              <w:t>7.125-15.35</w:t>
            </w:r>
            <w:r w:rsidR="004E0373" w:rsidRPr="0047540A">
              <w:rPr>
                <w:rFonts w:eastAsia="MS Mincho"/>
                <w:kern w:val="2"/>
                <w:lang w:eastAsia="ja-JP"/>
              </w:rPr>
              <w:t> </w:t>
            </w:r>
            <w:r w:rsidR="00243A53" w:rsidRPr="0047540A">
              <w:rPr>
                <w:rFonts w:eastAsia="MS Mincho"/>
                <w:kern w:val="2"/>
                <w:lang w:eastAsia="ja-JP"/>
              </w:rPr>
              <w:t xml:space="preserve">GHz </w:t>
            </w:r>
            <w:bookmarkEnd w:id="10"/>
            <w:r w:rsidR="00243A53" w:rsidRPr="0047540A">
              <w:rPr>
                <w:rFonts w:eastAsia="MS Mincho"/>
                <w:kern w:val="2"/>
                <w:lang w:eastAsia="ja-JP"/>
              </w:rPr>
              <w:t>for International Mobile Telecommunications (IMT), in accordance with Resolution</w:t>
            </w:r>
            <w:r w:rsidR="0053576F" w:rsidRPr="0047540A">
              <w:rPr>
                <w:rFonts w:eastAsia="MS Mincho"/>
                <w:kern w:val="2"/>
                <w:lang w:eastAsia="ja-JP"/>
              </w:rPr>
              <w:t> </w:t>
            </w:r>
            <w:r w:rsidR="00243A53" w:rsidRPr="0047540A">
              <w:rPr>
                <w:rFonts w:eastAsia="MS Mincho"/>
                <w:b/>
                <w:bCs/>
                <w:kern w:val="2"/>
                <w:lang w:eastAsia="ja-JP"/>
              </w:rPr>
              <w:t>[AI</w:t>
            </w:r>
            <w:r w:rsidRPr="0047540A">
              <w:rPr>
                <w:rFonts w:eastAsia="MS Mincho"/>
                <w:b/>
                <w:bCs/>
                <w:kern w:val="2"/>
                <w:lang w:eastAsia="ja-JP"/>
              </w:rPr>
              <w:t xml:space="preserve"> </w:t>
            </w:r>
            <w:r w:rsidR="00243A53" w:rsidRPr="0047540A">
              <w:rPr>
                <w:rFonts w:eastAsia="MS Mincho"/>
                <w:b/>
                <w:bCs/>
                <w:kern w:val="2"/>
                <w:lang w:eastAsia="ja-JP"/>
              </w:rPr>
              <w:t xml:space="preserve">10-IMT </w:t>
            </w:r>
            <w:r w:rsidR="00DC2944" w:rsidRPr="0047540A">
              <w:rPr>
                <w:rFonts w:eastAsia="MS Mincho"/>
                <w:b/>
                <w:bCs/>
                <w:kern w:val="2"/>
                <w:lang w:eastAsia="ja-JP"/>
              </w:rPr>
              <w:t xml:space="preserve">@ </w:t>
            </w:r>
            <w:r w:rsidR="00243A53" w:rsidRPr="0047540A">
              <w:rPr>
                <w:rFonts w:eastAsia="MS Mincho"/>
                <w:b/>
                <w:bCs/>
                <w:kern w:val="2"/>
                <w:lang w:eastAsia="ja-JP"/>
              </w:rPr>
              <w:t>7.125-15.35</w:t>
            </w:r>
            <w:r w:rsidR="0053576F" w:rsidRPr="0047540A">
              <w:rPr>
                <w:rFonts w:eastAsia="MS Mincho"/>
                <w:b/>
                <w:bCs/>
                <w:kern w:val="2"/>
                <w:lang w:eastAsia="ja-JP"/>
              </w:rPr>
              <w:t> </w:t>
            </w:r>
            <w:r w:rsidR="00243A53" w:rsidRPr="0047540A">
              <w:rPr>
                <w:rFonts w:eastAsia="MS Mincho"/>
                <w:b/>
                <w:bCs/>
                <w:kern w:val="2"/>
                <w:lang w:eastAsia="ja-JP"/>
              </w:rPr>
              <w:t>GHz] (WRC</w:t>
            </w:r>
            <w:r w:rsidR="0053576F" w:rsidRPr="0047540A">
              <w:rPr>
                <w:rFonts w:eastAsia="MS Mincho"/>
                <w:b/>
                <w:bCs/>
                <w:kern w:val="2"/>
                <w:lang w:eastAsia="ja-JP"/>
              </w:rPr>
              <w:noBreakHyphen/>
            </w:r>
            <w:r w:rsidR="00243A53" w:rsidRPr="0047540A">
              <w:rPr>
                <w:rFonts w:eastAsia="MS Mincho"/>
                <w:b/>
                <w:bCs/>
                <w:kern w:val="2"/>
                <w:lang w:eastAsia="ja-JP"/>
              </w:rPr>
              <w:t>23)</w:t>
            </w:r>
            <w:r w:rsidR="00243A53" w:rsidRPr="0047540A">
              <w:rPr>
                <w:rFonts w:eastAsia="MS Mincho"/>
                <w:kern w:val="2"/>
                <w:lang w:eastAsia="ja-JP"/>
              </w:rPr>
              <w:t>;</w:t>
            </w:r>
          </w:p>
        </w:tc>
      </w:tr>
      <w:tr w:rsidR="00243A53" w:rsidRPr="0047540A" w14:paraId="6CF87527" w14:textId="77777777" w:rsidTr="008F33BA">
        <w:tc>
          <w:tcPr>
            <w:tcW w:w="9317" w:type="dxa"/>
            <w:gridSpan w:val="2"/>
          </w:tcPr>
          <w:p w14:paraId="6C490809" w14:textId="77777777" w:rsidR="00243A53" w:rsidRPr="0047540A" w:rsidRDefault="00243A53" w:rsidP="008F33BA">
            <w:pPr>
              <w:spacing w:beforeLines="50" w:afterLines="50" w:after="120"/>
              <w:rPr>
                <w:rFonts w:eastAsia="SimSun"/>
                <w:kern w:val="2"/>
                <w:lang w:eastAsia="ko-KR"/>
              </w:rPr>
            </w:pPr>
            <w:r w:rsidRPr="0047540A">
              <w:rPr>
                <w:rFonts w:eastAsia="MS Gothic"/>
                <w:b/>
                <w:bCs/>
                <w:i/>
                <w:iCs/>
                <w:kern w:val="2"/>
                <w:lang w:eastAsia="ko-KR"/>
              </w:rPr>
              <w:t>Background/</w:t>
            </w:r>
            <w:r w:rsidRPr="0047540A">
              <w:rPr>
                <w:rFonts w:eastAsia="MS Gothic"/>
                <w:b/>
                <w:bCs/>
                <w:i/>
                <w:iCs/>
                <w:kern w:val="2"/>
                <w:lang w:eastAsia="ja-JP"/>
              </w:rPr>
              <w:t>r</w:t>
            </w:r>
            <w:r w:rsidRPr="0047540A">
              <w:rPr>
                <w:rFonts w:eastAsia="MS Gothic"/>
                <w:b/>
                <w:bCs/>
                <w:i/>
                <w:iCs/>
                <w:kern w:val="2"/>
                <w:lang w:eastAsia="ko-KR"/>
              </w:rPr>
              <w:t>eason:</w:t>
            </w:r>
          </w:p>
          <w:p w14:paraId="48C63C3A" w14:textId="77777777" w:rsidR="00243A53" w:rsidRPr="0047540A" w:rsidRDefault="00243A53" w:rsidP="008F33BA">
            <w:pPr>
              <w:spacing w:after="120"/>
              <w:rPr>
                <w:rFonts w:eastAsia="MS Mincho"/>
                <w:kern w:val="2"/>
                <w:lang w:eastAsia="ja-JP"/>
              </w:rPr>
            </w:pPr>
            <w:r w:rsidRPr="0047540A">
              <w:rPr>
                <w:rFonts w:eastAsia="MS Mincho"/>
                <w:kern w:val="2"/>
                <w:lang w:eastAsia="ja-JP"/>
              </w:rPr>
              <w:t xml:space="preserve">Since ITU initiated the studies on IMT in 1985, IMT has evolved not only for providing the international mobile telecommunications but also for supporting the development of various industry sectors. Furthermore, IMT will </w:t>
            </w:r>
            <w:r w:rsidRPr="0047540A">
              <w:t>be an important enabler of achieving the UN Sustainable Development Goals (SDGs) and societal, economic, environmental, and cultural development.</w:t>
            </w:r>
          </w:p>
          <w:p w14:paraId="780159C1" w14:textId="77777777" w:rsidR="00243A53" w:rsidRPr="0047540A" w:rsidRDefault="00243A53" w:rsidP="008F33BA">
            <w:pPr>
              <w:spacing w:after="120"/>
              <w:rPr>
                <w:rFonts w:eastAsia="Malgun Gothic"/>
                <w:kern w:val="2"/>
                <w:lang w:eastAsia="ko-KR"/>
              </w:rPr>
            </w:pPr>
            <w:r w:rsidRPr="0047540A">
              <w:rPr>
                <w:rFonts w:eastAsia="Malgun Gothic"/>
                <w:kern w:val="2"/>
                <w:lang w:eastAsia="ko-KR"/>
              </w:rPr>
              <w:t xml:space="preserve">The evolution of IMT has been facilitated through the identification of the frequency bands for IMT in the ITU Radio Regulations (RR). In the early stage of the identification of IMT spectrum, global harmonized use of IMT was the main purpose. However, it is now well recognized that the identification of IMT spectrum is also associated with the information on proper conditions regarding how IMT could share the frequency bands with other incumbent services through the provisions in the RR. </w:t>
            </w:r>
          </w:p>
          <w:p w14:paraId="66DD3566" w14:textId="77777777" w:rsidR="00243A53" w:rsidRPr="0047540A" w:rsidRDefault="00243A53" w:rsidP="008F33BA">
            <w:pPr>
              <w:spacing w:after="120"/>
              <w:rPr>
                <w:rFonts w:eastAsia="Malgun Gothic"/>
                <w:kern w:val="2"/>
                <w:lang w:eastAsia="ko-KR"/>
              </w:rPr>
            </w:pPr>
            <w:r w:rsidRPr="0047540A">
              <w:rPr>
                <w:rFonts w:eastAsia="Malgun Gothic"/>
                <w:kern w:val="2"/>
                <w:lang w:eastAsia="ko-KR"/>
              </w:rPr>
              <w:t>These provisions in the RR gives flexibility for Members to use the identified IMT frequency bands in accordance with their own national spectrum policies.</w:t>
            </w:r>
          </w:p>
          <w:p w14:paraId="4F5686A9" w14:textId="77777777" w:rsidR="00243A53" w:rsidRPr="0047540A" w:rsidRDefault="00243A53" w:rsidP="008F33BA">
            <w:pPr>
              <w:spacing w:after="120"/>
              <w:rPr>
                <w:rFonts w:eastAsia="Malgun Gothic"/>
                <w:kern w:val="2"/>
                <w:lang w:eastAsia="ko-KR"/>
              </w:rPr>
            </w:pPr>
            <w:r w:rsidRPr="0047540A">
              <w:rPr>
                <w:rFonts w:eastAsia="Malgun Gothic"/>
                <w:kern w:val="2"/>
                <w:lang w:eastAsia="ko-KR"/>
              </w:rPr>
              <w:t xml:space="preserve">Considering the enlargement of usage scenario of IMT, the development of technology which also enables the sharing of the frequency bands with other incumbent services and IMT identification for the proper use of IMT, ITU (collectively of Members) should continue exploring new identification of IMT spectrum in order not only to keep providing a way of efficient use of spectrum but also to assist Members to use/select those identified frequency bands for IMT according to their own national spectrum policies. </w:t>
            </w:r>
          </w:p>
          <w:p w14:paraId="4578DDDB" w14:textId="77777777" w:rsidR="00243A53" w:rsidRPr="0047540A" w:rsidRDefault="00243A53" w:rsidP="008F33BA">
            <w:pPr>
              <w:spacing w:after="120"/>
              <w:rPr>
                <w:rFonts w:eastAsia="Malgun Gothic"/>
                <w:kern w:val="2"/>
                <w:lang w:eastAsia="ko-KR"/>
              </w:rPr>
            </w:pPr>
            <w:r w:rsidRPr="0047540A">
              <w:rPr>
                <w:rFonts w:eastAsia="Malgun Gothic"/>
                <w:kern w:val="2"/>
                <w:lang w:eastAsia="ko-KR"/>
              </w:rPr>
              <w:t xml:space="preserve">At the past WRCs, while the frequency ranges below 7.125 GHz and between 24.25 GHz and 86 GHz were extensively discussed for IMT, other frequency ranges were not thoroughly studied. Therefore, it would be useful to study some specific frequency bands for IMT from the frequency ranges that were not fully studied previously considering the needs for IMT to provide </w:t>
            </w:r>
            <w:r w:rsidRPr="0047540A">
              <w:rPr>
                <w:rFonts w:eastAsia="MS Mincho"/>
                <w:kern w:val="2"/>
                <w:lang w:eastAsia="ja-JP"/>
              </w:rPr>
              <w:t>broadband capacity together with a certain level of coverage</w:t>
            </w:r>
            <w:r w:rsidRPr="0047540A">
              <w:rPr>
                <w:rFonts w:eastAsia="Malgun Gothic"/>
                <w:kern w:val="2"/>
                <w:lang w:eastAsia="ko-KR"/>
              </w:rPr>
              <w:t>.</w:t>
            </w:r>
            <w:r w:rsidRPr="0047540A">
              <w:rPr>
                <w:rFonts w:eastAsia="MS Mincho"/>
                <w:kern w:val="2"/>
                <w:lang w:eastAsia="ja-JP"/>
              </w:rPr>
              <w:t xml:space="preserve"> As an example, one country started an examination of the 12.7 GHz frequency band for next-generation wireless services, including 5G (IMT-2020), 6G (IMT-2030), and beyond</w:t>
            </w:r>
            <w:r w:rsidRPr="0047540A">
              <w:rPr>
                <w:rFonts w:eastAsia="MS Mincho"/>
                <w:kern w:val="2"/>
                <w:vertAlign w:val="superscript"/>
                <w:lang w:eastAsia="ja-JP"/>
              </w:rPr>
              <w:footnoteReference w:id="3"/>
            </w:r>
            <w:r w:rsidRPr="0047540A">
              <w:rPr>
                <w:rFonts w:eastAsia="MS Mincho"/>
                <w:kern w:val="2"/>
                <w:lang w:eastAsia="ja-JP"/>
              </w:rPr>
              <w:t xml:space="preserve">. For this study, it is essential to keep in mind that there were some reasons why some of these frequency ranges were not </w:t>
            </w:r>
            <w:r w:rsidRPr="0047540A">
              <w:rPr>
                <w:rFonts w:eastAsia="MS Mincho"/>
                <w:kern w:val="2"/>
                <w:lang w:eastAsia="ja-JP"/>
              </w:rPr>
              <w:lastRenderedPageBreak/>
              <w:t>considered for IMT at the past WRCs, such as heavy use of spectrum by the incumbent services and requirements of their protection and their future development.</w:t>
            </w:r>
          </w:p>
          <w:p w14:paraId="48E3F9F1" w14:textId="77777777" w:rsidR="00243A53" w:rsidRPr="0047540A" w:rsidRDefault="00243A53" w:rsidP="008F33BA">
            <w:pPr>
              <w:spacing w:after="120"/>
              <w:rPr>
                <w:rFonts w:eastAsia="MS Mincho"/>
                <w:kern w:val="2"/>
                <w:lang w:eastAsia="ja-JP"/>
              </w:rPr>
            </w:pPr>
            <w:r w:rsidRPr="0047540A">
              <w:rPr>
                <w:rFonts w:eastAsia="MS Mincho"/>
                <w:kern w:val="2"/>
                <w:lang w:eastAsia="ja-JP"/>
              </w:rPr>
              <w:t>There is a significant gap of time between the identification of frequency bands for IMT in the ITU Radio Regulations and the implementation and deployment of IMT systems in those bands. Therefore, timely identification of IMT spectrum in the ITU Radio Regulations is important to support the development of IMT, while considering the need to protect existing services and to allow for their continued development.</w:t>
            </w:r>
          </w:p>
        </w:tc>
      </w:tr>
      <w:tr w:rsidR="00243A53" w:rsidRPr="0047540A" w14:paraId="499C81CB" w14:textId="77777777" w:rsidTr="008F33BA">
        <w:tc>
          <w:tcPr>
            <w:tcW w:w="9317" w:type="dxa"/>
            <w:gridSpan w:val="2"/>
          </w:tcPr>
          <w:p w14:paraId="12B35ADF" w14:textId="354E86B1" w:rsidR="00243A53" w:rsidRPr="0047540A" w:rsidRDefault="00243A53" w:rsidP="008F33BA">
            <w:pPr>
              <w:spacing w:beforeLines="50" w:afterLines="50" w:after="120"/>
              <w:rPr>
                <w:rFonts w:eastAsia="SimSun"/>
                <w:kern w:val="2"/>
                <w:lang w:eastAsia="zh-CN"/>
              </w:rPr>
            </w:pPr>
            <w:r w:rsidRPr="0047540A">
              <w:rPr>
                <w:rFonts w:eastAsia="MS Gothic"/>
                <w:b/>
                <w:bCs/>
                <w:i/>
                <w:iCs/>
                <w:kern w:val="2"/>
              </w:rPr>
              <w:lastRenderedPageBreak/>
              <w:t>Radio</w:t>
            </w:r>
            <w:r w:rsidRPr="0047540A">
              <w:rPr>
                <w:rFonts w:eastAsia="MS Gothic"/>
                <w:b/>
                <w:bCs/>
                <w:i/>
                <w:iCs/>
                <w:kern w:val="2"/>
                <w:lang w:eastAsia="ja-JP"/>
              </w:rPr>
              <w:t>communication</w:t>
            </w:r>
            <w:r w:rsidRPr="0047540A">
              <w:rPr>
                <w:rFonts w:eastAsia="MS Gothic"/>
                <w:b/>
                <w:bCs/>
                <w:i/>
                <w:iCs/>
                <w:kern w:val="2"/>
              </w:rPr>
              <w:t xml:space="preserve"> Services concerned:</w:t>
            </w:r>
          </w:p>
          <w:p w14:paraId="05B1E0AD" w14:textId="77777777" w:rsidR="00243A53" w:rsidRPr="0047540A" w:rsidRDefault="00243A53" w:rsidP="00E92560">
            <w:pPr>
              <w:pStyle w:val="enumlev1"/>
            </w:pPr>
            <w:r w:rsidRPr="0047540A">
              <w:t>–</w:t>
            </w:r>
            <w:r w:rsidRPr="0047540A">
              <w:tab/>
              <w:t>Portions of the frequency range 7 125-8 500 MHz;</w:t>
            </w:r>
          </w:p>
          <w:p w14:paraId="14050127" w14:textId="77777777" w:rsidR="00243A53" w:rsidRPr="0047540A" w:rsidRDefault="00243A53" w:rsidP="00E92560">
            <w:pPr>
              <w:pStyle w:val="enumlev1"/>
            </w:pPr>
            <w:r w:rsidRPr="0047540A">
              <w:t>–</w:t>
            </w:r>
            <w:r w:rsidRPr="0047540A">
              <w:tab/>
              <w:t>Portions of the frequency range 8 500-10 000 MHz, some of which may require additional allocations to the mobile service on a primary basis;</w:t>
            </w:r>
          </w:p>
          <w:p w14:paraId="1F09E067" w14:textId="77777777" w:rsidR="00243A53" w:rsidRPr="0047540A" w:rsidRDefault="00243A53" w:rsidP="00E92560">
            <w:pPr>
              <w:pStyle w:val="enumlev1"/>
            </w:pPr>
            <w:r w:rsidRPr="0047540A">
              <w:t>–</w:t>
            </w:r>
            <w:r w:rsidRPr="0047540A">
              <w:tab/>
              <w:t>12.75-13.25 GHz;</w:t>
            </w:r>
          </w:p>
          <w:p w14:paraId="58F2A1D7" w14:textId="77777777" w:rsidR="00243A53" w:rsidRPr="0047540A" w:rsidRDefault="00243A53" w:rsidP="00E92560">
            <w:pPr>
              <w:pStyle w:val="enumlev1"/>
            </w:pPr>
            <w:r w:rsidRPr="0047540A">
              <w:t>–</w:t>
            </w:r>
            <w:r w:rsidRPr="0047540A">
              <w:tab/>
              <w:t>13.25-14.3 GHz;</w:t>
            </w:r>
          </w:p>
          <w:p w14:paraId="7A0915F6" w14:textId="421A734F" w:rsidR="00243A53" w:rsidRPr="0047540A" w:rsidRDefault="00243A53" w:rsidP="00E92560">
            <w:pPr>
              <w:pStyle w:val="enumlev1"/>
            </w:pPr>
            <w:r w:rsidRPr="0047540A">
              <w:t>–</w:t>
            </w:r>
            <w:r w:rsidRPr="0047540A">
              <w:tab/>
              <w:t>14.5-15.35 GHz;</w:t>
            </w:r>
          </w:p>
        </w:tc>
      </w:tr>
      <w:tr w:rsidR="00243A53" w:rsidRPr="0047540A" w14:paraId="1DD210F4" w14:textId="77777777" w:rsidTr="008F33BA">
        <w:trPr>
          <w:trHeight w:val="941"/>
        </w:trPr>
        <w:tc>
          <w:tcPr>
            <w:tcW w:w="9317" w:type="dxa"/>
            <w:gridSpan w:val="2"/>
          </w:tcPr>
          <w:p w14:paraId="142C134E" w14:textId="77777777" w:rsidR="00243A53" w:rsidRPr="0047540A" w:rsidRDefault="00243A53" w:rsidP="008F33BA">
            <w:pPr>
              <w:spacing w:beforeLines="50" w:afterLines="50" w:after="120"/>
              <w:rPr>
                <w:rFonts w:eastAsia="MS Gothic"/>
                <w:b/>
                <w:bCs/>
                <w:i/>
                <w:iCs/>
                <w:kern w:val="2"/>
              </w:rPr>
            </w:pPr>
            <w:r w:rsidRPr="0047540A">
              <w:rPr>
                <w:rFonts w:eastAsia="MS Gothic"/>
                <w:b/>
                <w:bCs/>
                <w:i/>
                <w:iCs/>
                <w:kern w:val="2"/>
              </w:rPr>
              <w:t xml:space="preserve">Indication of possible difficulties: </w:t>
            </w:r>
          </w:p>
          <w:p w14:paraId="79ED408B" w14:textId="77777777" w:rsidR="00243A53" w:rsidRPr="0047540A" w:rsidRDefault="00243A53" w:rsidP="008F33BA">
            <w:pPr>
              <w:rPr>
                <w:rFonts w:eastAsia="Yu Mincho"/>
                <w:bCs/>
                <w:i/>
                <w:iCs/>
                <w:kern w:val="2"/>
                <w:lang w:eastAsia="ja-JP"/>
              </w:rPr>
            </w:pPr>
            <w:r w:rsidRPr="0047540A">
              <w:rPr>
                <w:rFonts w:eastAsia="SimSun"/>
                <w:kern w:val="2"/>
                <w:lang w:eastAsia="ko-KR"/>
              </w:rPr>
              <w:t>The proposed frequency bands are widely used for other services on a co-primary basis.</w:t>
            </w:r>
          </w:p>
        </w:tc>
      </w:tr>
      <w:tr w:rsidR="00243A53" w:rsidRPr="0047540A" w14:paraId="275E58C5" w14:textId="77777777" w:rsidTr="008F33BA">
        <w:tc>
          <w:tcPr>
            <w:tcW w:w="9317" w:type="dxa"/>
            <w:gridSpan w:val="2"/>
          </w:tcPr>
          <w:p w14:paraId="1EE12F3E" w14:textId="77777777" w:rsidR="00243A53" w:rsidRPr="0047540A" w:rsidRDefault="00243A53" w:rsidP="008F33BA">
            <w:pPr>
              <w:spacing w:beforeLines="50" w:afterLines="50" w:after="120"/>
              <w:rPr>
                <w:rFonts w:eastAsia="MS Gothic"/>
                <w:kern w:val="2"/>
                <w:lang w:eastAsia="ja-JP"/>
              </w:rPr>
            </w:pPr>
            <w:r w:rsidRPr="0047540A">
              <w:rPr>
                <w:rFonts w:eastAsia="MS Gothic"/>
                <w:b/>
                <w:bCs/>
                <w:i/>
                <w:iCs/>
                <w:kern w:val="2"/>
              </w:rPr>
              <w:t>Previous/ongoing studies on the issue:</w:t>
            </w:r>
          </w:p>
          <w:p w14:paraId="3FDE25C1" w14:textId="77777777" w:rsidR="00243A53" w:rsidRPr="0047540A" w:rsidRDefault="00243A53" w:rsidP="008F33BA">
            <w:pPr>
              <w:spacing w:beforeLines="50" w:afterLines="50" w:after="120"/>
              <w:rPr>
                <w:rFonts w:eastAsia="Malgun Gothic"/>
                <w:lang w:eastAsia="ko-KR"/>
              </w:rPr>
            </w:pPr>
            <w:r w:rsidRPr="0047540A">
              <w:rPr>
                <w:rFonts w:eastAsia="Malgun Gothic"/>
                <w:lang w:eastAsia="ko-KR"/>
              </w:rPr>
              <w:t>The following studies have been initiated and are now ongoing in ITU-R Working Party 5D:</w:t>
            </w:r>
          </w:p>
          <w:p w14:paraId="485B3AD9" w14:textId="7C4963BC" w:rsidR="00243A53" w:rsidRPr="0047540A" w:rsidRDefault="00E92560" w:rsidP="00E92560">
            <w:pPr>
              <w:pStyle w:val="enumlev1"/>
              <w:rPr>
                <w:rFonts w:eastAsia="MS PMincho"/>
                <w:kern w:val="2"/>
                <w:lang w:eastAsia="ja-JP"/>
              </w:rPr>
            </w:pPr>
            <w:r w:rsidRPr="0047540A">
              <w:rPr>
                <w:rFonts w:eastAsia="Malgun Gothic"/>
                <w:lang w:eastAsia="ko-KR"/>
              </w:rPr>
              <w:t>–</w:t>
            </w:r>
            <w:r w:rsidRPr="0047540A">
              <w:rPr>
                <w:rFonts w:eastAsia="Malgun Gothic"/>
                <w:lang w:eastAsia="ko-KR"/>
              </w:rPr>
              <w:tab/>
            </w:r>
            <w:r w:rsidR="00243A53" w:rsidRPr="0047540A">
              <w:rPr>
                <w:rFonts w:eastAsia="Malgun Gothic"/>
                <w:lang w:eastAsia="ko-KR"/>
              </w:rPr>
              <w:t>Report ITU-R M.2516,</w:t>
            </w:r>
          </w:p>
          <w:p w14:paraId="6EED7996" w14:textId="5E1AA274" w:rsidR="00243A53" w:rsidRPr="0047540A" w:rsidRDefault="00E92560" w:rsidP="00E92560">
            <w:pPr>
              <w:pStyle w:val="enumlev1"/>
              <w:rPr>
                <w:rFonts w:eastAsia="MS PMincho"/>
                <w:kern w:val="2"/>
                <w:lang w:eastAsia="ja-JP"/>
              </w:rPr>
            </w:pPr>
            <w:r w:rsidRPr="0047540A">
              <w:rPr>
                <w:rFonts w:eastAsia="Malgun Gothic"/>
                <w:lang w:eastAsia="ko-KR"/>
              </w:rPr>
              <w:t>–</w:t>
            </w:r>
            <w:r w:rsidRPr="0047540A">
              <w:rPr>
                <w:rFonts w:eastAsia="Malgun Gothic"/>
                <w:lang w:eastAsia="ko-KR"/>
              </w:rPr>
              <w:tab/>
            </w:r>
            <w:r w:rsidR="00243A53" w:rsidRPr="0047540A">
              <w:rPr>
                <w:rFonts w:eastAsia="Malgun Gothic"/>
                <w:lang w:eastAsia="ko-KR"/>
              </w:rPr>
              <w:t>Draft new Recommendation ITU-R M.[IMT.FRAMEWORK FOR 2030 AND BEYOND]</w:t>
            </w:r>
          </w:p>
        </w:tc>
      </w:tr>
      <w:tr w:rsidR="00243A53" w:rsidRPr="0047540A" w14:paraId="4333D2AA" w14:textId="77777777" w:rsidTr="008F33BA">
        <w:tc>
          <w:tcPr>
            <w:tcW w:w="4205" w:type="dxa"/>
          </w:tcPr>
          <w:p w14:paraId="698038FB" w14:textId="77777777" w:rsidR="00243A53" w:rsidRPr="0047540A" w:rsidRDefault="00243A53" w:rsidP="008F33BA">
            <w:pPr>
              <w:spacing w:beforeLines="50" w:afterLines="50" w:after="120"/>
              <w:rPr>
                <w:rFonts w:eastAsia="MS Gothic"/>
                <w:b/>
                <w:bCs/>
                <w:i/>
                <w:iCs/>
                <w:kern w:val="2"/>
                <w:lang w:eastAsia="ja-JP"/>
              </w:rPr>
            </w:pPr>
            <w:r w:rsidRPr="0047540A">
              <w:rPr>
                <w:rFonts w:eastAsia="MS Gothic"/>
                <w:b/>
                <w:bCs/>
                <w:i/>
                <w:iCs/>
                <w:kern w:val="2"/>
              </w:rPr>
              <w:t>Studies to be carried out by:</w:t>
            </w:r>
          </w:p>
          <w:p w14:paraId="7716F6F5" w14:textId="77777777" w:rsidR="00243A53" w:rsidRPr="0047540A" w:rsidRDefault="00243A53" w:rsidP="008F33BA">
            <w:pPr>
              <w:spacing w:beforeLines="50" w:afterLines="50" w:after="120"/>
              <w:rPr>
                <w:rFonts w:eastAsia="SimSun"/>
                <w:bCs/>
                <w:iCs/>
                <w:kern w:val="2"/>
                <w:lang w:eastAsia="ko-KR"/>
              </w:rPr>
            </w:pPr>
            <w:r w:rsidRPr="0047540A">
              <w:rPr>
                <w:rFonts w:eastAsia="SimSun"/>
                <w:bCs/>
                <w:iCs/>
                <w:kern w:val="2"/>
                <w:lang w:eastAsia="ko-KR"/>
              </w:rPr>
              <w:t>ITU-R SG 5/WP 5D</w:t>
            </w:r>
          </w:p>
        </w:tc>
        <w:tc>
          <w:tcPr>
            <w:tcW w:w="5112" w:type="dxa"/>
          </w:tcPr>
          <w:p w14:paraId="470D05EC" w14:textId="77777777" w:rsidR="00243A53" w:rsidRPr="0047540A" w:rsidRDefault="00243A53" w:rsidP="008F33BA">
            <w:pPr>
              <w:spacing w:beforeLines="50" w:afterLines="50" w:after="120"/>
              <w:rPr>
                <w:rFonts w:eastAsia="MS Gothic"/>
                <w:b/>
                <w:bCs/>
                <w:i/>
                <w:iCs/>
                <w:kern w:val="2"/>
                <w:lang w:eastAsia="ja-JP"/>
              </w:rPr>
            </w:pPr>
            <w:r w:rsidRPr="0047540A">
              <w:rPr>
                <w:rFonts w:eastAsia="MS Gothic"/>
                <w:b/>
                <w:bCs/>
                <w:i/>
                <w:iCs/>
                <w:kern w:val="2"/>
              </w:rPr>
              <w:t>with participation of:</w:t>
            </w:r>
          </w:p>
          <w:p w14:paraId="59A8FE62" w14:textId="77777777" w:rsidR="00243A53" w:rsidRPr="0047540A" w:rsidRDefault="00243A53" w:rsidP="008F33BA">
            <w:pPr>
              <w:spacing w:beforeLines="50" w:afterLines="50" w:after="120"/>
              <w:rPr>
                <w:rFonts w:eastAsia="MS Gothic"/>
                <w:kern w:val="2"/>
                <w:lang w:eastAsia="ja-JP"/>
              </w:rPr>
            </w:pPr>
            <w:r w:rsidRPr="0047540A">
              <w:rPr>
                <w:rFonts w:eastAsia="MS Gothic"/>
                <w:kern w:val="2"/>
                <w:lang w:eastAsia="ja-JP"/>
              </w:rPr>
              <w:t>Administrations</w:t>
            </w:r>
            <w:r w:rsidRPr="0047540A">
              <w:rPr>
                <w:rFonts w:eastAsia="SimSun"/>
                <w:kern w:val="2"/>
                <w:lang w:eastAsia="ko-KR"/>
              </w:rPr>
              <w:t xml:space="preserve"> and Sector members of the ITU-R</w:t>
            </w:r>
          </w:p>
        </w:tc>
      </w:tr>
      <w:tr w:rsidR="00243A53" w:rsidRPr="0047540A" w14:paraId="74350986" w14:textId="77777777" w:rsidTr="008F33BA">
        <w:tc>
          <w:tcPr>
            <w:tcW w:w="9317" w:type="dxa"/>
            <w:gridSpan w:val="2"/>
          </w:tcPr>
          <w:p w14:paraId="36258E2A" w14:textId="77777777" w:rsidR="00243A53" w:rsidRPr="0047540A" w:rsidRDefault="00243A53" w:rsidP="008F33BA">
            <w:pPr>
              <w:spacing w:beforeLines="50" w:afterLines="50" w:after="120"/>
              <w:rPr>
                <w:rFonts w:eastAsia="MS Gothic"/>
                <w:b/>
                <w:bCs/>
                <w:i/>
                <w:iCs/>
                <w:kern w:val="2"/>
                <w:lang w:eastAsia="ja-JP"/>
              </w:rPr>
            </w:pPr>
            <w:r w:rsidRPr="0047540A">
              <w:rPr>
                <w:rFonts w:eastAsia="MS Gothic"/>
                <w:b/>
                <w:bCs/>
                <w:i/>
                <w:iCs/>
                <w:kern w:val="2"/>
              </w:rPr>
              <w:t>ITU-R Study Groups concerned:</w:t>
            </w:r>
          </w:p>
          <w:p w14:paraId="59CBA2E5" w14:textId="3EF391C6" w:rsidR="00243A53" w:rsidRPr="0047540A" w:rsidRDefault="00243A53" w:rsidP="008F33BA">
            <w:pPr>
              <w:spacing w:beforeLines="50" w:afterLines="50" w:after="120"/>
              <w:rPr>
                <w:rFonts w:eastAsia="MS Gothic"/>
                <w:bCs/>
                <w:iCs/>
                <w:kern w:val="2"/>
                <w:lang w:eastAsia="ja-JP"/>
              </w:rPr>
            </w:pPr>
            <w:r w:rsidRPr="0047540A">
              <w:rPr>
                <w:rFonts w:eastAsia="MS Gothic"/>
                <w:bCs/>
                <w:iCs/>
                <w:kern w:val="2"/>
                <w:lang w:eastAsia="ja-JP"/>
              </w:rPr>
              <w:t>SG</w:t>
            </w:r>
            <w:r w:rsidR="009840B8" w:rsidRPr="0047540A">
              <w:rPr>
                <w:rFonts w:eastAsia="MS Gothic"/>
                <w:bCs/>
                <w:iCs/>
                <w:kern w:val="2"/>
                <w:lang w:eastAsia="ja-JP"/>
              </w:rPr>
              <w:t xml:space="preserve"> </w:t>
            </w:r>
            <w:r w:rsidRPr="0047540A">
              <w:rPr>
                <w:rFonts w:eastAsia="MS Gothic"/>
                <w:bCs/>
                <w:iCs/>
                <w:kern w:val="2"/>
                <w:lang w:eastAsia="ja-JP"/>
              </w:rPr>
              <w:t>5/WP</w:t>
            </w:r>
            <w:r w:rsidR="009840B8" w:rsidRPr="0047540A">
              <w:rPr>
                <w:rFonts w:eastAsia="MS Gothic"/>
                <w:bCs/>
                <w:iCs/>
                <w:kern w:val="2"/>
                <w:lang w:eastAsia="ja-JP"/>
              </w:rPr>
              <w:t xml:space="preserve"> </w:t>
            </w:r>
            <w:r w:rsidRPr="0047540A">
              <w:rPr>
                <w:rFonts w:eastAsia="MS Gothic"/>
                <w:bCs/>
                <w:iCs/>
                <w:kern w:val="2"/>
                <w:lang w:eastAsia="ja-JP"/>
              </w:rPr>
              <w:t>5A, 5B, 5C; SG</w:t>
            </w:r>
            <w:r w:rsidR="009840B8" w:rsidRPr="0047540A">
              <w:rPr>
                <w:rFonts w:eastAsia="MS Gothic"/>
                <w:bCs/>
                <w:iCs/>
                <w:kern w:val="2"/>
                <w:lang w:eastAsia="ja-JP"/>
              </w:rPr>
              <w:t xml:space="preserve"> </w:t>
            </w:r>
            <w:r w:rsidRPr="0047540A">
              <w:rPr>
                <w:rFonts w:eastAsia="MS Gothic"/>
                <w:bCs/>
                <w:iCs/>
                <w:kern w:val="2"/>
                <w:lang w:eastAsia="ja-JP"/>
              </w:rPr>
              <w:t>4/WP</w:t>
            </w:r>
            <w:r w:rsidR="009840B8" w:rsidRPr="0047540A">
              <w:rPr>
                <w:rFonts w:eastAsia="MS Gothic"/>
                <w:bCs/>
                <w:iCs/>
                <w:kern w:val="2"/>
                <w:lang w:eastAsia="ja-JP"/>
              </w:rPr>
              <w:t xml:space="preserve"> </w:t>
            </w:r>
            <w:r w:rsidRPr="0047540A">
              <w:rPr>
                <w:rFonts w:eastAsia="MS Gothic"/>
                <w:bCs/>
                <w:iCs/>
                <w:kern w:val="2"/>
                <w:lang w:eastAsia="ja-JP"/>
              </w:rPr>
              <w:t>4A; SG</w:t>
            </w:r>
            <w:r w:rsidR="009840B8" w:rsidRPr="0047540A">
              <w:rPr>
                <w:rFonts w:eastAsia="MS Gothic"/>
                <w:bCs/>
                <w:iCs/>
                <w:kern w:val="2"/>
                <w:lang w:eastAsia="ja-JP"/>
              </w:rPr>
              <w:t xml:space="preserve"> </w:t>
            </w:r>
            <w:r w:rsidRPr="0047540A">
              <w:rPr>
                <w:rFonts w:eastAsia="MS Gothic"/>
                <w:bCs/>
                <w:iCs/>
                <w:kern w:val="2"/>
                <w:lang w:eastAsia="ja-JP"/>
              </w:rPr>
              <w:t>7/WP</w:t>
            </w:r>
            <w:r w:rsidR="009840B8" w:rsidRPr="0047540A">
              <w:rPr>
                <w:rFonts w:eastAsia="MS Gothic"/>
                <w:bCs/>
                <w:iCs/>
                <w:kern w:val="2"/>
                <w:lang w:eastAsia="ja-JP"/>
              </w:rPr>
              <w:t xml:space="preserve"> </w:t>
            </w:r>
            <w:r w:rsidRPr="0047540A">
              <w:rPr>
                <w:rFonts w:eastAsia="MS Gothic"/>
                <w:bCs/>
                <w:iCs/>
                <w:kern w:val="2"/>
                <w:lang w:eastAsia="ja-JP"/>
              </w:rPr>
              <w:t>7B</w:t>
            </w:r>
          </w:p>
        </w:tc>
      </w:tr>
      <w:tr w:rsidR="00243A53" w:rsidRPr="0047540A" w14:paraId="52A520AA" w14:textId="77777777" w:rsidTr="008F33BA">
        <w:trPr>
          <w:trHeight w:val="1087"/>
        </w:trPr>
        <w:tc>
          <w:tcPr>
            <w:tcW w:w="9317" w:type="dxa"/>
            <w:gridSpan w:val="2"/>
          </w:tcPr>
          <w:p w14:paraId="31BB4DD2" w14:textId="77777777" w:rsidR="00243A53" w:rsidRPr="0047540A" w:rsidRDefault="00243A53" w:rsidP="008F33BA">
            <w:pPr>
              <w:spacing w:beforeLines="50" w:afterLines="50" w:after="120"/>
              <w:rPr>
                <w:rFonts w:eastAsia="MS Gothic"/>
                <w:kern w:val="2"/>
                <w:lang w:eastAsia="ja-JP"/>
              </w:rPr>
            </w:pPr>
            <w:r w:rsidRPr="0047540A">
              <w:rPr>
                <w:rFonts w:eastAsia="MS Gothic"/>
                <w:b/>
                <w:bCs/>
                <w:i/>
                <w:iCs/>
                <w:kern w:val="2"/>
              </w:rPr>
              <w:t xml:space="preserve">ITU </w:t>
            </w:r>
            <w:r w:rsidRPr="0047540A">
              <w:rPr>
                <w:rFonts w:eastAsia="MS Gothic"/>
                <w:b/>
                <w:bCs/>
                <w:i/>
                <w:iCs/>
                <w:kern w:val="2"/>
                <w:lang w:eastAsia="ja-JP"/>
              </w:rPr>
              <w:t>r</w:t>
            </w:r>
            <w:r w:rsidRPr="0047540A">
              <w:rPr>
                <w:rFonts w:eastAsia="MS Gothic"/>
                <w:b/>
                <w:bCs/>
                <w:i/>
                <w:iCs/>
                <w:kern w:val="2"/>
              </w:rPr>
              <w:t xml:space="preserve">esource </w:t>
            </w:r>
            <w:r w:rsidRPr="0047540A">
              <w:rPr>
                <w:rFonts w:eastAsia="MS Gothic"/>
                <w:b/>
                <w:bCs/>
                <w:i/>
                <w:iCs/>
                <w:kern w:val="2"/>
                <w:lang w:eastAsia="ja-JP"/>
              </w:rPr>
              <w:t>i</w:t>
            </w:r>
            <w:r w:rsidRPr="0047540A">
              <w:rPr>
                <w:rFonts w:eastAsia="MS Gothic"/>
                <w:b/>
                <w:bCs/>
                <w:i/>
                <w:iCs/>
                <w:kern w:val="2"/>
              </w:rPr>
              <w:t>mplications</w:t>
            </w:r>
            <w:r w:rsidRPr="0047540A">
              <w:rPr>
                <w:rFonts w:eastAsia="MS Gothic"/>
                <w:b/>
                <w:bCs/>
                <w:i/>
                <w:iCs/>
                <w:kern w:val="2"/>
                <w:lang w:eastAsia="ja-JP"/>
              </w:rPr>
              <w:t>,</w:t>
            </w:r>
            <w:r w:rsidRPr="0047540A">
              <w:rPr>
                <w:rFonts w:eastAsia="MS Gothic"/>
                <w:b/>
                <w:bCs/>
                <w:i/>
                <w:iCs/>
                <w:kern w:val="2"/>
              </w:rPr>
              <w:t xml:space="preserve"> including financial i</w:t>
            </w:r>
            <w:r w:rsidRPr="0047540A">
              <w:rPr>
                <w:rFonts w:eastAsia="MS Gothic"/>
                <w:b/>
                <w:bCs/>
                <w:i/>
                <w:iCs/>
                <w:kern w:val="2"/>
                <w:lang w:eastAsia="ja-JP"/>
              </w:rPr>
              <w:t>mpli</w:t>
            </w:r>
            <w:r w:rsidRPr="0047540A">
              <w:rPr>
                <w:rFonts w:eastAsia="MS Gothic"/>
                <w:b/>
                <w:bCs/>
                <w:i/>
                <w:iCs/>
                <w:kern w:val="2"/>
              </w:rPr>
              <w:t>cations (refer to CV 126)</w:t>
            </w:r>
            <w:r w:rsidRPr="0047540A">
              <w:rPr>
                <w:rFonts w:eastAsia="MS Gothic"/>
                <w:b/>
                <w:bCs/>
                <w:i/>
                <w:iCs/>
                <w:kern w:val="2"/>
                <w:lang w:eastAsia="ja-JP"/>
              </w:rPr>
              <w:t>:</w:t>
            </w:r>
          </w:p>
          <w:p w14:paraId="79A539BE" w14:textId="77777777" w:rsidR="00243A53" w:rsidRPr="0047540A" w:rsidRDefault="00243A53" w:rsidP="008F33BA">
            <w:pPr>
              <w:rPr>
                <w:rFonts w:eastAsia="SimSun"/>
                <w:kern w:val="2"/>
                <w:lang w:eastAsia="zh-CN"/>
              </w:rPr>
            </w:pPr>
            <w:r w:rsidRPr="0047540A">
              <w:rPr>
                <w:rFonts w:eastAsia="SimSun"/>
                <w:kern w:val="2"/>
                <w:lang w:eastAsia="zh-CN"/>
              </w:rPr>
              <w:t>This proposed agenda item will be studied within the normal ITU-R procedures and planned budget. As the responsible group on IMT matters, ITU-R WP 5D usually has meetings three times a year, each of which lasts around 10 days.</w:t>
            </w:r>
          </w:p>
        </w:tc>
      </w:tr>
      <w:tr w:rsidR="00243A53" w:rsidRPr="0047540A" w14:paraId="309AB960" w14:textId="77777777" w:rsidTr="008F33BA">
        <w:trPr>
          <w:trHeight w:val="612"/>
        </w:trPr>
        <w:tc>
          <w:tcPr>
            <w:tcW w:w="4205" w:type="dxa"/>
          </w:tcPr>
          <w:p w14:paraId="23E2F04D" w14:textId="77777777" w:rsidR="00243A53" w:rsidRPr="0047540A" w:rsidRDefault="00243A53" w:rsidP="008F33BA">
            <w:pPr>
              <w:spacing w:beforeLines="50" w:afterLines="50" w:after="120"/>
              <w:rPr>
                <w:rFonts w:eastAsia="MS Gothic"/>
                <w:b/>
                <w:bCs/>
                <w:i/>
                <w:iCs/>
                <w:kern w:val="2"/>
                <w:lang w:eastAsia="ja-JP"/>
              </w:rPr>
            </w:pPr>
            <w:r w:rsidRPr="0047540A">
              <w:rPr>
                <w:rFonts w:eastAsia="MS Gothic"/>
                <w:b/>
                <w:bCs/>
                <w:i/>
                <w:iCs/>
                <w:kern w:val="2"/>
              </w:rPr>
              <w:t xml:space="preserve">Common </w:t>
            </w:r>
            <w:r w:rsidRPr="0047540A">
              <w:rPr>
                <w:rFonts w:eastAsia="MS Gothic"/>
                <w:b/>
                <w:bCs/>
                <w:i/>
                <w:iCs/>
                <w:kern w:val="2"/>
                <w:lang w:eastAsia="ja-JP"/>
              </w:rPr>
              <w:t>regional p</w:t>
            </w:r>
            <w:r w:rsidRPr="0047540A">
              <w:rPr>
                <w:rFonts w:eastAsia="MS Gothic"/>
                <w:b/>
                <w:bCs/>
                <w:i/>
                <w:iCs/>
                <w:kern w:val="2"/>
              </w:rPr>
              <w:t>roposal:</w:t>
            </w:r>
          </w:p>
          <w:p w14:paraId="54298BF1" w14:textId="77777777" w:rsidR="00243A53" w:rsidRPr="0047540A" w:rsidRDefault="00243A53" w:rsidP="008F33BA">
            <w:pPr>
              <w:spacing w:beforeLines="50" w:afterLines="50" w:after="120"/>
              <w:rPr>
                <w:rFonts w:eastAsia="SimSun"/>
                <w:kern w:val="2"/>
                <w:lang w:eastAsia="ko-KR"/>
              </w:rPr>
            </w:pPr>
          </w:p>
        </w:tc>
        <w:tc>
          <w:tcPr>
            <w:tcW w:w="5112" w:type="dxa"/>
          </w:tcPr>
          <w:p w14:paraId="58EA91D0" w14:textId="77777777" w:rsidR="00243A53" w:rsidRPr="0047540A" w:rsidRDefault="00243A53" w:rsidP="008F33BA">
            <w:pPr>
              <w:spacing w:beforeLines="50" w:afterLines="50" w:after="120"/>
              <w:rPr>
                <w:rFonts w:eastAsia="SimSun"/>
                <w:kern w:val="2"/>
                <w:lang w:eastAsia="ko-KR"/>
              </w:rPr>
            </w:pPr>
            <w:r w:rsidRPr="0047540A">
              <w:rPr>
                <w:rFonts w:eastAsia="MS Gothic"/>
                <w:b/>
                <w:bCs/>
                <w:i/>
                <w:iCs/>
                <w:kern w:val="2"/>
              </w:rPr>
              <w:t xml:space="preserve">Multicountry Proposal: </w:t>
            </w:r>
            <w:r w:rsidRPr="0047540A">
              <w:rPr>
                <w:rFonts w:eastAsia="SimSun"/>
                <w:bCs/>
                <w:iCs/>
                <w:kern w:val="2"/>
                <w:lang w:eastAsia="ko-KR"/>
              </w:rPr>
              <w:t>Yes</w:t>
            </w:r>
          </w:p>
          <w:p w14:paraId="39E8BCAB" w14:textId="77777777" w:rsidR="00243A53" w:rsidRPr="0047540A" w:rsidRDefault="00243A53" w:rsidP="008F33BA">
            <w:pPr>
              <w:spacing w:beforeLines="50" w:afterLines="50" w:after="120"/>
              <w:rPr>
                <w:rFonts w:eastAsia="Malgun Gothic"/>
                <w:kern w:val="2"/>
                <w:lang w:eastAsia="ko-KR"/>
              </w:rPr>
            </w:pPr>
            <w:r w:rsidRPr="0047540A">
              <w:rPr>
                <w:rFonts w:eastAsia="MS Gothic"/>
                <w:b/>
                <w:bCs/>
                <w:i/>
                <w:iCs/>
                <w:kern w:val="2"/>
                <w:lang w:eastAsia="ja-JP"/>
              </w:rPr>
              <w:t>Number of countries</w:t>
            </w:r>
            <w:r w:rsidRPr="0047540A">
              <w:rPr>
                <w:rFonts w:eastAsia="MS Gothic"/>
                <w:b/>
                <w:bCs/>
                <w:i/>
                <w:iCs/>
                <w:kern w:val="2"/>
              </w:rPr>
              <w:t xml:space="preserve">: </w:t>
            </w:r>
            <w:r w:rsidRPr="0047540A">
              <w:rPr>
                <w:rFonts w:eastAsia="MS Gothic"/>
                <w:bCs/>
                <w:iCs/>
                <w:kern w:val="2"/>
              </w:rPr>
              <w:t>2</w:t>
            </w:r>
          </w:p>
        </w:tc>
      </w:tr>
      <w:tr w:rsidR="00243A53" w:rsidRPr="0047540A" w14:paraId="65D51B64" w14:textId="77777777" w:rsidTr="008F33BA">
        <w:trPr>
          <w:trHeight w:val="70"/>
        </w:trPr>
        <w:tc>
          <w:tcPr>
            <w:tcW w:w="9317" w:type="dxa"/>
            <w:gridSpan w:val="2"/>
          </w:tcPr>
          <w:p w14:paraId="3AC655C4" w14:textId="77777777" w:rsidR="00243A53" w:rsidRPr="0047540A" w:rsidRDefault="00243A53" w:rsidP="008F33BA">
            <w:pPr>
              <w:spacing w:beforeLines="50" w:afterLines="50" w:after="120"/>
              <w:rPr>
                <w:rFonts w:eastAsia="SimSun"/>
                <w:b/>
                <w:bCs/>
                <w:i/>
                <w:iCs/>
                <w:kern w:val="2"/>
                <w:lang w:eastAsia="ko-KR"/>
              </w:rPr>
            </w:pPr>
            <w:r w:rsidRPr="0047540A">
              <w:rPr>
                <w:rFonts w:eastAsia="MS Gothic"/>
                <w:b/>
                <w:bCs/>
                <w:i/>
                <w:iCs/>
                <w:kern w:val="2"/>
              </w:rPr>
              <w:t>Remarks</w:t>
            </w:r>
          </w:p>
        </w:tc>
      </w:tr>
    </w:tbl>
    <w:p w14:paraId="6F3D52AE" w14:textId="70868774" w:rsidR="00835D19" w:rsidRPr="00E92560" w:rsidRDefault="000D276D" w:rsidP="000D276D">
      <w:pPr>
        <w:spacing w:before="360"/>
        <w:jc w:val="center"/>
      </w:pPr>
      <w:r w:rsidRPr="00E92560">
        <w:t>_______________</w:t>
      </w:r>
    </w:p>
    <w:sectPr w:rsidR="00835D19" w:rsidRPr="00E92560"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12498" w14:textId="77777777" w:rsidR="00653091" w:rsidRDefault="00653091">
      <w:r>
        <w:separator/>
      </w:r>
    </w:p>
  </w:endnote>
  <w:endnote w:type="continuationSeparator" w:id="0">
    <w:p w14:paraId="58B62F59" w14:textId="77777777" w:rsidR="00653091" w:rsidRDefault="0065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YSinMyeongJo-Medium">
    <w:altName w:val="Malgun Gothic"/>
    <w:charset w:val="81"/>
    <w:family w:val="roman"/>
    <w:pitch w:val="variable"/>
    <w:sig w:usb0="900002A7" w:usb1="29D77CF9"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82D4" w14:textId="77777777" w:rsidR="00E45D05" w:rsidRDefault="00E45D05">
    <w:pPr>
      <w:framePr w:wrap="around" w:vAnchor="text" w:hAnchor="margin" w:xAlign="right" w:y="1"/>
    </w:pPr>
    <w:r>
      <w:fldChar w:fldCharType="begin"/>
    </w:r>
    <w:r>
      <w:instrText xml:space="preserve">PAGE  </w:instrText>
    </w:r>
    <w:r>
      <w:fldChar w:fldCharType="end"/>
    </w:r>
  </w:p>
  <w:p w14:paraId="1150CDC5" w14:textId="6265745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E3174">
      <w:rPr>
        <w:noProof/>
      </w:rPr>
      <w:t>01.11.23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4801" w14:textId="05094407" w:rsidR="00E45D05" w:rsidRDefault="00E45D05" w:rsidP="009B1EA1">
    <w:pPr>
      <w:pStyle w:val="Footer"/>
    </w:pPr>
    <w:r>
      <w:fldChar w:fldCharType="begin"/>
    </w:r>
    <w:r w:rsidRPr="0041348E">
      <w:rPr>
        <w:lang w:val="en-US"/>
      </w:rPr>
      <w:instrText xml:space="preserve"> FILENAME \p  \* MERGEFORMAT </w:instrText>
    </w:r>
    <w:r>
      <w:fldChar w:fldCharType="separate"/>
    </w:r>
    <w:r w:rsidR="004A69E7">
      <w:rPr>
        <w:lang w:val="en-US"/>
      </w:rPr>
      <w:t>P:\ENG\ITU-R\CONF-R\CMR23\100\122E.docx</w:t>
    </w:r>
    <w:r>
      <w:fldChar w:fldCharType="end"/>
    </w:r>
    <w:r w:rsidR="004A69E7">
      <w:t xml:space="preserve"> (530279)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EF74" w14:textId="735B5249" w:rsidR="004A69E7" w:rsidRDefault="004A69E7">
    <w:pPr>
      <w:pStyle w:val="Footer"/>
    </w:pPr>
    <w:r>
      <w:fldChar w:fldCharType="begin"/>
    </w:r>
    <w:r w:rsidRPr="0041348E">
      <w:rPr>
        <w:lang w:val="en-US"/>
      </w:rPr>
      <w:instrText xml:space="preserve"> FILENAME \p  \* MERGEFORMAT </w:instrText>
    </w:r>
    <w:r>
      <w:fldChar w:fldCharType="separate"/>
    </w:r>
    <w:r>
      <w:rPr>
        <w:lang w:val="en-US"/>
      </w:rPr>
      <w:t>P:\ENG\ITU-R\CONF-R\CMR23\100\122E.docx</w:t>
    </w:r>
    <w:r>
      <w:fldChar w:fldCharType="end"/>
    </w:r>
    <w:r>
      <w:t xml:space="preserve"> (530279)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A1D4" w14:textId="77777777" w:rsidR="00653091" w:rsidRDefault="00653091">
      <w:r>
        <w:rPr>
          <w:b/>
        </w:rPr>
        <w:t>_______________</w:t>
      </w:r>
    </w:p>
  </w:footnote>
  <w:footnote w:type="continuationSeparator" w:id="0">
    <w:p w14:paraId="17E51A2E" w14:textId="77777777" w:rsidR="00653091" w:rsidRDefault="00653091">
      <w:r>
        <w:continuationSeparator/>
      </w:r>
    </w:p>
  </w:footnote>
  <w:footnote w:id="1">
    <w:p w14:paraId="0EE854BA" w14:textId="462E99A7" w:rsidR="00F07A69" w:rsidRPr="00744B62" w:rsidRDefault="00F07A69" w:rsidP="00F07A69">
      <w:pPr>
        <w:pStyle w:val="FootnoteText"/>
        <w:rPr>
          <w:rFonts w:eastAsia="Malgun Gothic"/>
          <w:lang w:eastAsia="ja-JP"/>
        </w:rPr>
      </w:pPr>
      <w:r w:rsidRPr="006A21C1">
        <w:rPr>
          <w:rStyle w:val="FootnoteReference"/>
        </w:rPr>
        <w:footnoteRef/>
      </w:r>
      <w:r w:rsidR="00E92560">
        <w:tab/>
      </w:r>
      <w:hyperlink r:id="rId1" w:history="1">
        <w:r w:rsidRPr="00E92560">
          <w:rPr>
            <w:rStyle w:val="Hyperlink"/>
          </w:rPr>
          <w:t>https://www.fcc.gov/document/fcc-examine-127-ghz-band-next-gen-wireless</w:t>
        </w:r>
      </w:hyperlink>
    </w:p>
  </w:footnote>
  <w:footnote w:id="2">
    <w:p w14:paraId="5438D816" w14:textId="77777777" w:rsidR="00403366" w:rsidRDefault="00403366" w:rsidP="00403366">
      <w:pPr>
        <w:pStyle w:val="FootnoteText"/>
      </w:pPr>
      <w:r>
        <w:rPr>
          <w:rStyle w:val="FootnoteReference"/>
        </w:rPr>
        <w:t>1</w:t>
      </w:r>
      <w:r>
        <w:tab/>
      </w:r>
      <w:r>
        <w:rPr>
          <w:rFonts w:eastAsia="SimSun"/>
        </w:rPr>
        <w:t>Including studies with respect to services in adjacent bands, as appropriate.</w:t>
      </w:r>
    </w:p>
  </w:footnote>
  <w:footnote w:id="3">
    <w:p w14:paraId="3B88A757" w14:textId="2EC8BF31" w:rsidR="00243A53" w:rsidRPr="00744B62" w:rsidRDefault="00243A53" w:rsidP="00243A53">
      <w:pPr>
        <w:pStyle w:val="FootnoteText"/>
        <w:rPr>
          <w:rFonts w:eastAsia="Malgun Gothic"/>
          <w:lang w:eastAsia="ja-JP"/>
        </w:rPr>
      </w:pPr>
      <w:r w:rsidRPr="006A21C1">
        <w:rPr>
          <w:rStyle w:val="FootnoteReference"/>
        </w:rPr>
        <w:footnoteRef/>
      </w:r>
      <w:r w:rsidR="00E92560">
        <w:tab/>
      </w:r>
      <w:hyperlink r:id="rId2" w:history="1">
        <w:r w:rsidRPr="00E92560">
          <w:rPr>
            <w:rStyle w:val="Hyperlink"/>
          </w:rPr>
          <w:t>https://www.fcc.gov/document/fcc-examine-127-ghz-band-next-gen-wireless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CC9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076F570" w14:textId="77777777" w:rsidR="00A066F1" w:rsidRPr="00A066F1" w:rsidRDefault="00BC75DE" w:rsidP="00241FA2">
    <w:pPr>
      <w:pStyle w:val="Header"/>
    </w:pPr>
    <w:r>
      <w:t>WRC</w:t>
    </w:r>
    <w:r w:rsidR="006D70B0">
      <w:t>23</w:t>
    </w:r>
    <w:r w:rsidR="00A066F1">
      <w:t>/</w:t>
    </w:r>
    <w:bookmarkStart w:id="11" w:name="OLE_LINK1"/>
    <w:bookmarkStart w:id="12" w:name="OLE_LINK2"/>
    <w:bookmarkStart w:id="13" w:name="OLE_LINK3"/>
    <w:r w:rsidR="00EB55C6">
      <w:t>122</w:t>
    </w:r>
    <w:bookmarkEnd w:id="11"/>
    <w:bookmarkEnd w:id="12"/>
    <w:bookmarkEnd w:id="1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A2C6AAC"/>
    <w:multiLevelType w:val="hybridMultilevel"/>
    <w:tmpl w:val="1994B59C"/>
    <w:lvl w:ilvl="0" w:tplc="F0382734">
      <w:start w:val="5"/>
      <w:numFmt w:val="bullet"/>
      <w:lvlText w:val="-"/>
      <w:lvlJc w:val="left"/>
      <w:pPr>
        <w:ind w:left="840" w:hanging="420"/>
      </w:pPr>
      <w:rPr>
        <w:rFonts w:ascii="Times New Roman" w:eastAsia="HYSinMyeongJo-Medium"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988947591">
    <w:abstractNumId w:val="0"/>
  </w:num>
  <w:num w:numId="2" w16cid:durableId="202377626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58738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5168"/>
    <w:rsid w:val="00022A29"/>
    <w:rsid w:val="000355FD"/>
    <w:rsid w:val="00050D7D"/>
    <w:rsid w:val="00051E39"/>
    <w:rsid w:val="000705F2"/>
    <w:rsid w:val="00077239"/>
    <w:rsid w:val="0007795D"/>
    <w:rsid w:val="00086491"/>
    <w:rsid w:val="00091346"/>
    <w:rsid w:val="0009706C"/>
    <w:rsid w:val="000D154B"/>
    <w:rsid w:val="000D276D"/>
    <w:rsid w:val="000D2DAF"/>
    <w:rsid w:val="000E05C8"/>
    <w:rsid w:val="000E463E"/>
    <w:rsid w:val="000F73FF"/>
    <w:rsid w:val="00114CF7"/>
    <w:rsid w:val="00116C7A"/>
    <w:rsid w:val="00123B68"/>
    <w:rsid w:val="00126F2E"/>
    <w:rsid w:val="00146F6F"/>
    <w:rsid w:val="00161F26"/>
    <w:rsid w:val="00187BD9"/>
    <w:rsid w:val="00190B55"/>
    <w:rsid w:val="001C3B5F"/>
    <w:rsid w:val="001D058F"/>
    <w:rsid w:val="001F0B9F"/>
    <w:rsid w:val="002009EA"/>
    <w:rsid w:val="00202756"/>
    <w:rsid w:val="00202CA0"/>
    <w:rsid w:val="00216B6D"/>
    <w:rsid w:val="0022757F"/>
    <w:rsid w:val="00231554"/>
    <w:rsid w:val="00241FA2"/>
    <w:rsid w:val="00243A53"/>
    <w:rsid w:val="002504A3"/>
    <w:rsid w:val="00271316"/>
    <w:rsid w:val="002757AD"/>
    <w:rsid w:val="002B349C"/>
    <w:rsid w:val="002D58BE"/>
    <w:rsid w:val="002F4747"/>
    <w:rsid w:val="003004F8"/>
    <w:rsid w:val="00302605"/>
    <w:rsid w:val="00353290"/>
    <w:rsid w:val="00361B37"/>
    <w:rsid w:val="00377BD3"/>
    <w:rsid w:val="00384088"/>
    <w:rsid w:val="003852CE"/>
    <w:rsid w:val="0039169B"/>
    <w:rsid w:val="003A16D4"/>
    <w:rsid w:val="003A7F8C"/>
    <w:rsid w:val="003B2284"/>
    <w:rsid w:val="003B532E"/>
    <w:rsid w:val="003D0F8B"/>
    <w:rsid w:val="003E0DB6"/>
    <w:rsid w:val="003F26BD"/>
    <w:rsid w:val="00403366"/>
    <w:rsid w:val="0041348E"/>
    <w:rsid w:val="00420873"/>
    <w:rsid w:val="00447727"/>
    <w:rsid w:val="004615E2"/>
    <w:rsid w:val="0047540A"/>
    <w:rsid w:val="00492075"/>
    <w:rsid w:val="004969AD"/>
    <w:rsid w:val="004A26C4"/>
    <w:rsid w:val="004A69E7"/>
    <w:rsid w:val="004B13CB"/>
    <w:rsid w:val="004D26EA"/>
    <w:rsid w:val="004D2BFB"/>
    <w:rsid w:val="004D5D5C"/>
    <w:rsid w:val="004E0373"/>
    <w:rsid w:val="004F3DC0"/>
    <w:rsid w:val="0050139F"/>
    <w:rsid w:val="0053576F"/>
    <w:rsid w:val="0055140B"/>
    <w:rsid w:val="00576C99"/>
    <w:rsid w:val="005861D7"/>
    <w:rsid w:val="005964AB"/>
    <w:rsid w:val="005C099A"/>
    <w:rsid w:val="005C31A5"/>
    <w:rsid w:val="005E10C9"/>
    <w:rsid w:val="005E290B"/>
    <w:rsid w:val="005E61DD"/>
    <w:rsid w:val="005F04D8"/>
    <w:rsid w:val="006023DF"/>
    <w:rsid w:val="006115E2"/>
    <w:rsid w:val="00615426"/>
    <w:rsid w:val="00616219"/>
    <w:rsid w:val="00645B7D"/>
    <w:rsid w:val="00651849"/>
    <w:rsid w:val="00653091"/>
    <w:rsid w:val="00657DE0"/>
    <w:rsid w:val="00685313"/>
    <w:rsid w:val="00692833"/>
    <w:rsid w:val="00693576"/>
    <w:rsid w:val="00695E37"/>
    <w:rsid w:val="0069730B"/>
    <w:rsid w:val="006A6E9B"/>
    <w:rsid w:val="006B7C2A"/>
    <w:rsid w:val="006C23DA"/>
    <w:rsid w:val="006D70B0"/>
    <w:rsid w:val="006E3D45"/>
    <w:rsid w:val="006E43A1"/>
    <w:rsid w:val="006F1D4B"/>
    <w:rsid w:val="0070607A"/>
    <w:rsid w:val="007149F9"/>
    <w:rsid w:val="00733A30"/>
    <w:rsid w:val="00745AEE"/>
    <w:rsid w:val="00750F10"/>
    <w:rsid w:val="007742CA"/>
    <w:rsid w:val="00790D70"/>
    <w:rsid w:val="007A6F1F"/>
    <w:rsid w:val="007D5320"/>
    <w:rsid w:val="00800972"/>
    <w:rsid w:val="00804475"/>
    <w:rsid w:val="00811633"/>
    <w:rsid w:val="00814037"/>
    <w:rsid w:val="008355C6"/>
    <w:rsid w:val="00835D19"/>
    <w:rsid w:val="00841216"/>
    <w:rsid w:val="00842AF0"/>
    <w:rsid w:val="0086171E"/>
    <w:rsid w:val="00872FC8"/>
    <w:rsid w:val="00880591"/>
    <w:rsid w:val="008845D0"/>
    <w:rsid w:val="00884D60"/>
    <w:rsid w:val="00896E56"/>
    <w:rsid w:val="008B43F2"/>
    <w:rsid w:val="008B6CFF"/>
    <w:rsid w:val="00906FA1"/>
    <w:rsid w:val="009274B4"/>
    <w:rsid w:val="00934EA2"/>
    <w:rsid w:val="00944A5C"/>
    <w:rsid w:val="00952A66"/>
    <w:rsid w:val="009840B8"/>
    <w:rsid w:val="009B1EA1"/>
    <w:rsid w:val="009B7C9A"/>
    <w:rsid w:val="009C56E5"/>
    <w:rsid w:val="009C7716"/>
    <w:rsid w:val="009D365C"/>
    <w:rsid w:val="009E1FD0"/>
    <w:rsid w:val="009E5FC8"/>
    <w:rsid w:val="009E687A"/>
    <w:rsid w:val="009E7F86"/>
    <w:rsid w:val="009F236F"/>
    <w:rsid w:val="00A0375C"/>
    <w:rsid w:val="00A066F1"/>
    <w:rsid w:val="00A141AF"/>
    <w:rsid w:val="00A16D29"/>
    <w:rsid w:val="00A30305"/>
    <w:rsid w:val="00A31D2D"/>
    <w:rsid w:val="00A4600A"/>
    <w:rsid w:val="00A538A6"/>
    <w:rsid w:val="00A54C25"/>
    <w:rsid w:val="00A710E7"/>
    <w:rsid w:val="00A7372E"/>
    <w:rsid w:val="00A8284C"/>
    <w:rsid w:val="00A83415"/>
    <w:rsid w:val="00A93B85"/>
    <w:rsid w:val="00AA0B18"/>
    <w:rsid w:val="00AA3C65"/>
    <w:rsid w:val="00AA666F"/>
    <w:rsid w:val="00AD7914"/>
    <w:rsid w:val="00AE514B"/>
    <w:rsid w:val="00AF2AEB"/>
    <w:rsid w:val="00B01435"/>
    <w:rsid w:val="00B018F7"/>
    <w:rsid w:val="00B40888"/>
    <w:rsid w:val="00B639E9"/>
    <w:rsid w:val="00B64664"/>
    <w:rsid w:val="00B817CD"/>
    <w:rsid w:val="00B81A7D"/>
    <w:rsid w:val="00B91EF7"/>
    <w:rsid w:val="00B94AD0"/>
    <w:rsid w:val="00B9568D"/>
    <w:rsid w:val="00BB3A95"/>
    <w:rsid w:val="00BC75DE"/>
    <w:rsid w:val="00BD6CCE"/>
    <w:rsid w:val="00C0018F"/>
    <w:rsid w:val="00C16A5A"/>
    <w:rsid w:val="00C20466"/>
    <w:rsid w:val="00C214ED"/>
    <w:rsid w:val="00C234E6"/>
    <w:rsid w:val="00C30CCD"/>
    <w:rsid w:val="00C324A8"/>
    <w:rsid w:val="00C54517"/>
    <w:rsid w:val="00C56F70"/>
    <w:rsid w:val="00C57B91"/>
    <w:rsid w:val="00C64CD8"/>
    <w:rsid w:val="00C73CAF"/>
    <w:rsid w:val="00C82695"/>
    <w:rsid w:val="00C97C68"/>
    <w:rsid w:val="00CA1A47"/>
    <w:rsid w:val="00CA3DFC"/>
    <w:rsid w:val="00CA7CC5"/>
    <w:rsid w:val="00CB44E5"/>
    <w:rsid w:val="00CC247A"/>
    <w:rsid w:val="00CE388F"/>
    <w:rsid w:val="00CE5E47"/>
    <w:rsid w:val="00CF020F"/>
    <w:rsid w:val="00CF2B5B"/>
    <w:rsid w:val="00D05F53"/>
    <w:rsid w:val="00D14CE0"/>
    <w:rsid w:val="00D255D4"/>
    <w:rsid w:val="00D268B3"/>
    <w:rsid w:val="00D5138D"/>
    <w:rsid w:val="00D52FD6"/>
    <w:rsid w:val="00D54009"/>
    <w:rsid w:val="00D5651D"/>
    <w:rsid w:val="00D57A34"/>
    <w:rsid w:val="00D74898"/>
    <w:rsid w:val="00D801ED"/>
    <w:rsid w:val="00D936BC"/>
    <w:rsid w:val="00D96530"/>
    <w:rsid w:val="00DA1CB1"/>
    <w:rsid w:val="00DC2944"/>
    <w:rsid w:val="00DC4831"/>
    <w:rsid w:val="00DD44AF"/>
    <w:rsid w:val="00DE2813"/>
    <w:rsid w:val="00DE2AC3"/>
    <w:rsid w:val="00DE3174"/>
    <w:rsid w:val="00DE5692"/>
    <w:rsid w:val="00DE6300"/>
    <w:rsid w:val="00DF4BC6"/>
    <w:rsid w:val="00DF78E0"/>
    <w:rsid w:val="00E03C94"/>
    <w:rsid w:val="00E205BC"/>
    <w:rsid w:val="00E26226"/>
    <w:rsid w:val="00E45D05"/>
    <w:rsid w:val="00E55816"/>
    <w:rsid w:val="00E55AEF"/>
    <w:rsid w:val="00E92560"/>
    <w:rsid w:val="00E976C1"/>
    <w:rsid w:val="00EA12E5"/>
    <w:rsid w:val="00EB0812"/>
    <w:rsid w:val="00EB54B2"/>
    <w:rsid w:val="00EB55C6"/>
    <w:rsid w:val="00ED473B"/>
    <w:rsid w:val="00EF1932"/>
    <w:rsid w:val="00EF71B6"/>
    <w:rsid w:val="00F02766"/>
    <w:rsid w:val="00F05BD4"/>
    <w:rsid w:val="00F06473"/>
    <w:rsid w:val="00F07A69"/>
    <w:rsid w:val="00F320AA"/>
    <w:rsid w:val="00F6155B"/>
    <w:rsid w:val="00F65C19"/>
    <w:rsid w:val="00F822B0"/>
    <w:rsid w:val="00F85336"/>
    <w:rsid w:val="00FA0924"/>
    <w:rsid w:val="00FD08E2"/>
    <w:rsid w:val="00FD18DA"/>
    <w:rsid w:val="00FD2546"/>
    <w:rsid w:val="00FD772E"/>
    <w:rsid w:val="00FE03DB"/>
    <w:rsid w:val="00FE3324"/>
    <w:rsid w:val="00FE6588"/>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4EEA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iPriority w:val="99"/>
    <w:qFormat/>
    <w:rsid w:val="00745AEE"/>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qFormat/>
    <w:rsid w:val="00745AEE"/>
    <w:pPr>
      <w:keepLines/>
      <w:tabs>
        <w:tab w:val="left" w:pos="255"/>
      </w:tabs>
    </w:p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unhideWhenUsed/>
    <w:rPr>
      <w:color w:val="0000FF" w:themeColor="hyperlink"/>
      <w:u w:val="single"/>
    </w:rPr>
  </w:style>
  <w:style w:type="character" w:customStyle="1" w:styleId="HeadingbChar">
    <w:name w:val="Heading_b Char"/>
    <w:link w:val="Headingb"/>
    <w:uiPriority w:val="99"/>
    <w:qFormat/>
    <w:locked/>
    <w:rsid w:val="00F07A69"/>
    <w:rPr>
      <w:rFonts w:ascii="Times New Roman Bold" w:hAnsi="Times New Roman Bold" w:cs="Times New Roman Bold"/>
      <w:b/>
      <w:sz w:val="24"/>
      <w:lang w:val="fr-CH" w:eastAsia="en-US"/>
    </w:rPr>
  </w:style>
  <w:style w:type="paragraph" w:styleId="Revision">
    <w:name w:val="Revision"/>
    <w:hidden/>
    <w:uiPriority w:val="99"/>
    <w:semiHidden/>
    <w:rsid w:val="006F1D4B"/>
    <w:rPr>
      <w:rFonts w:ascii="Times New Roman" w:hAnsi="Times New Roman"/>
      <w:sz w:val="24"/>
      <w:lang w:val="en-GB" w:eastAsia="en-US"/>
    </w:rPr>
  </w:style>
  <w:style w:type="paragraph" w:customStyle="1" w:styleId="nortified">
    <w:name w:val="nortified"/>
    <w:basedOn w:val="Normal"/>
    <w:rsid w:val="009E7F86"/>
    <w:pPr>
      <w:snapToGrid w:val="0"/>
      <w:jc w:val="both"/>
    </w:pPr>
    <w:rPr>
      <w:rFonts w:eastAsia="Batang"/>
    </w:rPr>
  </w:style>
  <w:style w:type="character" w:styleId="UnresolvedMention">
    <w:name w:val="Unresolved Mention"/>
    <w:basedOn w:val="DefaultParagraphFont"/>
    <w:uiPriority w:val="99"/>
    <w:semiHidden/>
    <w:unhideWhenUsed/>
    <w:rsid w:val="00E92560"/>
    <w:rPr>
      <w:color w:val="605E5C"/>
      <w:shd w:val="clear" w:color="auto" w:fill="E1DFDD"/>
    </w:rPr>
  </w:style>
  <w:style w:type="character" w:styleId="CommentReference">
    <w:name w:val="annotation reference"/>
    <w:basedOn w:val="DefaultParagraphFont"/>
    <w:semiHidden/>
    <w:unhideWhenUsed/>
    <w:rsid w:val="004A69E7"/>
    <w:rPr>
      <w:sz w:val="16"/>
      <w:szCs w:val="16"/>
    </w:rPr>
  </w:style>
  <w:style w:type="paragraph" w:styleId="CommentText">
    <w:name w:val="annotation text"/>
    <w:basedOn w:val="Normal"/>
    <w:link w:val="CommentTextChar"/>
    <w:unhideWhenUsed/>
    <w:rsid w:val="004A69E7"/>
    <w:rPr>
      <w:sz w:val="20"/>
    </w:rPr>
  </w:style>
  <w:style w:type="character" w:customStyle="1" w:styleId="CommentTextChar">
    <w:name w:val="Comment Text Char"/>
    <w:basedOn w:val="DefaultParagraphFont"/>
    <w:link w:val="CommentText"/>
    <w:rsid w:val="004A69E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A69E7"/>
    <w:rPr>
      <w:b/>
      <w:bCs/>
    </w:rPr>
  </w:style>
  <w:style w:type="character" w:customStyle="1" w:styleId="CommentSubjectChar">
    <w:name w:val="Comment Subject Char"/>
    <w:basedOn w:val="CommentTextChar"/>
    <w:link w:val="CommentSubject"/>
    <w:semiHidden/>
    <w:rsid w:val="004A69E7"/>
    <w:rPr>
      <w:rFonts w:ascii="Times New Roman" w:hAnsi="Times New Roman"/>
      <w:b/>
      <w:bCs/>
      <w:lang w:val="en-GB" w:eastAsia="en-US"/>
    </w:rPr>
  </w:style>
  <w:style w:type="character" w:styleId="FollowedHyperlink">
    <w:name w:val="FollowedHyperlink"/>
    <w:basedOn w:val="DefaultParagraphFont"/>
    <w:semiHidden/>
    <w:unhideWhenUsed/>
    <w:rsid w:val="00DE31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fcc.gov/document/fcc-examine-127-ghz-band-next-gen-wireless" TargetMode="External"/><Relationship Id="rId1" Type="http://schemas.openxmlformats.org/officeDocument/2006/relationships/hyperlink" Target="https://www.fcc.gov/document/fcc-examine-127-ghz-band-next-gen-wire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R23-WRC23-C-0122!!MSW-E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511A69-588B-46D3-A7A8-FF639401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5FFC7-FBAD-4832-B841-C2A170AB3F3C}">
  <ds:schemaRefs>
    <ds:schemaRef ds:uri="http://schemas.microsoft.com/sharepoint/v3/contenttype/forms"/>
  </ds:schemaRefs>
</ds:datastoreItem>
</file>

<file path=customXml/itemProps3.xml><?xml version="1.0" encoding="utf-8"?>
<ds:datastoreItem xmlns:ds="http://schemas.openxmlformats.org/officeDocument/2006/customXml" ds:itemID="{687DC81F-6023-44E4-B032-6BD07D38C8BB}">
  <ds:schemaRefs>
    <ds:schemaRef ds:uri="http://schemas.openxmlformats.org/officeDocument/2006/bibliography"/>
  </ds:schemaRefs>
</ds:datastoreItem>
</file>

<file path=customXml/itemProps4.xml><?xml version="1.0" encoding="utf-8"?>
<ds:datastoreItem xmlns:ds="http://schemas.openxmlformats.org/officeDocument/2006/customXml" ds:itemID="{0CE168F5-FC98-4090-89D0-7A58D01AC466}">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9CE65648-F475-491B-8260-D9F533FE8B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2869</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R23-WRC23-C-0122!!MSW-E</vt:lpstr>
    </vt:vector>
  </TitlesOfParts>
  <Manager>General Secretariat - Pool</Manager>
  <Company>International Telecommunication Union (ITU)</Company>
  <LinksUpToDate>false</LinksUpToDate>
  <CharactersWithSpaces>18747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R23-WRC23-C-0122!!MSW-E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2023-11-01T10:46:00Z</dcterms:created>
  <dcterms:modified xsi:type="dcterms:W3CDTF">2023-11-02T09:09:00Z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