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311"/>
        <w:gridCol w:w="1809"/>
      </w:tblGrid>
      <w:tr w:rsidR="00C1305F" w:rsidRPr="009720B4" w14:paraId="2873E557" w14:textId="77777777" w:rsidTr="00C1305F">
        <w:trPr>
          <w:cantSplit/>
        </w:trPr>
        <w:tc>
          <w:tcPr>
            <w:tcW w:w="1418" w:type="dxa"/>
            <w:vAlign w:val="center"/>
          </w:tcPr>
          <w:p w14:paraId="6EECA856" w14:textId="77777777" w:rsidR="00C1305F" w:rsidRPr="009720B4" w:rsidRDefault="00C1305F">
            <w:pPr>
              <w:spacing w:before="0"/>
              <w:rPr>
                <w:rFonts w:ascii="Verdana" w:hAnsi="Verdana"/>
                <w:b/>
                <w:bCs/>
                <w:sz w:val="20"/>
              </w:rPr>
              <w:pPrChange w:id="0" w:author="Deturche-Nazer, Anne-Marie" w:date="2023-11-08T16:08:00Z">
                <w:pPr>
                  <w:framePr w:hSpace="180" w:wrap="around" w:hAnchor="margin" w:y="-675"/>
                  <w:spacing w:before="0" w:line="240" w:lineRule="atLeast"/>
                </w:pPr>
              </w:pPrChange>
            </w:pPr>
            <w:r w:rsidRPr="009720B4">
              <w:rPr>
                <w:noProof/>
              </w:rPr>
              <w:drawing>
                <wp:inline distT="0" distB="0" distL="0" distR="0" wp14:anchorId="745C3D52" wp14:editId="11A964AF">
                  <wp:extent cx="713105" cy="78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105" cy="786765"/>
                          </a:xfrm>
                          <a:prstGeom prst="rect">
                            <a:avLst/>
                          </a:prstGeom>
                          <a:noFill/>
                        </pic:spPr>
                      </pic:pic>
                    </a:graphicData>
                  </a:graphic>
                </wp:inline>
              </w:drawing>
            </w:r>
          </w:p>
        </w:tc>
        <w:tc>
          <w:tcPr>
            <w:tcW w:w="6804" w:type="dxa"/>
            <w:gridSpan w:val="2"/>
          </w:tcPr>
          <w:p w14:paraId="0802DC50" w14:textId="26278F02" w:rsidR="00C1305F" w:rsidRPr="009720B4" w:rsidRDefault="00C1305F">
            <w:pPr>
              <w:spacing w:before="400" w:after="48"/>
              <w:rPr>
                <w:rFonts w:ascii="Verdana" w:hAnsi="Verdana"/>
                <w:b/>
                <w:bCs/>
                <w:sz w:val="20"/>
              </w:rPr>
              <w:pPrChange w:id="1" w:author="Deturche-Nazer, Anne-Marie" w:date="2023-11-08T16:08:00Z">
                <w:pPr>
                  <w:framePr w:hSpace="180" w:wrap="around" w:hAnchor="margin" w:y="-675"/>
                  <w:spacing w:before="400" w:after="48" w:line="240" w:lineRule="atLeast"/>
                </w:pPr>
              </w:pPrChange>
            </w:pPr>
            <w:r w:rsidRPr="009720B4">
              <w:rPr>
                <w:rFonts w:ascii="Verdana" w:hAnsi="Verdana"/>
                <w:b/>
                <w:bCs/>
                <w:sz w:val="20"/>
              </w:rPr>
              <w:t>Conférence mondiale des radiocommunications (CMR-23)</w:t>
            </w:r>
            <w:r w:rsidRPr="009720B4">
              <w:rPr>
                <w:rFonts w:ascii="Verdana" w:hAnsi="Verdana"/>
                <w:b/>
                <w:bCs/>
                <w:sz w:val="20"/>
              </w:rPr>
              <w:br/>
            </w:r>
            <w:r w:rsidRPr="009720B4">
              <w:rPr>
                <w:rFonts w:ascii="Verdana" w:hAnsi="Verdana"/>
                <w:b/>
                <w:bCs/>
                <w:sz w:val="18"/>
                <w:szCs w:val="18"/>
              </w:rPr>
              <w:t xml:space="preserve">Dubaï, 20 novembre </w:t>
            </w:r>
            <w:r w:rsidR="00BA56C5" w:rsidRPr="009720B4">
              <w:rPr>
                <w:rFonts w:ascii="Verdana" w:hAnsi="Verdana"/>
                <w:b/>
                <w:bCs/>
                <w:sz w:val="18"/>
                <w:szCs w:val="18"/>
              </w:rPr>
              <w:t>–</w:t>
            </w:r>
            <w:r w:rsidRPr="009720B4">
              <w:rPr>
                <w:rFonts w:ascii="Verdana" w:hAnsi="Verdana"/>
                <w:b/>
                <w:bCs/>
                <w:sz w:val="18"/>
                <w:szCs w:val="18"/>
              </w:rPr>
              <w:t xml:space="preserve"> 15 décembre 2023</w:t>
            </w:r>
          </w:p>
        </w:tc>
        <w:tc>
          <w:tcPr>
            <w:tcW w:w="1809" w:type="dxa"/>
            <w:vAlign w:val="center"/>
          </w:tcPr>
          <w:p w14:paraId="70CAA048" w14:textId="77777777" w:rsidR="00C1305F" w:rsidRPr="009720B4" w:rsidRDefault="00C1305F">
            <w:pPr>
              <w:spacing w:before="0"/>
              <w:pPrChange w:id="2" w:author="Deturche-Nazer, Anne-Marie" w:date="2023-11-08T16:08:00Z">
                <w:pPr>
                  <w:framePr w:hSpace="180" w:wrap="around" w:hAnchor="margin" w:y="-675"/>
                  <w:spacing w:before="0" w:line="240" w:lineRule="atLeast"/>
                </w:pPr>
              </w:pPrChange>
            </w:pPr>
            <w:bookmarkStart w:id="3" w:name="ditulogo"/>
            <w:bookmarkEnd w:id="3"/>
            <w:r w:rsidRPr="009720B4">
              <w:rPr>
                <w:noProof/>
              </w:rPr>
              <w:drawing>
                <wp:inline distT="0" distB="0" distL="0" distR="0" wp14:anchorId="2A8844A6" wp14:editId="48BE5B30">
                  <wp:extent cx="1015340" cy="101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9632" cy="1029632"/>
                          </a:xfrm>
                          <a:prstGeom prst="rect">
                            <a:avLst/>
                          </a:prstGeom>
                          <a:noFill/>
                          <a:ln>
                            <a:noFill/>
                          </a:ln>
                        </pic:spPr>
                      </pic:pic>
                    </a:graphicData>
                  </a:graphic>
                </wp:inline>
              </w:drawing>
            </w:r>
          </w:p>
        </w:tc>
      </w:tr>
      <w:tr w:rsidR="00BB1D82" w:rsidRPr="009720B4" w14:paraId="4C63B1D0" w14:textId="77777777" w:rsidTr="00323E7B">
        <w:trPr>
          <w:cantSplit/>
        </w:trPr>
        <w:tc>
          <w:tcPr>
            <w:tcW w:w="6911" w:type="dxa"/>
            <w:gridSpan w:val="2"/>
            <w:tcBorders>
              <w:bottom w:val="single" w:sz="12" w:space="0" w:color="auto"/>
            </w:tcBorders>
          </w:tcPr>
          <w:p w14:paraId="013205C3" w14:textId="77777777" w:rsidR="00BB1D82" w:rsidRPr="009720B4" w:rsidRDefault="00BB1D82">
            <w:pPr>
              <w:spacing w:before="0" w:after="48"/>
              <w:rPr>
                <w:b/>
                <w:smallCaps/>
                <w:szCs w:val="24"/>
              </w:rPr>
              <w:pPrChange w:id="4" w:author="Deturche-Nazer, Anne-Marie" w:date="2023-11-08T16:08:00Z">
                <w:pPr>
                  <w:framePr w:hSpace="180" w:wrap="around" w:hAnchor="margin" w:y="-675"/>
                  <w:spacing w:before="0" w:after="48" w:line="240" w:lineRule="atLeast"/>
                </w:pPr>
              </w:pPrChange>
            </w:pPr>
            <w:bookmarkStart w:id="5" w:name="dhead"/>
          </w:p>
        </w:tc>
        <w:tc>
          <w:tcPr>
            <w:tcW w:w="3120" w:type="dxa"/>
            <w:gridSpan w:val="2"/>
            <w:tcBorders>
              <w:bottom w:val="single" w:sz="12" w:space="0" w:color="auto"/>
            </w:tcBorders>
          </w:tcPr>
          <w:p w14:paraId="7713C46E" w14:textId="77777777" w:rsidR="00BB1D82" w:rsidRPr="009720B4" w:rsidRDefault="00BB1D82">
            <w:pPr>
              <w:spacing w:before="0"/>
              <w:rPr>
                <w:rFonts w:ascii="Verdana" w:hAnsi="Verdana"/>
                <w:szCs w:val="24"/>
              </w:rPr>
              <w:pPrChange w:id="6" w:author="Deturche-Nazer, Anne-Marie" w:date="2023-11-08T16:08:00Z">
                <w:pPr>
                  <w:framePr w:hSpace="180" w:wrap="around" w:hAnchor="margin" w:y="-675"/>
                  <w:spacing w:before="0" w:line="240" w:lineRule="atLeast"/>
                </w:pPr>
              </w:pPrChange>
            </w:pPr>
          </w:p>
        </w:tc>
      </w:tr>
      <w:tr w:rsidR="00BB1D82" w:rsidRPr="009720B4" w14:paraId="6D8F7DEF" w14:textId="77777777" w:rsidTr="00BB1D82">
        <w:trPr>
          <w:cantSplit/>
        </w:trPr>
        <w:tc>
          <w:tcPr>
            <w:tcW w:w="6911" w:type="dxa"/>
            <w:gridSpan w:val="2"/>
            <w:tcBorders>
              <w:top w:val="single" w:sz="12" w:space="0" w:color="auto"/>
            </w:tcBorders>
          </w:tcPr>
          <w:p w14:paraId="27A955B3" w14:textId="77777777" w:rsidR="00BB1D82" w:rsidRPr="009720B4" w:rsidRDefault="00BB1D82">
            <w:pPr>
              <w:spacing w:before="0" w:after="48"/>
              <w:rPr>
                <w:rFonts w:ascii="Verdana" w:hAnsi="Verdana"/>
                <w:b/>
                <w:smallCaps/>
                <w:sz w:val="20"/>
              </w:rPr>
              <w:pPrChange w:id="7" w:author="Deturche-Nazer, Anne-Marie" w:date="2023-11-08T16:08:00Z">
                <w:pPr>
                  <w:framePr w:hSpace="180" w:wrap="around" w:hAnchor="margin" w:y="-675"/>
                  <w:spacing w:before="0" w:after="48" w:line="240" w:lineRule="atLeast"/>
                </w:pPr>
              </w:pPrChange>
            </w:pPr>
          </w:p>
        </w:tc>
        <w:tc>
          <w:tcPr>
            <w:tcW w:w="3120" w:type="dxa"/>
            <w:gridSpan w:val="2"/>
            <w:tcBorders>
              <w:top w:val="single" w:sz="12" w:space="0" w:color="auto"/>
            </w:tcBorders>
          </w:tcPr>
          <w:p w14:paraId="26498567" w14:textId="77777777" w:rsidR="00BB1D82" w:rsidRPr="009720B4" w:rsidRDefault="00BB1D82">
            <w:pPr>
              <w:spacing w:before="0"/>
              <w:rPr>
                <w:rFonts w:ascii="Verdana" w:hAnsi="Verdana"/>
                <w:sz w:val="20"/>
              </w:rPr>
              <w:pPrChange w:id="8" w:author="Deturche-Nazer, Anne-Marie" w:date="2023-11-08T16:08:00Z">
                <w:pPr>
                  <w:framePr w:hSpace="180" w:wrap="around" w:hAnchor="margin" w:y="-675"/>
                  <w:spacing w:before="0" w:line="240" w:lineRule="atLeast"/>
                </w:pPr>
              </w:pPrChange>
            </w:pPr>
          </w:p>
        </w:tc>
      </w:tr>
      <w:tr w:rsidR="00BB1D82" w:rsidRPr="009720B4" w14:paraId="0836623F" w14:textId="77777777" w:rsidTr="00BB1D82">
        <w:trPr>
          <w:cantSplit/>
        </w:trPr>
        <w:tc>
          <w:tcPr>
            <w:tcW w:w="6911" w:type="dxa"/>
            <w:gridSpan w:val="2"/>
          </w:tcPr>
          <w:p w14:paraId="34DF1889" w14:textId="77777777" w:rsidR="00BB1D82" w:rsidRPr="009720B4" w:rsidRDefault="006D4724" w:rsidP="00420EAE">
            <w:pPr>
              <w:spacing w:before="0"/>
              <w:rPr>
                <w:rFonts w:ascii="Verdana" w:hAnsi="Verdana"/>
                <w:b/>
                <w:sz w:val="20"/>
              </w:rPr>
            </w:pPr>
            <w:r w:rsidRPr="009720B4">
              <w:rPr>
                <w:rFonts w:ascii="Verdana" w:hAnsi="Verdana"/>
                <w:b/>
                <w:sz w:val="20"/>
              </w:rPr>
              <w:t>SÉANCE PLÉNIÈRE</w:t>
            </w:r>
          </w:p>
        </w:tc>
        <w:tc>
          <w:tcPr>
            <w:tcW w:w="3120" w:type="dxa"/>
            <w:gridSpan w:val="2"/>
          </w:tcPr>
          <w:p w14:paraId="6DBD0A05" w14:textId="77777777" w:rsidR="00BB1D82" w:rsidRPr="009720B4" w:rsidRDefault="006D4724" w:rsidP="00420EAE">
            <w:pPr>
              <w:spacing w:before="0"/>
              <w:rPr>
                <w:rFonts w:ascii="Verdana" w:hAnsi="Verdana"/>
                <w:sz w:val="20"/>
              </w:rPr>
            </w:pPr>
            <w:r w:rsidRPr="009720B4">
              <w:rPr>
                <w:rFonts w:ascii="Verdana" w:hAnsi="Verdana"/>
                <w:b/>
                <w:sz w:val="20"/>
              </w:rPr>
              <w:t>Document 121</w:t>
            </w:r>
            <w:r w:rsidR="00BB1D82" w:rsidRPr="009720B4">
              <w:rPr>
                <w:rFonts w:ascii="Verdana" w:hAnsi="Verdana"/>
                <w:b/>
                <w:sz w:val="20"/>
              </w:rPr>
              <w:t>-</w:t>
            </w:r>
            <w:r w:rsidRPr="009720B4">
              <w:rPr>
                <w:rFonts w:ascii="Verdana" w:hAnsi="Verdana"/>
                <w:b/>
                <w:sz w:val="20"/>
              </w:rPr>
              <w:t>F</w:t>
            </w:r>
          </w:p>
        </w:tc>
      </w:tr>
      <w:bookmarkEnd w:id="5"/>
      <w:tr w:rsidR="00690C7B" w:rsidRPr="009720B4" w14:paraId="6861D216" w14:textId="77777777" w:rsidTr="00BB1D82">
        <w:trPr>
          <w:cantSplit/>
        </w:trPr>
        <w:tc>
          <w:tcPr>
            <w:tcW w:w="6911" w:type="dxa"/>
            <w:gridSpan w:val="2"/>
          </w:tcPr>
          <w:p w14:paraId="2963CB40" w14:textId="77777777" w:rsidR="00690C7B" w:rsidRPr="009720B4" w:rsidRDefault="00690C7B" w:rsidP="00420EAE">
            <w:pPr>
              <w:spacing w:before="0"/>
              <w:rPr>
                <w:rFonts w:ascii="Verdana" w:hAnsi="Verdana"/>
                <w:b/>
                <w:sz w:val="20"/>
              </w:rPr>
            </w:pPr>
          </w:p>
        </w:tc>
        <w:tc>
          <w:tcPr>
            <w:tcW w:w="3120" w:type="dxa"/>
            <w:gridSpan w:val="2"/>
          </w:tcPr>
          <w:p w14:paraId="74793136" w14:textId="77777777" w:rsidR="00690C7B" w:rsidRPr="009720B4" w:rsidRDefault="00690C7B" w:rsidP="00420EAE">
            <w:pPr>
              <w:spacing w:before="0"/>
              <w:rPr>
                <w:rFonts w:ascii="Verdana" w:hAnsi="Verdana"/>
                <w:b/>
                <w:sz w:val="20"/>
              </w:rPr>
            </w:pPr>
            <w:r w:rsidRPr="009720B4">
              <w:rPr>
                <w:rFonts w:ascii="Verdana" w:hAnsi="Verdana"/>
                <w:b/>
                <w:sz w:val="20"/>
              </w:rPr>
              <w:t>29 octobre 2023</w:t>
            </w:r>
          </w:p>
        </w:tc>
      </w:tr>
      <w:tr w:rsidR="00690C7B" w:rsidRPr="009720B4" w14:paraId="01B0DAE8" w14:textId="77777777" w:rsidTr="00BB1D82">
        <w:trPr>
          <w:cantSplit/>
        </w:trPr>
        <w:tc>
          <w:tcPr>
            <w:tcW w:w="6911" w:type="dxa"/>
            <w:gridSpan w:val="2"/>
          </w:tcPr>
          <w:p w14:paraId="0BC57E5F" w14:textId="77777777" w:rsidR="00690C7B" w:rsidRPr="009720B4" w:rsidRDefault="00690C7B" w:rsidP="00420EAE">
            <w:pPr>
              <w:spacing w:before="0" w:after="48"/>
              <w:rPr>
                <w:rFonts w:ascii="Verdana" w:hAnsi="Verdana"/>
                <w:b/>
                <w:smallCaps/>
                <w:sz w:val="20"/>
              </w:rPr>
            </w:pPr>
          </w:p>
        </w:tc>
        <w:tc>
          <w:tcPr>
            <w:tcW w:w="3120" w:type="dxa"/>
            <w:gridSpan w:val="2"/>
          </w:tcPr>
          <w:p w14:paraId="328DB6F6" w14:textId="77777777" w:rsidR="00690C7B" w:rsidRPr="009720B4" w:rsidRDefault="00690C7B" w:rsidP="00420EAE">
            <w:pPr>
              <w:spacing w:before="0"/>
              <w:rPr>
                <w:rFonts w:ascii="Verdana" w:hAnsi="Verdana"/>
                <w:b/>
                <w:sz w:val="20"/>
              </w:rPr>
            </w:pPr>
            <w:r w:rsidRPr="009720B4">
              <w:rPr>
                <w:rFonts w:ascii="Verdana" w:hAnsi="Verdana"/>
                <w:b/>
                <w:sz w:val="20"/>
              </w:rPr>
              <w:t>Original: anglais</w:t>
            </w:r>
          </w:p>
        </w:tc>
      </w:tr>
      <w:tr w:rsidR="00690C7B" w:rsidRPr="009720B4" w14:paraId="0F86842F" w14:textId="77777777" w:rsidTr="00323E7B">
        <w:trPr>
          <w:cantSplit/>
        </w:trPr>
        <w:tc>
          <w:tcPr>
            <w:tcW w:w="10031" w:type="dxa"/>
            <w:gridSpan w:val="4"/>
          </w:tcPr>
          <w:p w14:paraId="78CA9A18" w14:textId="77777777" w:rsidR="00690C7B" w:rsidRPr="009720B4" w:rsidRDefault="00690C7B" w:rsidP="00420EAE">
            <w:pPr>
              <w:spacing w:before="0"/>
              <w:rPr>
                <w:rFonts w:ascii="Verdana" w:hAnsi="Verdana"/>
                <w:b/>
                <w:sz w:val="20"/>
              </w:rPr>
            </w:pPr>
          </w:p>
        </w:tc>
      </w:tr>
      <w:tr w:rsidR="00690C7B" w:rsidRPr="009720B4" w14:paraId="5BCD1A4E" w14:textId="77777777" w:rsidTr="00323E7B">
        <w:trPr>
          <w:cantSplit/>
        </w:trPr>
        <w:tc>
          <w:tcPr>
            <w:tcW w:w="10031" w:type="dxa"/>
            <w:gridSpan w:val="4"/>
          </w:tcPr>
          <w:p w14:paraId="3689B40D" w14:textId="0EF0F53B" w:rsidR="00690C7B" w:rsidRPr="009720B4" w:rsidRDefault="00690C7B" w:rsidP="00420EAE">
            <w:pPr>
              <w:pStyle w:val="Source"/>
            </w:pPr>
            <w:bookmarkStart w:id="9" w:name="dsource" w:colFirst="0" w:colLast="0"/>
            <w:r w:rsidRPr="009720B4">
              <w:t xml:space="preserve">Kiribati </w:t>
            </w:r>
            <w:r w:rsidR="00335776" w:rsidRPr="009720B4">
              <w:t>(République de)/Micronésie (É</w:t>
            </w:r>
            <w:r w:rsidRPr="009720B4">
              <w:t>tats fédérés de)/Nauru</w:t>
            </w:r>
            <w:r w:rsidR="005B72D8">
              <w:br/>
            </w:r>
            <w:r w:rsidRPr="009720B4">
              <w:t>(République de)/Papouasie-Nouvelle-Guinée/Salomon</w:t>
            </w:r>
            <w:r w:rsidR="005B72D8">
              <w:br/>
            </w:r>
            <w:r w:rsidRPr="009720B4">
              <w:t>(Iles)/Tonga (Royaume des)/Tuvalu</w:t>
            </w:r>
          </w:p>
        </w:tc>
      </w:tr>
      <w:tr w:rsidR="00690C7B" w:rsidRPr="009720B4" w14:paraId="0289246A" w14:textId="77777777" w:rsidTr="00323E7B">
        <w:trPr>
          <w:cantSplit/>
        </w:trPr>
        <w:tc>
          <w:tcPr>
            <w:tcW w:w="10031" w:type="dxa"/>
            <w:gridSpan w:val="4"/>
          </w:tcPr>
          <w:p w14:paraId="66771C64" w14:textId="3AE04CD5" w:rsidR="00690C7B" w:rsidRPr="009720B4" w:rsidRDefault="00BA56C5" w:rsidP="00420EAE">
            <w:pPr>
              <w:pStyle w:val="Title1"/>
            </w:pPr>
            <w:bookmarkStart w:id="10" w:name="dtitle1" w:colFirst="0" w:colLast="0"/>
            <w:bookmarkEnd w:id="9"/>
            <w:r w:rsidRPr="009720B4">
              <w:t>PROPOSITIONS POUR LES TRAVAUX DE LA CONFÉRENCE</w:t>
            </w:r>
          </w:p>
        </w:tc>
      </w:tr>
      <w:tr w:rsidR="00690C7B" w:rsidRPr="009720B4" w14:paraId="4AC907AC" w14:textId="77777777" w:rsidTr="00323E7B">
        <w:trPr>
          <w:cantSplit/>
        </w:trPr>
        <w:tc>
          <w:tcPr>
            <w:tcW w:w="10031" w:type="dxa"/>
            <w:gridSpan w:val="4"/>
          </w:tcPr>
          <w:p w14:paraId="6246A230" w14:textId="77777777" w:rsidR="00690C7B" w:rsidRPr="009720B4" w:rsidRDefault="00690C7B" w:rsidP="00420EAE">
            <w:pPr>
              <w:pStyle w:val="Title2"/>
            </w:pPr>
            <w:bookmarkStart w:id="11" w:name="dtitle2" w:colFirst="0" w:colLast="0"/>
            <w:bookmarkEnd w:id="10"/>
          </w:p>
        </w:tc>
      </w:tr>
      <w:tr w:rsidR="00690C7B" w:rsidRPr="009720B4" w14:paraId="0D8150BC" w14:textId="77777777" w:rsidTr="00323E7B">
        <w:trPr>
          <w:cantSplit/>
        </w:trPr>
        <w:tc>
          <w:tcPr>
            <w:tcW w:w="10031" w:type="dxa"/>
            <w:gridSpan w:val="4"/>
          </w:tcPr>
          <w:p w14:paraId="1D38221C" w14:textId="77777777" w:rsidR="00690C7B" w:rsidRPr="009720B4" w:rsidRDefault="00690C7B" w:rsidP="00420EAE">
            <w:pPr>
              <w:pStyle w:val="Agendaitem"/>
              <w:rPr>
                <w:lang w:val="fr-FR"/>
              </w:rPr>
            </w:pPr>
            <w:bookmarkStart w:id="12" w:name="dtitle3" w:colFirst="0" w:colLast="0"/>
            <w:bookmarkEnd w:id="11"/>
            <w:r w:rsidRPr="009720B4">
              <w:rPr>
                <w:lang w:val="fr-FR"/>
              </w:rPr>
              <w:t>Point 10 de l'ordre du jour</w:t>
            </w:r>
          </w:p>
        </w:tc>
      </w:tr>
    </w:tbl>
    <w:bookmarkEnd w:id="12"/>
    <w:p w14:paraId="3E10BF1E" w14:textId="74049B31" w:rsidR="00335776" w:rsidRPr="009720B4" w:rsidRDefault="00AB2BD9" w:rsidP="00420EAE">
      <w:r w:rsidRPr="009720B4">
        <w:t>10</w:t>
      </w:r>
      <w:r w:rsidRPr="009720B4">
        <w:tab/>
        <w:t xml:space="preserve">recommander au Conseil de l'UIT des points à inscrire à l'ordre du jour de la Conférence mondiale des radiocommunications suivante et des points de l'ordre du jour préliminaire de conférences futures, conformément à l'article 7 de la Convention de l'UIT et à la Résolution </w:t>
      </w:r>
      <w:r w:rsidRPr="009720B4">
        <w:rPr>
          <w:b/>
        </w:rPr>
        <w:t>804 (Rév.CMR-19)</w:t>
      </w:r>
      <w:r w:rsidR="00335776" w:rsidRPr="009720B4">
        <w:t>.</w:t>
      </w:r>
    </w:p>
    <w:p w14:paraId="4DDD6348" w14:textId="333820C0" w:rsidR="003A583E" w:rsidRPr="009720B4" w:rsidRDefault="00335776" w:rsidP="007C6767">
      <w:pPr>
        <w:pStyle w:val="Headingb"/>
      </w:pPr>
      <w:r w:rsidRPr="009720B4">
        <w:t xml:space="preserve">Proposition </w:t>
      </w:r>
      <w:r w:rsidR="00683D4B" w:rsidRPr="009720B4">
        <w:t>visant à inscrire un</w:t>
      </w:r>
      <w:r w:rsidRPr="009720B4">
        <w:t xml:space="preserve"> point </w:t>
      </w:r>
      <w:r w:rsidR="00683D4B" w:rsidRPr="009720B4">
        <w:t>à</w:t>
      </w:r>
      <w:r w:rsidRPr="009720B4">
        <w:t xml:space="preserve"> l'ordre du jour </w:t>
      </w:r>
      <w:r w:rsidR="00683D4B" w:rsidRPr="009720B4">
        <w:t>concernant l'étude des</w:t>
      </w:r>
      <w:r w:rsidRPr="009720B4">
        <w:t xml:space="preserve"> dispositions réglementaires </w:t>
      </w:r>
      <w:r w:rsidR="00683D4B" w:rsidRPr="009720B4">
        <w:t>relatives</w:t>
      </w:r>
      <w:r w:rsidRPr="009720B4">
        <w:t xml:space="preserve"> à la protection des réseaux du service fixe par satellite (SFS) et du service de radiodiffusion par satellite (SRS) sur l'orbite des satellites géostationnaires </w:t>
      </w:r>
      <w:r w:rsidR="000367FA" w:rsidRPr="009720B4">
        <w:t xml:space="preserve">(OSG) contre les brouillages inacceptables causés par les systèmes </w:t>
      </w:r>
      <w:r w:rsidR="00944595" w:rsidRPr="009720B4">
        <w:t xml:space="preserve">non OSG </w:t>
      </w:r>
      <w:r w:rsidR="000367FA" w:rsidRPr="009720B4">
        <w:t xml:space="preserve">du SFS dans des parties des bandes de fréquences </w:t>
      </w:r>
      <w:r w:rsidR="002F6448" w:rsidRPr="009720B4">
        <w:t>3 700-4 200 MHz, 5 </w:t>
      </w:r>
      <w:r w:rsidR="000367FA" w:rsidRPr="009720B4">
        <w:t xml:space="preserve">925-6 725 MHz, 10,7-14,5 GHz, 17,3-20,2 GHz et 27,5-30 GHz </w:t>
      </w:r>
      <w:r w:rsidR="00683D4B" w:rsidRPr="009720B4">
        <w:t>auxquelles s'appliquent les limites de puissance surfacique équivalente (</w:t>
      </w:r>
      <w:r w:rsidR="000367FA" w:rsidRPr="009720B4">
        <w:t>epfd</w:t>
      </w:r>
      <w:r w:rsidR="00683D4B" w:rsidRPr="009720B4">
        <w:t>)</w:t>
      </w:r>
      <w:r w:rsidR="000367FA" w:rsidRPr="009720B4">
        <w:t xml:space="preserve"> indiquées dans l'Article 22 du RR.</w:t>
      </w:r>
    </w:p>
    <w:p w14:paraId="3284B896" w14:textId="1D83F879" w:rsidR="000367FA" w:rsidRPr="009720B4" w:rsidRDefault="000367FA" w:rsidP="00420EAE">
      <w:pPr>
        <w:pStyle w:val="Headingb"/>
      </w:pPr>
      <w:r w:rsidRPr="009720B4">
        <w:t>Considérations générales</w:t>
      </w:r>
    </w:p>
    <w:p w14:paraId="6AE001BD" w14:textId="2F0C8744" w:rsidR="000367FA" w:rsidRPr="009720B4" w:rsidRDefault="000367FA" w:rsidP="00420EAE">
      <w:r w:rsidRPr="009720B4">
        <w:t>Les systèmes à satellites non OSG capables de connecter les populations du monde qui ne le sont pas encore sont une réalité, et davantage de systèmes seront déployés dans les années à venir. Ces systèmes offrent une connectivité large bande</w:t>
      </w:r>
      <w:r w:rsidR="00944595" w:rsidRPr="009720B4">
        <w:t xml:space="preserve"> à</w:t>
      </w:r>
      <w:r w:rsidRPr="009720B4">
        <w:t xml:space="preserve"> haut débit et à faible temps de latence </w:t>
      </w:r>
      <w:r w:rsidR="00C717E6" w:rsidRPr="009720B4">
        <w:t>partout dans le monde,</w:t>
      </w:r>
      <w:r w:rsidR="00944595" w:rsidRPr="009720B4">
        <w:t xml:space="preserve"> y compris </w:t>
      </w:r>
      <w:r w:rsidR="00C717E6" w:rsidRPr="009720B4">
        <w:t>dans</w:t>
      </w:r>
      <w:r w:rsidRPr="009720B4">
        <w:t xml:space="preserve"> </w:t>
      </w:r>
      <w:r w:rsidR="00944595" w:rsidRPr="009720B4">
        <w:t xml:space="preserve">les </w:t>
      </w:r>
      <w:r w:rsidRPr="009720B4">
        <w:t xml:space="preserve">endroits où l'accès à l'Internet était </w:t>
      </w:r>
      <w:r w:rsidR="00C717E6" w:rsidRPr="009720B4">
        <w:t>auparavant</w:t>
      </w:r>
      <w:r w:rsidRPr="009720B4">
        <w:t xml:space="preserve"> trop coûteux</w:t>
      </w:r>
      <w:r w:rsidR="00944595" w:rsidRPr="009720B4">
        <w:t xml:space="preserve"> et </w:t>
      </w:r>
      <w:r w:rsidR="002F6448" w:rsidRPr="009720B4">
        <w:t>peu fiable</w:t>
      </w:r>
      <w:r w:rsidR="00944595" w:rsidRPr="009720B4">
        <w:t xml:space="preserve">, voire </w:t>
      </w:r>
      <w:r w:rsidR="002E5EC4" w:rsidRPr="009720B4">
        <w:t>totalement</w:t>
      </w:r>
      <w:r w:rsidR="00944595" w:rsidRPr="009720B4">
        <w:t xml:space="preserve"> indisponible</w:t>
      </w:r>
      <w:r w:rsidR="002E5EC4" w:rsidRPr="009720B4">
        <w:t xml:space="preserve">. En septembre 2023, des données publiques </w:t>
      </w:r>
      <w:r w:rsidR="00C717E6" w:rsidRPr="009720B4">
        <w:t>indiquaient</w:t>
      </w:r>
      <w:r w:rsidR="002E5EC4" w:rsidRPr="009720B4">
        <w:t xml:space="preserve"> que les systèmes non OSG </w:t>
      </w:r>
      <w:r w:rsidR="00944595" w:rsidRPr="009720B4">
        <w:t xml:space="preserve">du SFS </w:t>
      </w:r>
      <w:r w:rsidR="002E5EC4" w:rsidRPr="009720B4">
        <w:t>desservent plus de deux millions</w:t>
      </w:r>
      <w:r w:rsidR="00D01AB0" w:rsidRPr="009720B4">
        <w:t xml:space="preserve"> d'utilisateurs dans le monde, l'objectif ambitieux étant qu'ils contribuent largement</w:t>
      </w:r>
      <w:r w:rsidR="003079AF" w:rsidRPr="009720B4">
        <w:t xml:space="preserve"> </w:t>
      </w:r>
      <w:r w:rsidR="00D01AB0" w:rsidRPr="009720B4">
        <w:t xml:space="preserve">à </w:t>
      </w:r>
      <w:r w:rsidR="00C717E6" w:rsidRPr="009720B4">
        <w:t>connecter les deux milliards de personnes qui ne le sont pas encore. Cela se traduirait par des avantages significatifs et concrets pour la communauté mondiale.</w:t>
      </w:r>
    </w:p>
    <w:p w14:paraId="20C8953A" w14:textId="6BDE2D76" w:rsidR="00C717E6" w:rsidRPr="009720B4" w:rsidRDefault="00E1465B" w:rsidP="00420EAE">
      <w:r w:rsidRPr="009720B4">
        <w:t>Les</w:t>
      </w:r>
      <w:r w:rsidR="00C717E6" w:rsidRPr="009720B4">
        <w:t xml:space="preserve"> systèmes du SFS non OSG</w:t>
      </w:r>
      <w:r w:rsidR="00944595" w:rsidRPr="009720B4">
        <w:t xml:space="preserve"> sont </w:t>
      </w:r>
      <w:r w:rsidR="00C717E6" w:rsidRPr="009720B4">
        <w:t xml:space="preserve">entièrement </w:t>
      </w:r>
      <w:r w:rsidR="00944595" w:rsidRPr="009720B4">
        <w:t>tributaires</w:t>
      </w:r>
      <w:r w:rsidR="00944595" w:rsidRPr="009720B4" w:rsidDel="00944595">
        <w:t xml:space="preserve"> </w:t>
      </w:r>
      <w:r w:rsidR="00944595" w:rsidRPr="009720B4">
        <w:t xml:space="preserve">de l'utilisation en </w:t>
      </w:r>
      <w:r w:rsidR="00C717E6" w:rsidRPr="009720B4">
        <w:t>partage</w:t>
      </w:r>
      <w:r w:rsidRPr="009720B4">
        <w:t xml:space="preserve"> du spectre</w:t>
      </w:r>
      <w:r w:rsidR="00C717E6" w:rsidRPr="009720B4">
        <w:t xml:space="preserve">. L'Article </w:t>
      </w:r>
      <w:r w:rsidR="00C717E6" w:rsidRPr="009720B4">
        <w:rPr>
          <w:b/>
        </w:rPr>
        <w:t>22</w:t>
      </w:r>
      <w:r w:rsidR="00C717E6" w:rsidRPr="009720B4">
        <w:t xml:space="preserve"> du Règlement des radiocommunications (RR) et la Résolution </w:t>
      </w:r>
      <w:r w:rsidR="00C717E6" w:rsidRPr="009720B4">
        <w:rPr>
          <w:b/>
        </w:rPr>
        <w:t>76 (Rév.CMR-15)</w:t>
      </w:r>
      <w:r w:rsidR="00C717E6" w:rsidRPr="009720B4">
        <w:t xml:space="preserve"> co</w:t>
      </w:r>
      <w:r w:rsidRPr="009720B4">
        <w:t>ntiennent des limites d'epfd</w:t>
      </w:r>
      <w:r w:rsidR="00C717E6" w:rsidRPr="009720B4">
        <w:t xml:space="preserve"> </w:t>
      </w:r>
      <w:r w:rsidRPr="009720B4">
        <w:t>définies</w:t>
      </w:r>
      <w:r w:rsidR="00C717E6" w:rsidRPr="009720B4">
        <w:t xml:space="preserve"> en 1997 et en 2000 afin de protéger les satellites OSG contre les brouillages inacceptables </w:t>
      </w:r>
      <w:r w:rsidR="00944595" w:rsidRPr="009720B4">
        <w:t xml:space="preserve">causés </w:t>
      </w:r>
      <w:r w:rsidR="00C717E6" w:rsidRPr="009720B4">
        <w:t xml:space="preserve">par les satellites non OSG. Toutefois, aucun des systèmes pour </w:t>
      </w:r>
      <w:r w:rsidR="00C717E6" w:rsidRPr="009720B4">
        <w:lastRenderedPageBreak/>
        <w:t xml:space="preserve">lesquels les limites d'epfd </w:t>
      </w:r>
      <w:r w:rsidR="000A4A93" w:rsidRPr="009720B4">
        <w:t>ont été</w:t>
      </w:r>
      <w:r w:rsidR="00944595" w:rsidRPr="009720B4">
        <w:t xml:space="preserve"> élaborées </w:t>
      </w:r>
      <w:r w:rsidR="000A4A93" w:rsidRPr="009720B4">
        <w:t xml:space="preserve">n'a été mis en service. Les systèmes du SFS non OSG actuels et futurs </w:t>
      </w:r>
      <w:r w:rsidR="00340CF9" w:rsidRPr="009720B4">
        <w:t>ont évolué</w:t>
      </w:r>
      <w:r w:rsidR="00944595" w:rsidRPr="009720B4">
        <w:t xml:space="preserve">, </w:t>
      </w:r>
      <w:r w:rsidR="000A4A93" w:rsidRPr="009720B4">
        <w:t xml:space="preserve">aussi bien sur le plan de la conception que </w:t>
      </w:r>
      <w:r w:rsidR="00C220BC" w:rsidRPr="009720B4">
        <w:t>des capacités opérationnelles</w:t>
      </w:r>
      <w:r w:rsidR="000A4A93" w:rsidRPr="009720B4">
        <w:t xml:space="preserve"> par rapport aux systèmes qui ont été </w:t>
      </w:r>
      <w:r w:rsidR="00C220BC" w:rsidRPr="009720B4">
        <w:t>pris en considération</w:t>
      </w:r>
      <w:r w:rsidR="000A4A93" w:rsidRPr="009720B4">
        <w:t xml:space="preserve"> lorsque les limites d'epfd indiquées dans l'Article </w:t>
      </w:r>
      <w:r w:rsidR="000A4A93" w:rsidRPr="009720B4">
        <w:rPr>
          <w:b/>
        </w:rPr>
        <w:t>22</w:t>
      </w:r>
      <w:r w:rsidR="000A4A93" w:rsidRPr="009720B4">
        <w:t xml:space="preserve"> du RR ont été </w:t>
      </w:r>
      <w:r w:rsidR="00944595" w:rsidRPr="009720B4">
        <w:t xml:space="preserve">élaborées voici </w:t>
      </w:r>
      <w:r w:rsidR="000A4A93" w:rsidRPr="009720B4">
        <w:t xml:space="preserve">près de vingt-cinq ans. </w:t>
      </w:r>
      <w:r w:rsidR="00600786" w:rsidRPr="009720B4">
        <w:t>Fait tout aussi important</w:t>
      </w:r>
      <w:r w:rsidR="00C220BC" w:rsidRPr="009720B4">
        <w:t>, l</w:t>
      </w:r>
      <w:r w:rsidR="002469EF" w:rsidRPr="009720B4">
        <w:t>es</w:t>
      </w:r>
      <w:r w:rsidR="000A4A93" w:rsidRPr="009720B4">
        <w:t xml:space="preserve"> technologie</w:t>
      </w:r>
      <w:r w:rsidR="002469EF" w:rsidRPr="009720B4">
        <w:t>s</w:t>
      </w:r>
      <w:r w:rsidR="000A4A93" w:rsidRPr="009720B4">
        <w:t xml:space="preserve"> et les principes de gestion du spectre des réseaux OSG</w:t>
      </w:r>
      <w:r w:rsidR="00C220BC" w:rsidRPr="009720B4">
        <w:t xml:space="preserve"> sont aujourd'hui bien plus </w:t>
      </w:r>
      <w:r w:rsidR="00944595" w:rsidRPr="009720B4">
        <w:t xml:space="preserve">perfectionnés </w:t>
      </w:r>
      <w:r w:rsidR="00C220BC" w:rsidRPr="009720B4">
        <w:t>qu'à l'époque d</w:t>
      </w:r>
      <w:r w:rsidR="000A4A93" w:rsidRPr="009720B4">
        <w:t xml:space="preserve">es systèmes précédents utilisés pour définir </w:t>
      </w:r>
      <w:r w:rsidR="00944595" w:rsidRPr="009720B4">
        <w:t>les conditions</w:t>
      </w:r>
      <w:r w:rsidR="000A4A93" w:rsidRPr="009720B4">
        <w:t xml:space="preserve"> de partage dans l'Article </w:t>
      </w:r>
      <w:r w:rsidR="000A4A93" w:rsidRPr="009720B4">
        <w:rPr>
          <w:b/>
        </w:rPr>
        <w:t>22</w:t>
      </w:r>
      <w:r w:rsidR="000A4A93" w:rsidRPr="009720B4">
        <w:t xml:space="preserve"> du RR et la Résolution </w:t>
      </w:r>
      <w:r w:rsidR="000A4A93" w:rsidRPr="009720B4">
        <w:rPr>
          <w:b/>
        </w:rPr>
        <w:t>76 (Rév.CMR-15)</w:t>
      </w:r>
      <w:r w:rsidR="000A4A93" w:rsidRPr="009720B4">
        <w:t xml:space="preserve">. Enfin, nous </w:t>
      </w:r>
      <w:r w:rsidR="00340CF9" w:rsidRPr="009720B4">
        <w:t xml:space="preserve">avons approfondi nos </w:t>
      </w:r>
      <w:r w:rsidR="000A4A93" w:rsidRPr="009720B4">
        <w:t xml:space="preserve">connaissances sur </w:t>
      </w:r>
      <w:r w:rsidR="00944595" w:rsidRPr="009720B4">
        <w:t xml:space="preserve">la façon dont les </w:t>
      </w:r>
      <w:r w:rsidR="000A4A93" w:rsidRPr="009720B4">
        <w:t xml:space="preserve">systèmes non OSG </w:t>
      </w:r>
      <w:r w:rsidR="00944595" w:rsidRPr="009720B4">
        <w:t>sont exploités avec les</w:t>
      </w:r>
      <w:r w:rsidR="00600786" w:rsidRPr="009720B4">
        <w:t xml:space="preserve"> réseaux OSG </w:t>
      </w:r>
      <w:r w:rsidR="00EB4FD0" w:rsidRPr="009720B4">
        <w:t>dans les mêmes bandes de fréquences</w:t>
      </w:r>
      <w:r w:rsidR="00600786" w:rsidRPr="009720B4">
        <w:t xml:space="preserve"> </w:t>
      </w:r>
      <w:r w:rsidR="002469EF" w:rsidRPr="009720B4">
        <w:t>durant les</w:t>
      </w:r>
      <w:r w:rsidR="00600786" w:rsidRPr="009720B4">
        <w:t xml:space="preserve"> vingt années qui ont suivi</w:t>
      </w:r>
      <w:r w:rsidR="000A4A93" w:rsidRPr="009720B4">
        <w:t xml:space="preserve"> </w:t>
      </w:r>
      <w:r w:rsidR="00944595" w:rsidRPr="009720B4">
        <w:t>l'établissement de</w:t>
      </w:r>
      <w:r w:rsidR="00600786" w:rsidRPr="009720B4">
        <w:t xml:space="preserve"> </w:t>
      </w:r>
      <w:r w:rsidR="000A4A93" w:rsidRPr="009720B4">
        <w:t>ces règles de partage</w:t>
      </w:r>
      <w:r w:rsidR="00420EAE" w:rsidRPr="009720B4">
        <w:t>.</w:t>
      </w:r>
    </w:p>
    <w:p w14:paraId="2500CE1A" w14:textId="2266CCA8" w:rsidR="00340CF9" w:rsidRPr="009720B4" w:rsidRDefault="002469EF" w:rsidP="00420EAE">
      <w:r w:rsidRPr="009720B4">
        <w:t>Au cours des dix dernières années</w:t>
      </w:r>
      <w:r w:rsidR="00340CF9" w:rsidRPr="009720B4">
        <w:t xml:space="preserve">, </w:t>
      </w:r>
      <w:r w:rsidR="00944595" w:rsidRPr="009720B4">
        <w:t>le temps</w:t>
      </w:r>
      <w:r w:rsidR="000E2DD1" w:rsidRPr="009720B4">
        <w:t xml:space="preserve"> que nous avons </w:t>
      </w:r>
      <w:r w:rsidR="00944595" w:rsidRPr="009720B4">
        <w:t xml:space="preserve">passé </w:t>
      </w:r>
      <w:r w:rsidR="00F44138" w:rsidRPr="009720B4">
        <w:t xml:space="preserve">à </w:t>
      </w:r>
      <w:r w:rsidRPr="009720B4">
        <w:t>collaborer</w:t>
      </w:r>
      <w:r w:rsidR="00F44138" w:rsidRPr="009720B4">
        <w:t xml:space="preserve"> pour</w:t>
      </w:r>
      <w:r w:rsidR="00340CF9" w:rsidRPr="009720B4">
        <w:t xml:space="preserve"> </w:t>
      </w:r>
      <w:r w:rsidR="00EC5FCB" w:rsidRPr="009720B4">
        <w:t>apporter des innovations en matière de</w:t>
      </w:r>
      <w:r w:rsidR="00F44138" w:rsidRPr="009720B4">
        <w:t xml:space="preserve"> conception des satellites,</w:t>
      </w:r>
      <w:r w:rsidR="00340CF9" w:rsidRPr="009720B4">
        <w:t xml:space="preserve"> améliorer l</w:t>
      </w:r>
      <w:r w:rsidR="00F44138" w:rsidRPr="009720B4">
        <w:t xml:space="preserve">'efficacité opérationnelle et </w:t>
      </w:r>
      <w:r w:rsidR="00340CF9" w:rsidRPr="009720B4">
        <w:t xml:space="preserve">prendre en considération les avis des clients dans le processus de conception ont </w:t>
      </w:r>
      <w:r w:rsidR="00EC5FCB" w:rsidRPr="009720B4">
        <w:t>donné naissance à</w:t>
      </w:r>
      <w:r w:rsidR="00F44138" w:rsidRPr="009720B4">
        <w:t xml:space="preserve"> </w:t>
      </w:r>
      <w:r w:rsidR="00340CF9" w:rsidRPr="009720B4">
        <w:t xml:space="preserve">un processus itératif pouvant éclairer </w:t>
      </w:r>
      <w:r w:rsidR="0018666A" w:rsidRPr="009720B4">
        <w:t>l'avenir du</w:t>
      </w:r>
      <w:r w:rsidR="00340CF9" w:rsidRPr="009720B4">
        <w:t xml:space="preserve"> partage du spectre </w:t>
      </w:r>
      <w:r w:rsidRPr="009720B4">
        <w:t>entre</w:t>
      </w:r>
      <w:r w:rsidR="00340CF9" w:rsidRPr="009720B4">
        <w:t xml:space="preserve"> les </w:t>
      </w:r>
      <w:r w:rsidR="00F44138" w:rsidRPr="009720B4">
        <w:t xml:space="preserve">systèmes OSG et </w:t>
      </w:r>
      <w:r w:rsidR="00944595" w:rsidRPr="009720B4">
        <w:t xml:space="preserve">les systèmes </w:t>
      </w:r>
      <w:r w:rsidR="00F44138" w:rsidRPr="009720B4">
        <w:t xml:space="preserve">non OSG. </w:t>
      </w:r>
      <w:r w:rsidR="00944595" w:rsidRPr="009720B4">
        <w:t xml:space="preserve">Cependant, le </w:t>
      </w:r>
      <w:r w:rsidR="00F44138" w:rsidRPr="009720B4">
        <w:t xml:space="preserve">politiques </w:t>
      </w:r>
      <w:r w:rsidR="0018666A" w:rsidRPr="009720B4">
        <w:t>conçues</w:t>
      </w:r>
      <w:r w:rsidR="00F44138" w:rsidRPr="009720B4">
        <w:t xml:space="preserve"> il y a 25 ans pour </w:t>
      </w:r>
      <w:r w:rsidR="00944595" w:rsidRPr="009720B4">
        <w:t xml:space="preserve">les </w:t>
      </w:r>
      <w:r w:rsidR="00F44138" w:rsidRPr="009720B4">
        <w:t xml:space="preserve">réseaux </w:t>
      </w:r>
      <w:r w:rsidR="00944595" w:rsidRPr="009720B4">
        <w:t xml:space="preserve">à satellite </w:t>
      </w:r>
      <w:r w:rsidR="00F44138" w:rsidRPr="009720B4">
        <w:t xml:space="preserve">et </w:t>
      </w:r>
      <w:r w:rsidR="00944595" w:rsidRPr="009720B4">
        <w:t xml:space="preserve">les </w:t>
      </w:r>
      <w:r w:rsidR="00F44138" w:rsidRPr="009720B4">
        <w:t>systèmes à satellite</w:t>
      </w:r>
      <w:r w:rsidR="00944595" w:rsidRPr="009720B4">
        <w:t xml:space="preserve">s </w:t>
      </w:r>
      <w:r w:rsidR="00F44138" w:rsidRPr="009720B4">
        <w:t xml:space="preserve">de l'époque constituent aujourd'hui un frein à l'utilisation efficace du spectre </w:t>
      </w:r>
      <w:r w:rsidR="00887F87" w:rsidRPr="009720B4">
        <w:t>que demandent</w:t>
      </w:r>
      <w:r w:rsidR="00F44138" w:rsidRPr="009720B4">
        <w:t xml:space="preserve"> les spécialistes des technologies, les décideurs et les utilisateurs finals. Les progrès technologiques accomplis dans le domaine des radiocommunications permettent aux systèmes à satellites d'utiliser des </w:t>
      </w:r>
      <w:r w:rsidR="005046E5" w:rsidRPr="009720B4">
        <w:t>techniques</w:t>
      </w:r>
      <w:r w:rsidR="00F44138" w:rsidRPr="009720B4">
        <w:t xml:space="preserve"> innovantes, notamment des faisceaux ponctuels plus petits, le codage et la modulation adaptatifs, et la réutilisation des fréquences. Ces </w:t>
      </w:r>
      <w:r w:rsidR="000A0F93" w:rsidRPr="009720B4">
        <w:t>techniques</w:t>
      </w:r>
      <w:r w:rsidR="00F44138" w:rsidRPr="009720B4">
        <w:t xml:space="preserve"> permettent aux systèmes à satellites </w:t>
      </w:r>
      <w:r w:rsidR="00F75938" w:rsidRPr="009720B4">
        <w:t xml:space="preserve">modernes </w:t>
      </w:r>
      <w:r w:rsidR="00F44138" w:rsidRPr="009720B4">
        <w:t>d'utiliser le spectre plus efficacement</w:t>
      </w:r>
      <w:r w:rsidR="00F75938" w:rsidRPr="009720B4">
        <w:t xml:space="preserve">, </w:t>
      </w:r>
      <w:r w:rsidR="00F44138" w:rsidRPr="009720B4">
        <w:t xml:space="preserve">tout en </w:t>
      </w:r>
      <w:r w:rsidR="000A0F93" w:rsidRPr="009720B4">
        <w:t>étant</w:t>
      </w:r>
      <w:r w:rsidR="00F44138" w:rsidRPr="009720B4">
        <w:t xml:space="preserve"> plus </w:t>
      </w:r>
      <w:r w:rsidR="00F75938" w:rsidRPr="009720B4">
        <w:t>résistants</w:t>
      </w:r>
      <w:r w:rsidR="00F44138" w:rsidRPr="009720B4">
        <w:t xml:space="preserve"> aux brouillages qu'il y a vingt ans. </w:t>
      </w:r>
      <w:r w:rsidR="00F75938" w:rsidRPr="009720B4">
        <w:t>Cela est vrai</w:t>
      </w:r>
      <w:r w:rsidR="000A0F93" w:rsidRPr="009720B4">
        <w:t xml:space="preserve"> pour le</w:t>
      </w:r>
      <w:r w:rsidR="00F44138" w:rsidRPr="009720B4">
        <w:t xml:space="preserve"> service fixe par satellite, qu'il soit exploité sur l'orbite des satellites géostationnaires ou sur des orbites de satellites </w:t>
      </w:r>
      <w:r w:rsidR="00F75938" w:rsidRPr="009720B4">
        <w:t xml:space="preserve">non </w:t>
      </w:r>
      <w:r w:rsidR="00F44138" w:rsidRPr="009720B4">
        <w:t>géostationnaires.</w:t>
      </w:r>
    </w:p>
    <w:p w14:paraId="75F71BAC" w14:textId="00390822" w:rsidR="00A918E8" w:rsidRPr="009720B4" w:rsidRDefault="00A918E8" w:rsidP="00420EAE">
      <w:r w:rsidRPr="009720B4">
        <w:t>Les limites</w:t>
      </w:r>
      <w:r w:rsidR="000A0F93" w:rsidRPr="009720B4">
        <w:t xml:space="preserve"> d'epfd</w:t>
      </w:r>
      <w:r w:rsidRPr="009720B4">
        <w:t xml:space="preserve"> indiquées dans l'Article </w:t>
      </w:r>
      <w:r w:rsidRPr="009720B4">
        <w:rPr>
          <w:b/>
        </w:rPr>
        <w:t>22</w:t>
      </w:r>
      <w:r w:rsidRPr="009720B4">
        <w:t xml:space="preserve"> du RR sont inefficaces sur le plan spectral, comme cela a été démontré au cours des travaux menés au titre du point 1.6 de l'ordre du jour de la</w:t>
      </w:r>
      <w:r w:rsidR="005B72D8">
        <w:t xml:space="preserve"> </w:t>
      </w:r>
      <w:r w:rsidRPr="009720B4">
        <w:t>CMR</w:t>
      </w:r>
      <w:r w:rsidR="007C6767" w:rsidRPr="009720B4">
        <w:noBreakHyphen/>
      </w:r>
      <w:r w:rsidRPr="009720B4">
        <w:t xml:space="preserve">19 et indiqué dans le </w:t>
      </w:r>
      <w:hyperlink r:id="rId13" w:history="1">
        <w:r w:rsidRPr="009720B4">
          <w:rPr>
            <w:rStyle w:val="Hyperlink"/>
            <w:iCs/>
          </w:rPr>
          <w:t>Rapport ITU-R S.2462-0 (07/2019)</w:t>
        </w:r>
      </w:hyperlink>
      <w:r w:rsidRPr="009720B4">
        <w:t xml:space="preserve">. </w:t>
      </w:r>
      <w:r w:rsidR="00F75938" w:rsidRPr="009720B4">
        <w:t xml:space="preserve">Il ressort des </w:t>
      </w:r>
      <w:r w:rsidRPr="009720B4">
        <w:t>études</w:t>
      </w:r>
      <w:r w:rsidR="00F75938" w:rsidRPr="009720B4">
        <w:t xml:space="preserve"> présentées dans le Rapport UIT-R S.2462 </w:t>
      </w:r>
      <w:r w:rsidRPr="009720B4">
        <w:t>que «les méthodes de partage entre les systèmes du S</w:t>
      </w:r>
      <w:r w:rsidR="005D35BB" w:rsidRPr="009720B4">
        <w:t>FS non OSG et</w:t>
      </w:r>
      <w:r w:rsidR="005B72D8">
        <w:t xml:space="preserve"> </w:t>
      </w:r>
      <w:r w:rsidR="005D35BB" w:rsidRPr="009720B4">
        <w:t xml:space="preserve">OSG </w:t>
      </w:r>
      <w:r w:rsidR="00AA31D2" w:rsidRPr="009720B4">
        <w:t>qui consistent à</w:t>
      </w:r>
      <w:r w:rsidR="005D35BB" w:rsidRPr="009720B4">
        <w:t xml:space="preserve"> </w:t>
      </w:r>
      <w:r w:rsidR="00AA31D2" w:rsidRPr="009720B4">
        <w:t>définir</w:t>
      </w:r>
      <w:r w:rsidR="005D35BB" w:rsidRPr="009720B4">
        <w:t xml:space="preserve"> d</w:t>
      </w:r>
      <w:r w:rsidR="000A0F93" w:rsidRPr="009720B4">
        <w:t>es gabarits de</w:t>
      </w:r>
      <w:r w:rsidRPr="009720B4">
        <w:t xml:space="preserve"> limites d'epfd, </w:t>
      </w:r>
      <w:r w:rsidR="005D35BB" w:rsidRPr="009720B4">
        <w:t xml:space="preserve">comme </w:t>
      </w:r>
      <w:r w:rsidR="00F75938" w:rsidRPr="009720B4">
        <w:t>cela a été</w:t>
      </w:r>
      <w:r w:rsidR="005D35BB" w:rsidRPr="009720B4">
        <w:t xml:space="preserve"> le cas </w:t>
      </w:r>
      <w:r w:rsidR="00136C13" w:rsidRPr="009720B4">
        <w:t>pour</w:t>
      </w:r>
      <w:r w:rsidRPr="009720B4">
        <w:t xml:space="preserve"> les bandes de fréquences </w:t>
      </w:r>
      <w:r w:rsidR="00762147" w:rsidRPr="009720B4">
        <w:t>au-dessous de</w:t>
      </w:r>
      <w:r w:rsidRPr="009720B4">
        <w:t xml:space="preserve"> 30 GHz, dépendent très largement du système»</w:t>
      </w:r>
      <w:r w:rsidR="005D35BB" w:rsidRPr="009720B4">
        <w:t>, et que «cette situation peut entraîner un manque d'efficacité spectrale». Il est également indiqué ce qui suit</w:t>
      </w:r>
      <w:r w:rsidR="00F75938" w:rsidRPr="009720B4">
        <w:t xml:space="preserve"> dans le Rapport</w:t>
      </w:r>
      <w:r w:rsidR="005D35BB" w:rsidRPr="009720B4">
        <w:t xml:space="preserve">: «L'utilisation optimale des ressources orbitales et spectrales dans les bandes de fréquences des 50/40 GHz nécessite un environnement réglementaire plus équitable entre les réseaux OSG et les systèmes du SFS non OSG que celui qui a été établi </w:t>
      </w:r>
      <w:r w:rsidR="00BC442E" w:rsidRPr="009720B4">
        <w:t>pour</w:t>
      </w:r>
      <w:r w:rsidR="005D35BB" w:rsidRPr="009720B4">
        <w:t xml:space="preserve"> les bandes</w:t>
      </w:r>
      <w:r w:rsidR="00136C13" w:rsidRPr="009720B4">
        <w:t xml:space="preserve"> de fréquences</w:t>
      </w:r>
      <w:r w:rsidR="005D35BB" w:rsidRPr="009720B4">
        <w:t xml:space="preserve"> </w:t>
      </w:r>
      <w:r w:rsidR="00762147" w:rsidRPr="009720B4">
        <w:t>au-dessous de</w:t>
      </w:r>
      <w:r w:rsidR="00136C13" w:rsidRPr="009720B4">
        <w:t xml:space="preserve"> </w:t>
      </w:r>
      <w:r w:rsidR="005D35BB" w:rsidRPr="009720B4">
        <w:t>30 GHz, afin de tirer parti de la technologie des satellites de prochaine génération pour fournir des service</w:t>
      </w:r>
      <w:r w:rsidR="00136C13" w:rsidRPr="009720B4">
        <w:t>s large bande à grande capacité</w:t>
      </w:r>
      <w:r w:rsidR="005D35BB" w:rsidRPr="009720B4">
        <w:t xml:space="preserve"> tout en exploitant les avantages des orbites de satellites OSG et non OSG.»</w:t>
      </w:r>
      <w:r w:rsidR="002842E8" w:rsidRPr="009720B4">
        <w:t xml:space="preserve"> Les études ayant déjà révélé un manque d'efficacité spectrale et des imprécisions au-dessous de 30 GHz, et la CMR-19 ayant adopté un cadre réglementaire amélioré applicable aux bandes de fréquences </w:t>
      </w:r>
      <w:r w:rsidR="00F75938" w:rsidRPr="009720B4">
        <w:t>au-dessus</w:t>
      </w:r>
      <w:r w:rsidR="00762147" w:rsidRPr="009720B4">
        <w:t xml:space="preserve"> de </w:t>
      </w:r>
      <w:r w:rsidR="002842E8" w:rsidRPr="009720B4">
        <w:t xml:space="preserve">30 GHz, il est évident que des études et des solutions réglementaires </w:t>
      </w:r>
      <w:r w:rsidR="00007F99" w:rsidRPr="009720B4">
        <w:t>s'imposent</w:t>
      </w:r>
      <w:r w:rsidR="002842E8" w:rsidRPr="009720B4">
        <w:t xml:space="preserve"> pour </w:t>
      </w:r>
      <w:r w:rsidR="0078160A" w:rsidRPr="009720B4">
        <w:t xml:space="preserve">trouver des solutions possibles </w:t>
      </w:r>
      <w:r w:rsidR="002842E8" w:rsidRPr="009720B4">
        <w:t xml:space="preserve">aux problèmes de partage du spectre entre les réseaux non OSG </w:t>
      </w:r>
      <w:r w:rsidR="0078160A" w:rsidRPr="009720B4">
        <w:t xml:space="preserve">du SFS </w:t>
      </w:r>
      <w:r w:rsidR="002842E8" w:rsidRPr="009720B4">
        <w:t xml:space="preserve">et les réseaux OSG dans les fréquences </w:t>
      </w:r>
      <w:r w:rsidR="00762147" w:rsidRPr="009720B4">
        <w:t>au-dessous de</w:t>
      </w:r>
      <w:r w:rsidR="002842E8" w:rsidRPr="009720B4">
        <w:t xml:space="preserve"> 30 GHz.</w:t>
      </w:r>
    </w:p>
    <w:p w14:paraId="52E2766A" w14:textId="3C408CD3" w:rsidR="002842E8" w:rsidRPr="009720B4" w:rsidRDefault="0078160A" w:rsidP="00420EAE">
      <w:r w:rsidRPr="009720B4">
        <w:t>En substance</w:t>
      </w:r>
      <w:r w:rsidR="002842E8" w:rsidRPr="009720B4">
        <w:t>, les limites d'epfd ont été définies sans tenir compte des critère</w:t>
      </w:r>
      <w:r w:rsidR="00CC00C5" w:rsidRPr="009720B4">
        <w:t>s de</w:t>
      </w:r>
      <w:r w:rsidR="002842E8" w:rsidRPr="009720B4">
        <w:t xml:space="preserve"> protection à long terme</w:t>
      </w:r>
      <w:r w:rsidRPr="009720B4">
        <w:t xml:space="preserve"> des satellites OSG</w:t>
      </w:r>
      <w:r w:rsidR="002842E8" w:rsidRPr="009720B4">
        <w:t xml:space="preserve">, </w:t>
      </w:r>
      <w:r w:rsidR="00CD460C" w:rsidRPr="009720B4">
        <w:t>ce qui est contraire aux pratiques</w:t>
      </w:r>
      <w:r w:rsidR="00CC00C5" w:rsidRPr="009720B4">
        <w:t xml:space="preserve"> raisonnées</w:t>
      </w:r>
      <w:r w:rsidR="00CD460C" w:rsidRPr="009720B4">
        <w:t xml:space="preserve"> de gestion du spectre</w:t>
      </w:r>
      <w:r w:rsidR="00CC00C5" w:rsidRPr="009720B4">
        <w:t xml:space="preserve">. Les limites d'epfd ont été définies en tenant compte d'un critère de protection </w:t>
      </w:r>
      <w:r w:rsidR="00007F99" w:rsidRPr="009720B4">
        <w:t xml:space="preserve">contre le brouillage </w:t>
      </w:r>
      <w:r w:rsidR="00CC00C5" w:rsidRPr="009720B4">
        <w:t xml:space="preserve">cumulatif à court terme indiqué au point 3.1 du </w:t>
      </w:r>
      <w:r w:rsidR="00CC00C5" w:rsidRPr="009720B4">
        <w:rPr>
          <w:i/>
        </w:rPr>
        <w:t>recommande</w:t>
      </w:r>
      <w:r w:rsidR="00CC00C5" w:rsidRPr="009720B4">
        <w:t xml:space="preserve"> de la </w:t>
      </w:r>
      <w:r w:rsidRPr="009720B4">
        <w:t xml:space="preserve">Recommandation </w:t>
      </w:r>
      <w:r w:rsidR="00CC00C5" w:rsidRPr="009720B4">
        <w:t xml:space="preserve">UIT-R S.1323, </w:t>
      </w:r>
      <w:r w:rsidR="00B86D3C" w:rsidRPr="009720B4">
        <w:t>c'est-à-dire une</w:t>
      </w:r>
      <w:r w:rsidR="00CC00C5" w:rsidRPr="009720B4">
        <w:t xml:space="preserve"> </w:t>
      </w:r>
      <w:r w:rsidR="00B86D3C" w:rsidRPr="009720B4">
        <w:t>diminution</w:t>
      </w:r>
      <w:r w:rsidR="00CC00C5" w:rsidRPr="009720B4">
        <w:t xml:space="preserve"> de 10% </w:t>
      </w:r>
      <w:r w:rsidR="003E5A6D" w:rsidRPr="009720B4">
        <w:t xml:space="preserve">de la durée d'indisponibilité </w:t>
      </w:r>
      <w:r w:rsidR="00B86D3C" w:rsidRPr="009720B4">
        <w:t>suivie d'une</w:t>
      </w:r>
      <w:r w:rsidR="00CC00C5" w:rsidRPr="009720B4">
        <w:t xml:space="preserve"> subdivision de ces limites par </w:t>
      </w:r>
      <w:r w:rsidR="00B86D3C" w:rsidRPr="009720B4">
        <w:t>une valeur théorique de 3,5 systèmes non OSG opérationnels</w:t>
      </w:r>
      <w:r w:rsidR="00CC00C5" w:rsidRPr="009720B4">
        <w:t xml:space="preserve"> </w:t>
      </w:r>
      <w:r w:rsidR="00AA6B88" w:rsidRPr="009720B4">
        <w:t>permettant</w:t>
      </w:r>
      <w:r w:rsidR="00CC00C5" w:rsidRPr="009720B4">
        <w:t xml:space="preserve"> d'obtenir les limites pour une seule source de brouillage. Par conséquent, </w:t>
      </w:r>
      <w:r w:rsidR="00AA6B88" w:rsidRPr="009720B4">
        <w:t>étant</w:t>
      </w:r>
      <w:r w:rsidRPr="009720B4">
        <w:t xml:space="preserve"> donné qu'il a été démontré </w:t>
      </w:r>
      <w:r w:rsidR="00CC00C5" w:rsidRPr="009720B4">
        <w:t xml:space="preserve">que les dispositions relatives au partage et les dispositions réglementaires </w:t>
      </w:r>
      <w:r w:rsidR="00C028FF" w:rsidRPr="009720B4">
        <w:t xml:space="preserve">concernant les bandes de </w:t>
      </w:r>
      <w:r w:rsidR="00C028FF" w:rsidRPr="009720B4">
        <w:lastRenderedPageBreak/>
        <w:t xml:space="preserve">fréquences assujetties à l'Article </w:t>
      </w:r>
      <w:r w:rsidR="00C028FF" w:rsidRPr="009720B4">
        <w:rPr>
          <w:b/>
        </w:rPr>
        <w:t>22</w:t>
      </w:r>
      <w:r w:rsidR="00C028FF" w:rsidRPr="009720B4">
        <w:t xml:space="preserve"> du RR et auxquelles s'appliquent les limites d'epfd </w:t>
      </w:r>
      <w:r w:rsidRPr="009720B4">
        <w:t xml:space="preserve">étaient </w:t>
      </w:r>
      <w:r w:rsidR="00C028FF" w:rsidRPr="009720B4">
        <w:t>inefficaces et ne</w:t>
      </w:r>
      <w:r w:rsidRPr="009720B4">
        <w:t xml:space="preserve"> tenaient aucun </w:t>
      </w:r>
      <w:r w:rsidR="00C028FF" w:rsidRPr="009720B4">
        <w:t xml:space="preserve">compte des seuils de protection à long terme, ces </w:t>
      </w:r>
      <w:r w:rsidR="00AA6B88" w:rsidRPr="009720B4">
        <w:t>lacunes</w:t>
      </w:r>
      <w:r w:rsidR="00C028FF" w:rsidRPr="009720B4">
        <w:t xml:space="preserve"> limit</w:t>
      </w:r>
      <w:r w:rsidR="00E70B11" w:rsidRPr="009720B4">
        <w:t>ent l'exploitation des systèmes</w:t>
      </w:r>
      <w:r w:rsidR="00AA6B88" w:rsidRPr="009720B4">
        <w:t xml:space="preserve"> </w:t>
      </w:r>
      <w:r w:rsidR="00C028FF" w:rsidRPr="009720B4">
        <w:t xml:space="preserve">non OSG, entravent les progrès technologiques et compromettent la capacité </w:t>
      </w:r>
      <w:r w:rsidRPr="009720B4">
        <w:t xml:space="preserve">de </w:t>
      </w:r>
      <w:r w:rsidR="00C028FF" w:rsidRPr="009720B4">
        <w:t xml:space="preserve">fournir des services. Par conséquent, il est urgent et nécessaire de réexaminer et </w:t>
      </w:r>
      <w:r w:rsidRPr="009720B4">
        <w:t xml:space="preserve">de </w:t>
      </w:r>
      <w:r w:rsidR="00C028FF" w:rsidRPr="009720B4">
        <w:t>mettre à jour ces limites.</w:t>
      </w:r>
    </w:p>
    <w:p w14:paraId="733235BD" w14:textId="3CB40228" w:rsidR="003F696F" w:rsidRPr="009720B4" w:rsidRDefault="003F696F" w:rsidP="00420EAE">
      <w:pPr>
        <w:rPr>
          <w:iCs/>
        </w:rPr>
      </w:pPr>
      <w:r w:rsidRPr="009720B4">
        <w:t>S'agissant des</w:t>
      </w:r>
      <w:r w:rsidR="0078160A" w:rsidRPr="009720B4">
        <w:t xml:space="preserve"> insuffisances </w:t>
      </w:r>
      <w:r w:rsidRPr="009720B4">
        <w:t xml:space="preserve">des limites d'epfd existantes, il est possible que certains </w:t>
      </w:r>
      <w:r w:rsidR="0013763A" w:rsidRPr="009720B4">
        <w:t>systèmes non</w:t>
      </w:r>
      <w:r w:rsidR="005B72D8">
        <w:t xml:space="preserve"> </w:t>
      </w:r>
      <w:r w:rsidR="0013763A" w:rsidRPr="009720B4">
        <w:t xml:space="preserve">OSG </w:t>
      </w:r>
      <w:r w:rsidRPr="009720B4">
        <w:t>dépassent les limites d'epfd cumulative</w:t>
      </w:r>
      <w:r w:rsidR="0078160A" w:rsidRPr="009720B4">
        <w:t xml:space="preserve">, </w:t>
      </w:r>
      <w:r w:rsidR="00944D4D" w:rsidRPr="009720B4">
        <w:t xml:space="preserve">même </w:t>
      </w:r>
      <w:r w:rsidR="0078160A" w:rsidRPr="009720B4">
        <w:t>s</w:t>
      </w:r>
      <w:r w:rsidR="00944D4D" w:rsidRPr="009720B4">
        <w:t xml:space="preserve">'ils respectent les critères de protection des satellites OSG </w:t>
      </w:r>
      <w:r w:rsidRPr="009720B4">
        <w:t xml:space="preserve">indiqués dans la Recommandation UIT-R S.1323. De même, </w:t>
      </w:r>
      <w:r w:rsidR="0045005E" w:rsidRPr="009720B4">
        <w:t xml:space="preserve">il peut arriver qu'un système non OSG </w:t>
      </w:r>
      <w:r w:rsidR="0078160A" w:rsidRPr="009720B4">
        <w:t xml:space="preserve">donné </w:t>
      </w:r>
      <w:r w:rsidR="00944D4D" w:rsidRPr="009720B4">
        <w:t xml:space="preserve">respecte une limite d'epfd </w:t>
      </w:r>
      <w:r w:rsidR="0045005E" w:rsidRPr="009720B4">
        <w:t xml:space="preserve">précise </w:t>
      </w:r>
      <w:r w:rsidR="004D6A6A" w:rsidRPr="009720B4">
        <w:t xml:space="preserve">mais ne </w:t>
      </w:r>
      <w:r w:rsidR="0045005E" w:rsidRPr="009720B4">
        <w:t>respecter</w:t>
      </w:r>
      <w:r w:rsidR="004D6A6A" w:rsidRPr="009720B4">
        <w:t xml:space="preserve"> pas </w:t>
      </w:r>
      <w:r w:rsidR="0045005E" w:rsidRPr="009720B4">
        <w:t>les critères de partage indiqués dans la Recommandation UIT-R S.1323. L'</w:t>
      </w:r>
      <w:r w:rsidR="004D6A6A" w:rsidRPr="009720B4">
        <w:t>impossibilité</w:t>
      </w:r>
      <w:r w:rsidR="0045005E" w:rsidRPr="009720B4">
        <w:t xml:space="preserve"> </w:t>
      </w:r>
      <w:r w:rsidR="004D6A6A" w:rsidRPr="009720B4">
        <w:t xml:space="preserve">d'établir une correspondance </w:t>
      </w:r>
      <w:r w:rsidR="00944D4D" w:rsidRPr="009720B4">
        <w:t xml:space="preserve">entre la réglementation </w:t>
      </w:r>
      <w:r w:rsidR="0045005E" w:rsidRPr="009720B4">
        <w:t xml:space="preserve">et la méthode employée pour </w:t>
      </w:r>
      <w:r w:rsidR="004D6A6A" w:rsidRPr="009720B4">
        <w:t xml:space="preserve">élaborer </w:t>
      </w:r>
      <w:r w:rsidR="0045005E" w:rsidRPr="009720B4">
        <w:t xml:space="preserve">cette réglementation est </w:t>
      </w:r>
      <w:r w:rsidR="004D6A6A" w:rsidRPr="009720B4">
        <w:t xml:space="preserve">incontestablement </w:t>
      </w:r>
      <w:r w:rsidR="0045005E" w:rsidRPr="009720B4">
        <w:t>un</w:t>
      </w:r>
      <w:r w:rsidR="004D6A6A" w:rsidRPr="009720B4">
        <w:t>e lacune</w:t>
      </w:r>
      <w:r w:rsidR="0045005E" w:rsidRPr="009720B4">
        <w:t xml:space="preserve">. Il convient de noter que ces </w:t>
      </w:r>
      <w:r w:rsidR="004D6A6A" w:rsidRPr="009720B4">
        <w:t xml:space="preserve">lacunes </w:t>
      </w:r>
      <w:r w:rsidR="00914E7F" w:rsidRPr="009720B4">
        <w:t>ont été étudié</w:t>
      </w:r>
      <w:r w:rsidR="004D6A6A" w:rsidRPr="009720B4">
        <w:t>e</w:t>
      </w:r>
      <w:r w:rsidR="0045005E" w:rsidRPr="009720B4">
        <w:t xml:space="preserve">s en ce qui concerne les bandes de fréquences </w:t>
      </w:r>
      <w:r w:rsidR="00762147" w:rsidRPr="009720B4">
        <w:t>au-dessous de</w:t>
      </w:r>
      <w:r w:rsidR="00DC2D48" w:rsidRPr="009720B4">
        <w:t xml:space="preserve"> </w:t>
      </w:r>
      <w:r w:rsidR="0045005E" w:rsidRPr="009720B4">
        <w:t xml:space="preserve">30 GHz, et qu'il ressort de ces études que les limites d'epfd applicables à ces bandes de fréquences sont inefficaces et pourraient être améliorées pour </w:t>
      </w:r>
      <w:r w:rsidR="004D6A6A" w:rsidRPr="009720B4">
        <w:t>permettre une plus grande</w:t>
      </w:r>
      <w:r w:rsidR="0045005E" w:rsidRPr="009720B4">
        <w:t xml:space="preserve"> efficacité spectrale des systèmes à satellites non OSG modernes. </w:t>
      </w:r>
      <w:r w:rsidR="00935E5F" w:rsidRPr="009720B4">
        <w:t xml:space="preserve">Ces études, décrites dans le Rapport UIT-R S.2462, ont révélé que </w:t>
      </w:r>
      <w:r w:rsidR="004D6A6A" w:rsidRPr="009720B4">
        <w:t xml:space="preserve">les </w:t>
      </w:r>
      <w:r w:rsidR="00935E5F" w:rsidRPr="009720B4">
        <w:t>technologie</w:t>
      </w:r>
      <w:r w:rsidR="004D6A6A" w:rsidRPr="009720B4">
        <w:t>s</w:t>
      </w:r>
      <w:r w:rsidR="00935E5F" w:rsidRPr="009720B4">
        <w:t xml:space="preserve"> pour les systèmes non OSG conçue</w:t>
      </w:r>
      <w:r w:rsidR="004D6A6A" w:rsidRPr="009720B4">
        <w:t>s</w:t>
      </w:r>
      <w:r w:rsidR="00935E5F" w:rsidRPr="009720B4">
        <w:t xml:space="preserve"> pour les bandes de fréquences </w:t>
      </w:r>
      <w:r w:rsidR="00762147" w:rsidRPr="009720B4">
        <w:t>au-dessous de</w:t>
      </w:r>
      <w:r w:rsidR="00935E5F" w:rsidRPr="009720B4">
        <w:t xml:space="preserve"> 30 GHz n'étai</w:t>
      </w:r>
      <w:r w:rsidR="004D6A6A" w:rsidRPr="009720B4">
        <w:t>en</w:t>
      </w:r>
      <w:r w:rsidR="00935E5F" w:rsidRPr="009720B4">
        <w:t>t pas compatible</w:t>
      </w:r>
      <w:r w:rsidR="004D6A6A" w:rsidRPr="009720B4">
        <w:t>s</w:t>
      </w:r>
      <w:r w:rsidR="00935E5F" w:rsidRPr="009720B4">
        <w:t xml:space="preserve"> avec </w:t>
      </w:r>
      <w:r w:rsidR="004D6A6A" w:rsidRPr="009720B4">
        <w:t xml:space="preserve">les </w:t>
      </w:r>
      <w:r w:rsidR="00935E5F" w:rsidRPr="009720B4">
        <w:t>technologie</w:t>
      </w:r>
      <w:r w:rsidR="004D6A6A" w:rsidRPr="009720B4">
        <w:t>s</w:t>
      </w:r>
      <w:r w:rsidR="00935E5F" w:rsidRPr="009720B4">
        <w:t xml:space="preserve"> des réseaux non OSG moderne</w:t>
      </w:r>
      <w:r w:rsidR="00914E7F" w:rsidRPr="009720B4">
        <w:t>s</w:t>
      </w:r>
      <w:r w:rsidR="00935E5F" w:rsidRPr="009720B4">
        <w:t xml:space="preserve">, et que les techniques de gestion du spectre </w:t>
      </w:r>
      <w:r w:rsidR="004D6A6A" w:rsidRPr="009720B4">
        <w:t xml:space="preserve">employées </w:t>
      </w:r>
      <w:r w:rsidR="00935E5F" w:rsidRPr="009720B4">
        <w:t xml:space="preserve">pour définir ces limites </w:t>
      </w:r>
      <w:r w:rsidR="00914E7F" w:rsidRPr="009720B4">
        <w:t>n'étaient</w:t>
      </w:r>
      <w:r w:rsidR="00935E5F" w:rsidRPr="009720B4">
        <w:t xml:space="preserve"> pas compatibles avec</w:t>
      </w:r>
      <w:r w:rsidR="004D6A6A" w:rsidRPr="009720B4">
        <w:t xml:space="preserve"> la</w:t>
      </w:r>
      <w:r w:rsidR="00935E5F" w:rsidRPr="009720B4">
        <w:t xml:space="preserve"> </w:t>
      </w:r>
      <w:r w:rsidR="004D6A6A" w:rsidRPr="009720B4">
        <w:t xml:space="preserve">protection actuelle </w:t>
      </w:r>
      <w:r w:rsidR="00935E5F" w:rsidRPr="009720B4">
        <w:t xml:space="preserve">des réseaux OSG, à savoir </w:t>
      </w:r>
      <w:r w:rsidR="004D6A6A" w:rsidRPr="009720B4">
        <w:t xml:space="preserve">la protection </w:t>
      </w:r>
      <w:r w:rsidR="00935E5F" w:rsidRPr="009720B4">
        <w:t xml:space="preserve">multi-orbites et </w:t>
      </w:r>
      <w:r w:rsidR="004D6A6A" w:rsidRPr="009720B4">
        <w:t xml:space="preserve">la protection </w:t>
      </w:r>
      <w:r w:rsidR="00935E5F" w:rsidRPr="009720B4">
        <w:t xml:space="preserve">à long terme. Les résultats de ces études ont été examinés à la CMR-19 en ce qui concerne les bandes de fréquences </w:t>
      </w:r>
      <w:r w:rsidR="00914E7F" w:rsidRPr="009720B4">
        <w:t>des</w:t>
      </w:r>
      <w:r w:rsidR="005B72D8">
        <w:t xml:space="preserve"> </w:t>
      </w:r>
      <w:r w:rsidR="00935E5F" w:rsidRPr="009720B4">
        <w:t xml:space="preserve">50/40 GHz, </w:t>
      </w:r>
      <w:r w:rsidR="004D6A6A" w:rsidRPr="009720B4">
        <w:t>et ont</w:t>
      </w:r>
      <w:r w:rsidR="00935E5F" w:rsidRPr="009720B4">
        <w:t xml:space="preserve"> conduit à l'élaboration d'un nouveau cadre de partage plus efficace pour ces bandes </w:t>
      </w:r>
      <w:r w:rsidR="004D6A6A" w:rsidRPr="009720B4">
        <w:t xml:space="preserve">de fréquences </w:t>
      </w:r>
      <w:r w:rsidR="00935E5F" w:rsidRPr="009720B4">
        <w:t xml:space="preserve">et à l'entrée en vigueur des Résolutions </w:t>
      </w:r>
      <w:r w:rsidR="00935E5F" w:rsidRPr="009720B4">
        <w:rPr>
          <w:b/>
          <w:bCs/>
          <w:iCs/>
        </w:rPr>
        <w:t>770 (CMR-19)</w:t>
      </w:r>
      <w:r w:rsidR="00935E5F" w:rsidRPr="009720B4">
        <w:rPr>
          <w:iCs/>
        </w:rPr>
        <w:t xml:space="preserve"> et </w:t>
      </w:r>
      <w:r w:rsidR="00935E5F" w:rsidRPr="009720B4">
        <w:rPr>
          <w:b/>
          <w:bCs/>
          <w:iCs/>
        </w:rPr>
        <w:t>769 (CMR-19)</w:t>
      </w:r>
      <w:r w:rsidR="00935E5F" w:rsidRPr="009720B4">
        <w:rPr>
          <w:iCs/>
        </w:rPr>
        <w:t>.</w:t>
      </w:r>
    </w:p>
    <w:p w14:paraId="76178522" w14:textId="7DF9270A" w:rsidR="00BA56C5" w:rsidRPr="009720B4" w:rsidRDefault="00F04D27">
      <w:pPr>
        <w:pPrChange w:id="13" w:author="Deturche-Nazer, Anne-Marie" w:date="2023-11-08T16:08:00Z">
          <w:pPr>
            <w:pStyle w:val="FigureNo"/>
          </w:pPr>
        </w:pPrChange>
      </w:pPr>
      <w:r w:rsidRPr="009720B4">
        <w:t>Outre le manque d'efficacité spectrale découlant de la méthode appliquée pour calculer les limites d'epfd cumulative, les limites d'epfd</w:t>
      </w:r>
      <w:r w:rsidR="00C64919" w:rsidRPr="009720B4">
        <w:t xml:space="preserve"> à long terme applicables aux systèmes non OSG visant à protéger les réseaux OSG ne sont pas en phase avec la réalité </w:t>
      </w:r>
      <w:r w:rsidR="000013E6" w:rsidRPr="009720B4">
        <w:t>opérationnelle</w:t>
      </w:r>
      <w:r w:rsidR="00C64919" w:rsidRPr="009720B4">
        <w:t xml:space="preserve">. Le scénario ci-après démontre que les limites d'epfd pour les bandes de fréquences </w:t>
      </w:r>
      <w:r w:rsidR="00762147" w:rsidRPr="009720B4">
        <w:t>au-dessous de</w:t>
      </w:r>
      <w:r w:rsidR="00C64919" w:rsidRPr="009720B4">
        <w:t xml:space="preserve"> 30 GHz sont un frein à l'exploitation des systèmes non OSG. Aux termes de la Recommandation UIT-R S.1432, il est recommandé que les brouillages </w:t>
      </w:r>
      <w:r w:rsidR="000013E6" w:rsidRPr="009720B4">
        <w:t>causés par</w:t>
      </w:r>
      <w:r w:rsidR="00C64919" w:rsidRPr="009720B4">
        <w:t xml:space="preserve"> de</w:t>
      </w:r>
      <w:r w:rsidR="000013E6" w:rsidRPr="009720B4">
        <w:t>s</w:t>
      </w:r>
      <w:r w:rsidR="00C64919" w:rsidRPr="009720B4">
        <w:t xml:space="preserve"> systèmes non OSG représentent 25% du bruit du système par ciel clair, </w:t>
      </w:r>
      <w:r w:rsidR="00585AEE" w:rsidRPr="009720B4">
        <w:t xml:space="preserve">soit </w:t>
      </w:r>
      <w:r w:rsidR="00C64919" w:rsidRPr="009720B4">
        <w:rPr>
          <w:iCs/>
        </w:rPr>
        <w:t xml:space="preserve">–6,02 dB. En réutilisant </w:t>
      </w:r>
      <w:r w:rsidR="003C1E4F" w:rsidRPr="009720B4">
        <w:rPr>
          <w:iCs/>
        </w:rPr>
        <w:t>les hypothèses de 3,5 systèmes non OSG de</w:t>
      </w:r>
      <w:r w:rsidR="007C6767" w:rsidRPr="009720B4">
        <w:rPr>
          <w:iCs/>
        </w:rPr>
        <w:t> </w:t>
      </w:r>
      <w:r w:rsidR="003C1E4F" w:rsidRPr="009720B4">
        <w:rPr>
          <w:iCs/>
        </w:rPr>
        <w:t xml:space="preserve">1997 et de 2000, cette valeur </w:t>
      </w:r>
      <w:r w:rsidR="000013E6" w:rsidRPr="009720B4">
        <w:rPr>
          <w:iCs/>
        </w:rPr>
        <w:t xml:space="preserve">correspond </w:t>
      </w:r>
      <w:r w:rsidR="00585AEE" w:rsidRPr="009720B4">
        <w:rPr>
          <w:iCs/>
        </w:rPr>
        <w:t>à</w:t>
      </w:r>
      <w:r w:rsidR="003C1E4F" w:rsidRPr="009720B4">
        <w:rPr>
          <w:iCs/>
        </w:rPr>
        <w:t xml:space="preserve"> –11,5</w:t>
      </w:r>
      <w:r w:rsidR="00585AEE" w:rsidRPr="009720B4">
        <w:rPr>
          <w:iCs/>
        </w:rPr>
        <w:t xml:space="preserve"> dB pour une seule source de brouillage</w:t>
      </w:r>
      <w:r w:rsidR="003C1E4F" w:rsidRPr="009720B4">
        <w:rPr>
          <w:iCs/>
        </w:rPr>
        <w:t xml:space="preserve">. Les Figures 1 à 3 ci-après </w:t>
      </w:r>
      <w:r w:rsidR="00585AEE" w:rsidRPr="009720B4">
        <w:rPr>
          <w:iCs/>
        </w:rPr>
        <w:t>exposent</w:t>
      </w:r>
      <w:r w:rsidR="003C1E4F" w:rsidRPr="009720B4">
        <w:rPr>
          <w:iCs/>
        </w:rPr>
        <w:t xml:space="preserve"> les limites d'epfd indiquées dans l'Article </w:t>
      </w:r>
      <w:r w:rsidR="003C1E4F" w:rsidRPr="009720B4">
        <w:rPr>
          <w:b/>
          <w:iCs/>
        </w:rPr>
        <w:t>22</w:t>
      </w:r>
      <w:r w:rsidR="003C1E4F" w:rsidRPr="009720B4">
        <w:rPr>
          <w:iCs/>
        </w:rPr>
        <w:t xml:space="preserve"> du RR dans les bandes Ka et Ku</w:t>
      </w:r>
      <w:r w:rsidR="000013E6" w:rsidRPr="009720B4">
        <w:rPr>
          <w:iCs/>
        </w:rPr>
        <w:t>,</w:t>
      </w:r>
      <w:r w:rsidR="003C1E4F" w:rsidRPr="009720B4">
        <w:rPr>
          <w:iCs/>
        </w:rPr>
        <w:t xml:space="preserve"> </w:t>
      </w:r>
      <w:r w:rsidR="000013E6" w:rsidRPr="009720B4">
        <w:rPr>
          <w:iCs/>
        </w:rPr>
        <w:t xml:space="preserve">exprimées en termes de rapport </w:t>
      </w:r>
      <w:r w:rsidR="003C1E4F" w:rsidRPr="009720B4">
        <w:rPr>
          <w:i/>
          <w:iCs/>
        </w:rPr>
        <w:t>I</w:t>
      </w:r>
      <w:r w:rsidR="003C1E4F" w:rsidRPr="009720B4">
        <w:t>/</w:t>
      </w:r>
      <w:r w:rsidR="003C1E4F" w:rsidRPr="009720B4">
        <w:rPr>
          <w:i/>
          <w:iCs/>
        </w:rPr>
        <w:t>N</w:t>
      </w:r>
      <w:r w:rsidR="000013E6" w:rsidRPr="009720B4">
        <w:rPr>
          <w:iCs/>
        </w:rPr>
        <w:t xml:space="preserve">, </w:t>
      </w:r>
      <w:r w:rsidR="003C1E4F" w:rsidRPr="009720B4">
        <w:rPr>
          <w:iCs/>
        </w:rPr>
        <w:t xml:space="preserve">en utilisant une température de bruit de l'antenne de la station terrienne de 195 K et une fréquence de référence de 17,8 GHz, 19,7 GHz et 10,7 GHz, respectivement. Toutes les courbes </w:t>
      </w:r>
      <w:r w:rsidR="003C1E4F" w:rsidRPr="009720B4">
        <w:rPr>
          <w:i/>
          <w:iCs/>
        </w:rPr>
        <w:t>I</w:t>
      </w:r>
      <w:r w:rsidR="003C1E4F" w:rsidRPr="009720B4">
        <w:t>/</w:t>
      </w:r>
      <w:r w:rsidR="003C1E4F" w:rsidRPr="009720B4">
        <w:rPr>
          <w:i/>
          <w:iCs/>
        </w:rPr>
        <w:t>N</w:t>
      </w:r>
      <w:r w:rsidR="003C1E4F" w:rsidRPr="009720B4">
        <w:rPr>
          <w:iCs/>
        </w:rPr>
        <w:t xml:space="preserve">, </w:t>
      </w:r>
      <w:r w:rsidR="00A55A11" w:rsidRPr="009720B4">
        <w:rPr>
          <w:iCs/>
        </w:rPr>
        <w:t xml:space="preserve">qui correspondent aux limites d'epfd pour des antennes de réception de satellites OSG de </w:t>
      </w:r>
      <w:r w:rsidR="00585AEE" w:rsidRPr="009720B4">
        <w:rPr>
          <w:iCs/>
        </w:rPr>
        <w:t xml:space="preserve">différents </w:t>
      </w:r>
      <w:r w:rsidR="00A55A11" w:rsidRPr="009720B4">
        <w:rPr>
          <w:iCs/>
        </w:rPr>
        <w:t xml:space="preserve">diamètres, </w:t>
      </w:r>
      <w:r w:rsidR="000013E6" w:rsidRPr="009720B4">
        <w:rPr>
          <w:iCs/>
        </w:rPr>
        <w:t xml:space="preserve">présentent </w:t>
      </w:r>
      <w:r w:rsidR="00A55A11" w:rsidRPr="009720B4">
        <w:rPr>
          <w:iCs/>
        </w:rPr>
        <w:t xml:space="preserve">un </w:t>
      </w:r>
      <w:r w:rsidR="007C6767" w:rsidRPr="009720B4">
        <w:rPr>
          <w:iCs/>
        </w:rPr>
        <w:t>r</w:t>
      </w:r>
      <w:r w:rsidR="00A55A11" w:rsidRPr="009720B4">
        <w:rPr>
          <w:iCs/>
        </w:rPr>
        <w:t xml:space="preserve">apport </w:t>
      </w:r>
      <w:r w:rsidR="00A55A11" w:rsidRPr="009720B4">
        <w:rPr>
          <w:i/>
          <w:iCs/>
        </w:rPr>
        <w:t>I</w:t>
      </w:r>
      <w:r w:rsidR="00A55A11" w:rsidRPr="009720B4">
        <w:t>/</w:t>
      </w:r>
      <w:r w:rsidR="00A55A11" w:rsidRPr="009720B4">
        <w:rPr>
          <w:i/>
          <w:iCs/>
        </w:rPr>
        <w:t>N</w:t>
      </w:r>
      <w:r w:rsidR="000013E6" w:rsidRPr="009720B4">
        <w:rPr>
          <w:iCs/>
        </w:rPr>
        <w:t xml:space="preserve"> nettement </w:t>
      </w:r>
      <w:r w:rsidR="00A55A11" w:rsidRPr="009720B4">
        <w:rPr>
          <w:iCs/>
        </w:rPr>
        <w:t>inférieur à</w:t>
      </w:r>
      <w:r w:rsidR="007C6767" w:rsidRPr="009720B4">
        <w:rPr>
          <w:iCs/>
        </w:rPr>
        <w:t> </w:t>
      </w:r>
      <w:r w:rsidR="00A55A11" w:rsidRPr="009720B4">
        <w:rPr>
          <w:iCs/>
        </w:rPr>
        <w:t xml:space="preserve">–11,5 dB </w:t>
      </w:r>
      <w:r w:rsidR="000013E6" w:rsidRPr="009720B4">
        <w:rPr>
          <w:iCs/>
        </w:rPr>
        <w:t xml:space="preserve">pendant </w:t>
      </w:r>
      <w:r w:rsidR="00A55A11" w:rsidRPr="009720B4">
        <w:rPr>
          <w:iCs/>
        </w:rPr>
        <w:t xml:space="preserve">des pourcentages de temps </w:t>
      </w:r>
      <w:r w:rsidR="000013E6" w:rsidRPr="009720B4">
        <w:rPr>
          <w:iCs/>
        </w:rPr>
        <w:t xml:space="preserve">à </w:t>
      </w:r>
      <w:r w:rsidR="00A55A11" w:rsidRPr="009720B4">
        <w:rPr>
          <w:iCs/>
        </w:rPr>
        <w:t>long</w:t>
      </w:r>
      <w:r w:rsidR="000013E6" w:rsidRPr="009720B4">
        <w:rPr>
          <w:iCs/>
        </w:rPr>
        <w:t xml:space="preserve"> terme</w:t>
      </w:r>
      <w:r w:rsidR="005B4390" w:rsidRPr="009720B4">
        <w:rPr>
          <w:iCs/>
        </w:rPr>
        <w:t>.</w:t>
      </w:r>
    </w:p>
    <w:p w14:paraId="0005B5BA" w14:textId="77777777" w:rsidR="007455F8" w:rsidRPr="009720B4" w:rsidRDefault="007455F8" w:rsidP="00566ADC">
      <w:pPr>
        <w:pStyle w:val="FigureNo"/>
      </w:pPr>
      <w:r w:rsidRPr="009720B4">
        <w:lastRenderedPageBreak/>
        <w:t xml:space="preserve">Figure </w:t>
      </w:r>
      <w:r w:rsidRPr="009720B4">
        <w:fldChar w:fldCharType="begin"/>
      </w:r>
      <w:r w:rsidRPr="009720B4">
        <w:instrText xml:space="preserve"> SEQ Figure \* ARABIC </w:instrText>
      </w:r>
      <w:r w:rsidRPr="009720B4">
        <w:fldChar w:fldCharType="separate"/>
      </w:r>
      <w:r w:rsidRPr="009720B4">
        <w:t>1</w:t>
      </w:r>
      <w:r w:rsidRPr="009720B4">
        <w:fldChar w:fldCharType="end"/>
      </w:r>
    </w:p>
    <w:p w14:paraId="315C3971" w14:textId="21258175" w:rsidR="00BA56C5" w:rsidRPr="009720B4" w:rsidRDefault="007455F8" w:rsidP="00566ADC">
      <w:pPr>
        <w:pStyle w:val="Figuretitle"/>
      </w:pPr>
      <w:r w:rsidRPr="009720B4">
        <w:t xml:space="preserve">Limites d'epfd dans la bande Ka (17,8-18,6 GHz) </w:t>
      </w:r>
      <w:r w:rsidR="0078741D" w:rsidRPr="009720B4">
        <w:t>exprimées sous la forme de</w:t>
      </w:r>
      <w:r w:rsidR="007C6767" w:rsidRPr="009720B4">
        <w:t xml:space="preserve"> </w:t>
      </w:r>
      <w:r w:rsidRPr="009720B4">
        <w:t xml:space="preserve">courbes </w:t>
      </w:r>
      <w:r w:rsidRPr="009720B4">
        <w:rPr>
          <w:i/>
          <w:iCs/>
        </w:rPr>
        <w:t>I</w:t>
      </w:r>
      <w:r w:rsidRPr="009720B4">
        <w:t>/</w:t>
      </w:r>
      <w:r w:rsidRPr="009720B4">
        <w:rPr>
          <w:i/>
          <w:iCs/>
        </w:rPr>
        <w:t>N</w:t>
      </w:r>
      <w:r w:rsidR="007C6767" w:rsidRPr="009720B4">
        <w:rPr>
          <w:i/>
          <w:iCs/>
        </w:rPr>
        <w:br/>
      </w:r>
      <w:r w:rsidRPr="009720B4">
        <w:t>en prenant pour hypothèse une température de bruit de 195 K</w:t>
      </w:r>
    </w:p>
    <w:p w14:paraId="6A6CB844" w14:textId="75D88DCD" w:rsidR="00BA56C5" w:rsidRPr="009720B4" w:rsidRDefault="00BA56C5" w:rsidP="00566ADC">
      <w:pPr>
        <w:pStyle w:val="Figure"/>
      </w:pPr>
      <w:r w:rsidRPr="009720B4">
        <w:rPr>
          <w:noProof/>
        </w:rPr>
        <w:drawing>
          <wp:inline distT="0" distB="0" distL="0" distR="0" wp14:anchorId="77A06B17" wp14:editId="6039383B">
            <wp:extent cx="4559541" cy="3539490"/>
            <wp:effectExtent l="0" t="0" r="0" b="3810"/>
            <wp:docPr id="209714400"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4400" name="Picture 1" descr="A graph with lines and numbers&#10;&#10;Description automatically generated"/>
                    <pic:cNvPicPr/>
                  </pic:nvPicPr>
                  <pic:blipFill>
                    <a:blip r:embed="rId14"/>
                    <a:stretch>
                      <a:fillRect/>
                    </a:stretch>
                  </pic:blipFill>
                  <pic:spPr>
                    <a:xfrm>
                      <a:off x="0" y="0"/>
                      <a:ext cx="4571432" cy="3548720"/>
                    </a:xfrm>
                    <a:prstGeom prst="rect">
                      <a:avLst/>
                    </a:prstGeom>
                  </pic:spPr>
                </pic:pic>
              </a:graphicData>
            </a:graphic>
          </wp:inline>
        </w:drawing>
      </w:r>
    </w:p>
    <w:p w14:paraId="08314D84" w14:textId="73D24B14" w:rsidR="00DA69CD" w:rsidRPr="009720B4" w:rsidRDefault="00DA69CD" w:rsidP="005B72D8">
      <w:pPr>
        <w:pStyle w:val="Figurelegend"/>
        <w:spacing w:before="120" w:after="120"/>
      </w:pPr>
      <w:r w:rsidRPr="009720B4">
        <w:t>Légende:</w:t>
      </w:r>
    </w:p>
    <w:p w14:paraId="0D0690CC" w14:textId="6C6D5F45" w:rsidR="00DA69CD" w:rsidRPr="009720B4" w:rsidRDefault="00DA69CD" w:rsidP="005B72D8">
      <w:pPr>
        <w:pStyle w:val="Figurelegend"/>
        <w:keepNext w:val="0"/>
        <w:keepLines w:val="0"/>
      </w:pPr>
      <w:r w:rsidRPr="009720B4">
        <w:t xml:space="preserve">Rapport </w:t>
      </w:r>
      <w:r w:rsidRPr="009720B4">
        <w:rPr>
          <w:i/>
        </w:rPr>
        <w:t>I</w:t>
      </w:r>
      <w:r w:rsidRPr="009720B4">
        <w:rPr>
          <w:iCs/>
        </w:rPr>
        <w:t>/</w:t>
      </w:r>
      <w:r w:rsidRPr="009720B4">
        <w:rPr>
          <w:i/>
        </w:rPr>
        <w:t>N</w:t>
      </w:r>
      <w:r w:rsidR="000013E6" w:rsidRPr="009720B4">
        <w:t xml:space="preserve"> pour </w:t>
      </w:r>
      <w:r w:rsidRPr="009720B4">
        <w:t>la limite d'epfd pour une seule source de brouillage (Ka 17,8 GHz, Tsys = 195 K) [dB]</w:t>
      </w:r>
      <w:r w:rsidRPr="009720B4">
        <w:br/>
      </w:r>
      <w:r w:rsidRPr="009720B4">
        <w:rPr>
          <w:i/>
        </w:rPr>
        <w:t>I</w:t>
      </w:r>
      <w:r w:rsidRPr="009720B4">
        <w:rPr>
          <w:iCs/>
        </w:rPr>
        <w:t>/</w:t>
      </w:r>
      <w:r w:rsidRPr="009720B4">
        <w:rPr>
          <w:i/>
        </w:rPr>
        <w:t>N</w:t>
      </w:r>
      <w:r w:rsidRPr="009720B4">
        <w:t xml:space="preserve"> (dB)</w:t>
      </w:r>
      <w:r w:rsidRPr="009720B4">
        <w:br/>
        <w:t xml:space="preserve">Probabilité de dépassement du rapport </w:t>
      </w:r>
      <w:r w:rsidRPr="009720B4">
        <w:rPr>
          <w:i/>
        </w:rPr>
        <w:t>I</w:t>
      </w:r>
      <w:r w:rsidRPr="009720B4">
        <w:rPr>
          <w:iCs/>
        </w:rPr>
        <w:t>/</w:t>
      </w:r>
      <w:r w:rsidRPr="009720B4">
        <w:rPr>
          <w:i/>
        </w:rPr>
        <w:t>N</w:t>
      </w:r>
      <w:r w:rsidRPr="009720B4">
        <w:t xml:space="preserve"> (%)</w:t>
      </w:r>
      <w:r w:rsidRPr="009720B4">
        <w:br/>
      </w:r>
      <w:r w:rsidR="007C6767" w:rsidRPr="009720B4">
        <w:t>–</w:t>
      </w:r>
      <w:r w:rsidRPr="009720B4">
        <w:t>11,5 dB</w:t>
      </w:r>
      <w:r w:rsidRPr="009720B4">
        <w:br/>
        <w:t>SFS 1,0 m</w:t>
      </w:r>
      <w:r w:rsidRPr="009720B4">
        <w:br/>
        <w:t>SFS 2,0 m</w:t>
      </w:r>
      <w:r w:rsidRPr="009720B4">
        <w:br/>
        <w:t>SFS 5,0 m</w:t>
      </w:r>
    </w:p>
    <w:p w14:paraId="643AD943" w14:textId="2726687B" w:rsidR="00AD7198" w:rsidRPr="009720B4" w:rsidRDefault="00AD7198" w:rsidP="005B72D8">
      <w:pPr>
        <w:pStyle w:val="FigureNo"/>
      </w:pPr>
      <w:r w:rsidRPr="009720B4">
        <w:lastRenderedPageBreak/>
        <w:t>Figure 2</w:t>
      </w:r>
    </w:p>
    <w:p w14:paraId="7CC072DF" w14:textId="36E427D1" w:rsidR="00BA56C5" w:rsidRPr="009720B4" w:rsidRDefault="00AD7198" w:rsidP="005B72D8">
      <w:pPr>
        <w:pStyle w:val="Figuretitle"/>
      </w:pPr>
      <w:r w:rsidRPr="009720B4">
        <w:t xml:space="preserve">Limites d'epfd dans la bande Ka (19,7-20,2 GHz) </w:t>
      </w:r>
      <w:r w:rsidR="0078741D" w:rsidRPr="009720B4">
        <w:t>exprimées sous la forme de</w:t>
      </w:r>
      <w:r w:rsidRPr="009720B4">
        <w:t xml:space="preserve"> courbes </w:t>
      </w:r>
      <w:r w:rsidRPr="009720B4">
        <w:rPr>
          <w:i/>
          <w:iCs/>
        </w:rPr>
        <w:t>I</w:t>
      </w:r>
      <w:r w:rsidRPr="009720B4">
        <w:t>/</w:t>
      </w:r>
      <w:r w:rsidRPr="009720B4">
        <w:rPr>
          <w:i/>
          <w:iCs/>
        </w:rPr>
        <w:t>N</w:t>
      </w:r>
      <w:r w:rsidR="007C6767" w:rsidRPr="009720B4">
        <w:rPr>
          <w:i/>
          <w:iCs/>
        </w:rPr>
        <w:br/>
      </w:r>
      <w:r w:rsidRPr="009720B4">
        <w:t>en prenant pour hypothèse une température de bruit de 195 K</w:t>
      </w:r>
    </w:p>
    <w:p w14:paraId="135E004B" w14:textId="46854D68" w:rsidR="00BA56C5" w:rsidRPr="009720B4" w:rsidRDefault="00BA56C5" w:rsidP="005B72D8">
      <w:pPr>
        <w:pStyle w:val="Figure"/>
      </w:pPr>
      <w:r w:rsidRPr="009720B4">
        <w:rPr>
          <w:noProof/>
        </w:rPr>
        <w:drawing>
          <wp:inline distT="0" distB="0" distL="0" distR="0" wp14:anchorId="1C654E14" wp14:editId="7571164D">
            <wp:extent cx="4655397" cy="3607435"/>
            <wp:effectExtent l="0" t="0" r="0" b="0"/>
            <wp:docPr id="1596417935"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17935" name="Picture 1" descr="A graph with different colored lines&#10;&#10;Description automatically generated"/>
                    <pic:cNvPicPr/>
                  </pic:nvPicPr>
                  <pic:blipFill>
                    <a:blip r:embed="rId15"/>
                    <a:stretch>
                      <a:fillRect/>
                    </a:stretch>
                  </pic:blipFill>
                  <pic:spPr>
                    <a:xfrm>
                      <a:off x="0" y="0"/>
                      <a:ext cx="4662302" cy="3612786"/>
                    </a:xfrm>
                    <a:prstGeom prst="rect">
                      <a:avLst/>
                    </a:prstGeom>
                  </pic:spPr>
                </pic:pic>
              </a:graphicData>
            </a:graphic>
          </wp:inline>
        </w:drawing>
      </w:r>
    </w:p>
    <w:p w14:paraId="08F5299E" w14:textId="77777777" w:rsidR="00577E5D" w:rsidRPr="009720B4" w:rsidRDefault="00577E5D" w:rsidP="005B72D8">
      <w:pPr>
        <w:pStyle w:val="Figurelegend"/>
        <w:spacing w:before="120" w:after="120"/>
      </w:pPr>
      <w:r w:rsidRPr="009720B4">
        <w:t>Légende:</w:t>
      </w:r>
    </w:p>
    <w:p w14:paraId="404A5888" w14:textId="74FCCF2D" w:rsidR="00577E5D" w:rsidRPr="009720B4" w:rsidRDefault="00353BC9" w:rsidP="005B72D8">
      <w:pPr>
        <w:pStyle w:val="Figurelegend"/>
        <w:keepNext w:val="0"/>
        <w:keepLines w:val="0"/>
      </w:pPr>
      <w:r w:rsidRPr="009720B4">
        <w:t xml:space="preserve">Rapport </w:t>
      </w:r>
      <w:r w:rsidRPr="009720B4">
        <w:rPr>
          <w:i/>
        </w:rPr>
        <w:t>I</w:t>
      </w:r>
      <w:r w:rsidRPr="009720B4">
        <w:rPr>
          <w:iCs/>
        </w:rPr>
        <w:t>/</w:t>
      </w:r>
      <w:r w:rsidRPr="009720B4">
        <w:rPr>
          <w:i/>
        </w:rPr>
        <w:t>N</w:t>
      </w:r>
      <w:r w:rsidR="000013E6" w:rsidRPr="009720B4">
        <w:t xml:space="preserve"> pour </w:t>
      </w:r>
      <w:r w:rsidR="00577E5D" w:rsidRPr="009720B4">
        <w:t>la limite d'epfd pour une seule source de brouillage (Ka 19,7 GHz, Tsys = 195 K) [dB]</w:t>
      </w:r>
      <w:r w:rsidR="00577E5D" w:rsidRPr="009720B4">
        <w:br/>
      </w:r>
      <w:r w:rsidR="00577E5D" w:rsidRPr="009720B4">
        <w:rPr>
          <w:i/>
        </w:rPr>
        <w:t>I</w:t>
      </w:r>
      <w:r w:rsidR="00577E5D" w:rsidRPr="009720B4">
        <w:rPr>
          <w:iCs/>
        </w:rPr>
        <w:t>/</w:t>
      </w:r>
      <w:r w:rsidR="00577E5D" w:rsidRPr="009720B4">
        <w:rPr>
          <w:i/>
        </w:rPr>
        <w:t>N</w:t>
      </w:r>
      <w:r w:rsidR="00577E5D" w:rsidRPr="009720B4">
        <w:t xml:space="preserve"> (dB)</w:t>
      </w:r>
      <w:r w:rsidR="00577E5D" w:rsidRPr="009720B4">
        <w:br/>
        <w:t xml:space="preserve">Probabilité de dépassement du rapport </w:t>
      </w:r>
      <w:r w:rsidR="00577E5D" w:rsidRPr="009720B4">
        <w:rPr>
          <w:i/>
        </w:rPr>
        <w:t>I</w:t>
      </w:r>
      <w:r w:rsidR="00577E5D" w:rsidRPr="009720B4">
        <w:rPr>
          <w:iCs/>
        </w:rPr>
        <w:t>/</w:t>
      </w:r>
      <w:r w:rsidR="00577E5D" w:rsidRPr="009720B4">
        <w:rPr>
          <w:i/>
        </w:rPr>
        <w:t>N</w:t>
      </w:r>
      <w:r w:rsidR="00577E5D" w:rsidRPr="009720B4">
        <w:t xml:space="preserve"> (%)</w:t>
      </w:r>
      <w:r w:rsidR="00577E5D" w:rsidRPr="009720B4">
        <w:br/>
      </w:r>
      <w:r w:rsidR="007C6767" w:rsidRPr="009720B4">
        <w:t>–</w:t>
      </w:r>
      <w:r w:rsidR="00577E5D" w:rsidRPr="009720B4">
        <w:t>11,5 dB</w:t>
      </w:r>
      <w:r w:rsidR="00577E5D" w:rsidRPr="009720B4">
        <w:br/>
        <w:t>SFS 0,7 m</w:t>
      </w:r>
      <w:r w:rsidR="00577E5D" w:rsidRPr="009720B4">
        <w:br/>
        <w:t>SFS 0,9 m</w:t>
      </w:r>
      <w:r w:rsidR="00577E5D" w:rsidRPr="009720B4">
        <w:br/>
        <w:t>SFS 2,5 m</w:t>
      </w:r>
      <w:r w:rsidR="00577E5D" w:rsidRPr="009720B4">
        <w:br/>
        <w:t>SFS 5,0 m</w:t>
      </w:r>
    </w:p>
    <w:p w14:paraId="730E71F8" w14:textId="16367426" w:rsidR="00AD7198" w:rsidRPr="009720B4" w:rsidRDefault="00AD7198" w:rsidP="005B72D8">
      <w:pPr>
        <w:pStyle w:val="FigureNo"/>
      </w:pPr>
      <w:r w:rsidRPr="009720B4">
        <w:lastRenderedPageBreak/>
        <w:t>Figure 3</w:t>
      </w:r>
    </w:p>
    <w:p w14:paraId="6DF7E90C" w14:textId="69D858C0" w:rsidR="00BA56C5" w:rsidRPr="009720B4" w:rsidRDefault="00AD7198" w:rsidP="005B72D8">
      <w:pPr>
        <w:pStyle w:val="Figuretitle"/>
      </w:pPr>
      <w:r w:rsidRPr="009720B4">
        <w:t xml:space="preserve">Limites d'epfd dans la bande Ku du SFS (10,7-11,7 GHz) </w:t>
      </w:r>
      <w:r w:rsidR="0078741D" w:rsidRPr="009720B4">
        <w:t>exprimées sous la forme de</w:t>
      </w:r>
      <w:r w:rsidRPr="009720B4">
        <w:t xml:space="preserve"> courbes </w:t>
      </w:r>
      <w:r w:rsidRPr="009720B4">
        <w:rPr>
          <w:i/>
          <w:iCs/>
        </w:rPr>
        <w:t>I</w:t>
      </w:r>
      <w:r w:rsidRPr="009720B4">
        <w:t>/</w:t>
      </w:r>
      <w:r w:rsidRPr="009720B4">
        <w:rPr>
          <w:i/>
          <w:iCs/>
        </w:rPr>
        <w:t>N</w:t>
      </w:r>
      <w:r w:rsidR="007C6767" w:rsidRPr="009720B4">
        <w:rPr>
          <w:i/>
          <w:iCs/>
        </w:rPr>
        <w:br/>
      </w:r>
      <w:r w:rsidRPr="009720B4">
        <w:t>en prenant pour hypothèse une température de bruit de 195 K</w:t>
      </w:r>
    </w:p>
    <w:p w14:paraId="5775730F" w14:textId="28072DB9" w:rsidR="00BA56C5" w:rsidRPr="009720B4" w:rsidRDefault="00BA56C5" w:rsidP="00566ADC">
      <w:pPr>
        <w:pStyle w:val="Figure"/>
      </w:pPr>
      <w:r w:rsidRPr="009720B4">
        <w:rPr>
          <w:noProof/>
        </w:rPr>
        <w:drawing>
          <wp:inline distT="0" distB="0" distL="0" distR="0" wp14:anchorId="3671D904" wp14:editId="489F3AE1">
            <wp:extent cx="4356291" cy="3375660"/>
            <wp:effectExtent l="0" t="0" r="6350" b="0"/>
            <wp:docPr id="127890625" name="Picture 1"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0625" name="Picture 1" descr="A graph of a number of lines&#10;&#10;Description automatically generated with medium confidence"/>
                    <pic:cNvPicPr/>
                  </pic:nvPicPr>
                  <pic:blipFill>
                    <a:blip r:embed="rId16"/>
                    <a:stretch>
                      <a:fillRect/>
                    </a:stretch>
                  </pic:blipFill>
                  <pic:spPr>
                    <a:xfrm>
                      <a:off x="0" y="0"/>
                      <a:ext cx="4363418" cy="3381183"/>
                    </a:xfrm>
                    <a:prstGeom prst="rect">
                      <a:avLst/>
                    </a:prstGeom>
                  </pic:spPr>
                </pic:pic>
              </a:graphicData>
            </a:graphic>
          </wp:inline>
        </w:drawing>
      </w:r>
    </w:p>
    <w:p w14:paraId="7DBCF0E2" w14:textId="77777777" w:rsidR="00577E5D" w:rsidRPr="009720B4" w:rsidRDefault="00577E5D" w:rsidP="005B72D8">
      <w:pPr>
        <w:pStyle w:val="Figurelegend"/>
        <w:spacing w:before="120" w:after="120"/>
      </w:pPr>
      <w:r w:rsidRPr="009720B4">
        <w:t>Légende:</w:t>
      </w:r>
    </w:p>
    <w:p w14:paraId="54720D41" w14:textId="0499F810" w:rsidR="00577E5D" w:rsidRPr="009720B4" w:rsidRDefault="00577E5D" w:rsidP="005B72D8">
      <w:pPr>
        <w:pStyle w:val="Figurelegend"/>
        <w:keepNext w:val="0"/>
        <w:keepLines w:val="0"/>
      </w:pPr>
      <w:r w:rsidRPr="009720B4">
        <w:t xml:space="preserve">Rapport </w:t>
      </w:r>
      <w:r w:rsidRPr="009720B4">
        <w:rPr>
          <w:i/>
        </w:rPr>
        <w:t>I</w:t>
      </w:r>
      <w:r w:rsidRPr="009720B4">
        <w:rPr>
          <w:iCs/>
        </w:rPr>
        <w:t>/</w:t>
      </w:r>
      <w:r w:rsidRPr="009720B4">
        <w:rPr>
          <w:i/>
        </w:rPr>
        <w:t>N</w:t>
      </w:r>
      <w:r w:rsidR="00353BC9" w:rsidRPr="009720B4">
        <w:t xml:space="preserve"> </w:t>
      </w:r>
      <w:r w:rsidR="000013E6" w:rsidRPr="009720B4">
        <w:t xml:space="preserve">pour </w:t>
      </w:r>
      <w:r w:rsidRPr="009720B4">
        <w:t>la limite d'epfd pour une seule source de brouillage (Ku 10,7 GHz, Tsys = 150 K) [dB]</w:t>
      </w:r>
      <w:r w:rsidRPr="009720B4">
        <w:br/>
      </w:r>
      <w:r w:rsidRPr="009720B4">
        <w:rPr>
          <w:i/>
        </w:rPr>
        <w:t>I</w:t>
      </w:r>
      <w:r w:rsidRPr="009720B4">
        <w:rPr>
          <w:iCs/>
        </w:rPr>
        <w:t>/</w:t>
      </w:r>
      <w:r w:rsidRPr="009720B4">
        <w:rPr>
          <w:i/>
        </w:rPr>
        <w:t>N</w:t>
      </w:r>
      <w:r w:rsidRPr="009720B4">
        <w:t xml:space="preserve"> (dB)</w:t>
      </w:r>
      <w:r w:rsidRPr="009720B4">
        <w:br/>
        <w:t xml:space="preserve">Probabilité de dépassement du rapport </w:t>
      </w:r>
      <w:r w:rsidRPr="009720B4">
        <w:rPr>
          <w:i/>
        </w:rPr>
        <w:t>I</w:t>
      </w:r>
      <w:r w:rsidRPr="009720B4">
        <w:rPr>
          <w:iCs/>
        </w:rPr>
        <w:t>/</w:t>
      </w:r>
      <w:r w:rsidRPr="009720B4">
        <w:rPr>
          <w:i/>
        </w:rPr>
        <w:t>N</w:t>
      </w:r>
      <w:r w:rsidRPr="009720B4">
        <w:t xml:space="preserve"> (%)</w:t>
      </w:r>
      <w:r w:rsidRPr="009720B4">
        <w:br/>
      </w:r>
      <w:r w:rsidR="007C6767" w:rsidRPr="009720B4">
        <w:t>–</w:t>
      </w:r>
      <w:r w:rsidRPr="009720B4">
        <w:t>11,5 dB</w:t>
      </w:r>
      <w:r w:rsidRPr="009720B4">
        <w:br/>
        <w:t>SFS 0,6 m</w:t>
      </w:r>
      <w:r w:rsidRPr="009720B4">
        <w:br/>
        <w:t>SFS 1,2 m</w:t>
      </w:r>
      <w:r w:rsidRPr="009720B4">
        <w:br/>
        <w:t>SFS 3,0 m</w:t>
      </w:r>
      <w:r w:rsidRPr="009720B4">
        <w:br/>
        <w:t>SFS 10 m</w:t>
      </w:r>
    </w:p>
    <w:p w14:paraId="28D049F4" w14:textId="22592307" w:rsidR="00AD7198" w:rsidRPr="009720B4" w:rsidRDefault="00AD7198" w:rsidP="005B72D8">
      <w:pPr>
        <w:pStyle w:val="FigureNo"/>
        <w:spacing w:before="0"/>
      </w:pPr>
      <w:r w:rsidRPr="009720B4">
        <w:lastRenderedPageBreak/>
        <w:t>Figure 4</w:t>
      </w:r>
    </w:p>
    <w:p w14:paraId="70418ED4" w14:textId="2BD19B69" w:rsidR="00BA56C5" w:rsidRPr="009720B4" w:rsidRDefault="00AD7198" w:rsidP="005B72D8">
      <w:pPr>
        <w:pStyle w:val="Figuretitle"/>
        <w:spacing w:after="120"/>
      </w:pPr>
      <w:r w:rsidRPr="009720B4">
        <w:t xml:space="preserve">Limites d'epfd dans la bande Ku du SRS (11,7-12,7 GHz) </w:t>
      </w:r>
      <w:r w:rsidR="0078741D" w:rsidRPr="009720B4">
        <w:t>exprimées sous la forme de</w:t>
      </w:r>
      <w:r w:rsidRPr="009720B4">
        <w:t xml:space="preserve"> courbes </w:t>
      </w:r>
      <w:r w:rsidRPr="009720B4">
        <w:rPr>
          <w:i/>
          <w:iCs/>
        </w:rPr>
        <w:t>I</w:t>
      </w:r>
      <w:r w:rsidRPr="009720B4">
        <w:t>/</w:t>
      </w:r>
      <w:r w:rsidRPr="009720B4">
        <w:rPr>
          <w:i/>
          <w:iCs/>
        </w:rPr>
        <w:t>N</w:t>
      </w:r>
      <w:r w:rsidR="007C6767" w:rsidRPr="009720B4">
        <w:rPr>
          <w:i/>
          <w:iCs/>
        </w:rPr>
        <w:br/>
      </w:r>
      <w:r w:rsidRPr="009720B4">
        <w:t>en prenant pour hypothèse une température de bruit de 195 K</w:t>
      </w:r>
    </w:p>
    <w:p w14:paraId="18E87C0F" w14:textId="746B3B9D" w:rsidR="00BA56C5" w:rsidRPr="009720B4" w:rsidRDefault="00BA56C5" w:rsidP="005B72D8">
      <w:pPr>
        <w:pStyle w:val="Figure"/>
      </w:pPr>
      <w:r w:rsidRPr="009720B4">
        <w:rPr>
          <w:noProof/>
        </w:rPr>
        <w:drawing>
          <wp:inline distT="0" distB="0" distL="0" distR="0" wp14:anchorId="50DAF3B0" wp14:editId="3C52E742">
            <wp:extent cx="4197512" cy="3172631"/>
            <wp:effectExtent l="0" t="0" r="0" b="8890"/>
            <wp:docPr id="57782097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0970" name="Picture 1" descr="A graph of different colored lines&#10;&#10;Description automatically generated"/>
                    <pic:cNvPicPr/>
                  </pic:nvPicPr>
                  <pic:blipFill rotWithShape="1">
                    <a:blip r:embed="rId17"/>
                    <a:srcRect t="1049" b="1410"/>
                    <a:stretch/>
                  </pic:blipFill>
                  <pic:spPr bwMode="auto">
                    <a:xfrm>
                      <a:off x="0" y="0"/>
                      <a:ext cx="4206315" cy="3179284"/>
                    </a:xfrm>
                    <a:prstGeom prst="rect">
                      <a:avLst/>
                    </a:prstGeom>
                    <a:ln>
                      <a:noFill/>
                    </a:ln>
                    <a:extLst>
                      <a:ext uri="{53640926-AAD7-44D8-BBD7-CCE9431645EC}">
                        <a14:shadowObscured xmlns:a14="http://schemas.microsoft.com/office/drawing/2010/main"/>
                      </a:ext>
                    </a:extLst>
                  </pic:spPr>
                </pic:pic>
              </a:graphicData>
            </a:graphic>
          </wp:inline>
        </w:drawing>
      </w:r>
    </w:p>
    <w:p w14:paraId="1892A65A" w14:textId="77777777" w:rsidR="00C54F4C" w:rsidRPr="009720B4" w:rsidRDefault="00C54F4C" w:rsidP="005B72D8">
      <w:pPr>
        <w:pStyle w:val="Figurelegend"/>
        <w:spacing w:before="0" w:after="120"/>
      </w:pPr>
      <w:r w:rsidRPr="009720B4">
        <w:t>Légende:</w:t>
      </w:r>
    </w:p>
    <w:p w14:paraId="4D048B0F" w14:textId="1EA21983" w:rsidR="00C54F4C" w:rsidRPr="009720B4" w:rsidRDefault="00003BBA" w:rsidP="005B72D8">
      <w:pPr>
        <w:pStyle w:val="Figurelegend"/>
      </w:pPr>
      <w:r w:rsidRPr="009720B4">
        <w:t xml:space="preserve">Rapport </w:t>
      </w:r>
      <w:r w:rsidRPr="009720B4">
        <w:rPr>
          <w:i/>
        </w:rPr>
        <w:t>I</w:t>
      </w:r>
      <w:r w:rsidRPr="009720B4">
        <w:rPr>
          <w:iCs/>
        </w:rPr>
        <w:t>/</w:t>
      </w:r>
      <w:r w:rsidRPr="009720B4">
        <w:rPr>
          <w:i/>
        </w:rPr>
        <w:t>N</w:t>
      </w:r>
      <w:r w:rsidR="000013E6" w:rsidRPr="009720B4">
        <w:t xml:space="preserve"> pour </w:t>
      </w:r>
      <w:r w:rsidR="00C54F4C" w:rsidRPr="009720B4">
        <w:t>la limite d'epfd pour une seule source de brouillage (Ku 11,7 GHz, Tsys = 150 K) [dB]</w:t>
      </w:r>
      <w:r w:rsidR="00C54F4C" w:rsidRPr="009720B4">
        <w:br/>
      </w:r>
      <w:r w:rsidR="00C54F4C" w:rsidRPr="009720B4">
        <w:rPr>
          <w:i/>
        </w:rPr>
        <w:t>I</w:t>
      </w:r>
      <w:r w:rsidR="00C54F4C" w:rsidRPr="009720B4">
        <w:rPr>
          <w:iCs/>
        </w:rPr>
        <w:t>/</w:t>
      </w:r>
      <w:r w:rsidR="00C54F4C" w:rsidRPr="009720B4">
        <w:rPr>
          <w:i/>
        </w:rPr>
        <w:t>N</w:t>
      </w:r>
      <w:r w:rsidR="00C54F4C" w:rsidRPr="009720B4">
        <w:t xml:space="preserve"> (dB)</w:t>
      </w:r>
      <w:r w:rsidR="00C54F4C" w:rsidRPr="009720B4">
        <w:br/>
        <w:t xml:space="preserve">Probabilité de dépassement du rapport </w:t>
      </w:r>
      <w:r w:rsidR="00C54F4C" w:rsidRPr="009720B4">
        <w:rPr>
          <w:i/>
        </w:rPr>
        <w:t>I</w:t>
      </w:r>
      <w:r w:rsidR="00C54F4C" w:rsidRPr="009720B4">
        <w:rPr>
          <w:iCs/>
        </w:rPr>
        <w:t>/</w:t>
      </w:r>
      <w:r w:rsidR="00C54F4C" w:rsidRPr="009720B4">
        <w:rPr>
          <w:i/>
        </w:rPr>
        <w:t xml:space="preserve">N </w:t>
      </w:r>
      <w:r w:rsidR="00C54F4C" w:rsidRPr="009720B4">
        <w:t>(%)</w:t>
      </w:r>
      <w:r w:rsidR="00C54F4C" w:rsidRPr="009720B4">
        <w:br/>
      </w:r>
      <w:r w:rsidR="007C6767" w:rsidRPr="009720B4">
        <w:t>–</w:t>
      </w:r>
      <w:r w:rsidR="00C54F4C" w:rsidRPr="009720B4">
        <w:t>11,5 dB</w:t>
      </w:r>
      <w:r w:rsidR="00C54F4C" w:rsidRPr="009720B4">
        <w:br/>
        <w:t>SRS 0,3 m</w:t>
      </w:r>
      <w:r w:rsidR="00C54F4C" w:rsidRPr="009720B4">
        <w:br/>
        <w:t>SRS 0,45 m</w:t>
      </w:r>
      <w:r w:rsidR="00C54F4C" w:rsidRPr="009720B4">
        <w:br/>
        <w:t>SRS 0,6 m</w:t>
      </w:r>
      <w:r w:rsidR="00C54F4C" w:rsidRPr="009720B4">
        <w:br/>
        <w:t>SRS 0,9 m</w:t>
      </w:r>
      <w:r w:rsidR="00C54F4C" w:rsidRPr="009720B4">
        <w:br/>
        <w:t>SRS 1,2 m</w:t>
      </w:r>
      <w:r w:rsidR="00C54F4C" w:rsidRPr="009720B4">
        <w:br/>
        <w:t>SRS 1,8 m</w:t>
      </w:r>
      <w:r w:rsidR="00C54F4C" w:rsidRPr="009720B4">
        <w:br/>
        <w:t>SRS 2,4 m</w:t>
      </w:r>
      <w:r w:rsidR="00C54F4C" w:rsidRPr="009720B4">
        <w:br/>
        <w:t>SRS 3,0 m</w:t>
      </w:r>
    </w:p>
    <w:p w14:paraId="5622D8D4" w14:textId="7F96067D" w:rsidR="00C54F4C" w:rsidRPr="009720B4" w:rsidRDefault="00415712" w:rsidP="005B72D8">
      <w:pPr>
        <w:rPr>
          <w:iCs/>
        </w:rPr>
      </w:pPr>
      <w:r w:rsidRPr="009720B4">
        <w:t xml:space="preserve">La proposition ci-après vise à améliorer la capacité des systèmes non OSG </w:t>
      </w:r>
      <w:r w:rsidR="000013E6" w:rsidRPr="009720B4">
        <w:t xml:space="preserve">du SFS </w:t>
      </w:r>
      <w:r w:rsidRPr="009720B4">
        <w:t xml:space="preserve">à utiliser les bandes de fréquences assujetties aux limites d'epfd indiquées dans l'Article </w:t>
      </w:r>
      <w:r w:rsidRPr="009720B4">
        <w:rPr>
          <w:b/>
        </w:rPr>
        <w:t>22</w:t>
      </w:r>
      <w:r w:rsidRPr="009720B4">
        <w:t xml:space="preserve"> du RR (y compris les limites </w:t>
      </w:r>
      <w:r w:rsidR="00003BBA" w:rsidRPr="009720B4">
        <w:t>d'epfd cumulative</w:t>
      </w:r>
      <w:r w:rsidRPr="009720B4">
        <w:t xml:space="preserve"> indiquées dans la Résolution </w:t>
      </w:r>
      <w:r w:rsidRPr="009720B4">
        <w:rPr>
          <w:b/>
        </w:rPr>
        <w:t>76 (Rév.CMR-15)</w:t>
      </w:r>
      <w:r w:rsidR="00645B87" w:rsidRPr="009720B4">
        <w:t>)</w:t>
      </w:r>
      <w:r w:rsidRPr="009720B4">
        <w:t xml:space="preserve">. Les incidences des limites actuelles sur l'exploitation des systèmes non OSG sont significatives: comme l'ont démontré les études présentées au Groupe de travail (GT) 4A en juin/juillet 2023 </w:t>
      </w:r>
      <w:r w:rsidRPr="009720B4">
        <w:rPr>
          <w:iCs/>
        </w:rPr>
        <w:t>(</w:t>
      </w:r>
      <w:hyperlink r:id="rId18" w:history="1">
        <w:r w:rsidRPr="009720B4">
          <w:rPr>
            <w:rStyle w:val="Hyperlink"/>
            <w:iCs/>
          </w:rPr>
          <w:t>Doc</w:t>
        </w:r>
        <w:r w:rsidR="007C6767" w:rsidRPr="009720B4">
          <w:rPr>
            <w:rStyle w:val="Hyperlink"/>
            <w:iCs/>
          </w:rPr>
          <w:t>ument</w:t>
        </w:r>
        <w:r w:rsidRPr="009720B4">
          <w:rPr>
            <w:rStyle w:val="Hyperlink"/>
            <w:iCs/>
          </w:rPr>
          <w:t xml:space="preserve"> 4A/971</w:t>
        </w:r>
      </w:hyperlink>
      <w:r w:rsidRPr="009720B4">
        <w:rPr>
          <w:iCs/>
        </w:rPr>
        <w:t xml:space="preserve">), </w:t>
      </w:r>
      <w:r w:rsidR="00645B87" w:rsidRPr="009720B4">
        <w:rPr>
          <w:iCs/>
        </w:rPr>
        <w:t>on pourrait réduire</w:t>
      </w:r>
      <w:r w:rsidRPr="009720B4">
        <w:rPr>
          <w:iCs/>
        </w:rPr>
        <w:t xml:space="preserve"> jusqu'à 8 fois </w:t>
      </w:r>
      <w:r w:rsidR="00645B87" w:rsidRPr="009720B4">
        <w:rPr>
          <w:iCs/>
        </w:rPr>
        <w:t xml:space="preserve">la capacité </w:t>
      </w:r>
      <w:r w:rsidRPr="009720B4">
        <w:rPr>
          <w:iCs/>
        </w:rPr>
        <w:t xml:space="preserve">entre les limites actuelles et un cadre plus efficace conforme aux exigences de protection indiquées dans la Recommandation UIT-R S.1323. Si les systèmes </w:t>
      </w:r>
      <w:r w:rsidR="007B1D72" w:rsidRPr="009720B4">
        <w:rPr>
          <w:iCs/>
        </w:rPr>
        <w:t>non OSG s</w:t>
      </w:r>
      <w:r w:rsidRPr="009720B4">
        <w:rPr>
          <w:iCs/>
        </w:rPr>
        <w:t>ont en mesure</w:t>
      </w:r>
      <w:r w:rsidR="000013E6" w:rsidRPr="009720B4">
        <w:rPr>
          <w:iCs/>
        </w:rPr>
        <w:t xml:space="preserve"> d'utiliser</w:t>
      </w:r>
      <w:r w:rsidRPr="009720B4">
        <w:rPr>
          <w:iCs/>
        </w:rPr>
        <w:t xml:space="preserve"> plus efficacement</w:t>
      </w:r>
      <w:r w:rsidR="000013E6" w:rsidRPr="009720B4">
        <w:rPr>
          <w:iCs/>
        </w:rPr>
        <w:t xml:space="preserve"> en partage</w:t>
      </w:r>
      <w:r w:rsidRPr="009720B4">
        <w:rPr>
          <w:iCs/>
        </w:rPr>
        <w:t xml:space="preserve"> leurs fréquences</w:t>
      </w:r>
      <w:r w:rsidR="000013E6" w:rsidRPr="009720B4">
        <w:rPr>
          <w:iCs/>
        </w:rPr>
        <w:t>,</w:t>
      </w:r>
      <w:r w:rsidRPr="009720B4">
        <w:rPr>
          <w:iCs/>
        </w:rPr>
        <w:t xml:space="preserve"> </w:t>
      </w:r>
      <w:r w:rsidR="007B1D72" w:rsidRPr="009720B4">
        <w:rPr>
          <w:iCs/>
        </w:rPr>
        <w:t>tout en respectant les</w:t>
      </w:r>
      <w:r w:rsidRPr="009720B4">
        <w:rPr>
          <w:iCs/>
        </w:rPr>
        <w:t xml:space="preserve"> limites </w:t>
      </w:r>
      <w:r w:rsidR="007B1D72" w:rsidRPr="009720B4">
        <w:rPr>
          <w:iCs/>
        </w:rPr>
        <w:t>cumulative</w:t>
      </w:r>
      <w:r w:rsidR="000013E6" w:rsidRPr="009720B4">
        <w:rPr>
          <w:iCs/>
        </w:rPr>
        <w:t>s</w:t>
      </w:r>
      <w:r w:rsidRPr="009720B4">
        <w:rPr>
          <w:iCs/>
        </w:rPr>
        <w:t xml:space="preserve"> visant à protéger les satellites OSG, cela aura </w:t>
      </w:r>
      <w:r w:rsidR="000013E6" w:rsidRPr="009720B4">
        <w:rPr>
          <w:iCs/>
        </w:rPr>
        <w:t xml:space="preserve">des </w:t>
      </w:r>
      <w:r w:rsidRPr="009720B4">
        <w:rPr>
          <w:iCs/>
        </w:rPr>
        <w:t>incidence</w:t>
      </w:r>
      <w:r w:rsidR="000013E6" w:rsidRPr="009720B4">
        <w:rPr>
          <w:iCs/>
        </w:rPr>
        <w:t>s</w:t>
      </w:r>
      <w:r w:rsidRPr="009720B4">
        <w:rPr>
          <w:iCs/>
        </w:rPr>
        <w:t xml:space="preserve"> sur </w:t>
      </w:r>
      <w:r w:rsidR="000013E6" w:rsidRPr="009720B4">
        <w:rPr>
          <w:iCs/>
        </w:rPr>
        <w:t xml:space="preserve">chaque système </w:t>
      </w:r>
      <w:r w:rsidR="007B1D72" w:rsidRPr="009720B4">
        <w:rPr>
          <w:iCs/>
        </w:rPr>
        <w:t>non OSG,</w:t>
      </w:r>
      <w:r w:rsidRPr="009720B4">
        <w:rPr>
          <w:iCs/>
        </w:rPr>
        <w:t xml:space="preserve"> </w:t>
      </w:r>
      <w:r w:rsidR="000013E6" w:rsidRPr="009720B4">
        <w:rPr>
          <w:iCs/>
        </w:rPr>
        <w:t xml:space="preserve">en ce sens que </w:t>
      </w:r>
      <w:r w:rsidRPr="009720B4">
        <w:rPr>
          <w:iCs/>
        </w:rPr>
        <w:t>l'utilisation de</w:t>
      </w:r>
      <w:r w:rsidR="000013E6" w:rsidRPr="009720B4">
        <w:rPr>
          <w:iCs/>
        </w:rPr>
        <w:t xml:space="preserve"> la totalité </w:t>
      </w:r>
      <w:r w:rsidRPr="009720B4">
        <w:rPr>
          <w:iCs/>
        </w:rPr>
        <w:t>du spectre</w:t>
      </w:r>
      <w:r w:rsidR="007B1D72" w:rsidRPr="009720B4">
        <w:rPr>
          <w:iCs/>
        </w:rPr>
        <w:t xml:space="preserve"> sera optimisée</w:t>
      </w:r>
      <w:r w:rsidR="000620C2" w:rsidRPr="009720B4">
        <w:rPr>
          <w:iCs/>
        </w:rPr>
        <w:t>, ce qui facilitera un accès plus large à</w:t>
      </w:r>
      <w:r w:rsidR="007B1D72" w:rsidRPr="009720B4">
        <w:rPr>
          <w:iCs/>
        </w:rPr>
        <w:t xml:space="preserve"> </w:t>
      </w:r>
      <w:r w:rsidR="005B4906" w:rsidRPr="009720B4">
        <w:rPr>
          <w:iCs/>
        </w:rPr>
        <w:t xml:space="preserve">cette ressource </w:t>
      </w:r>
      <w:r w:rsidR="000620C2" w:rsidRPr="009720B4">
        <w:rPr>
          <w:iCs/>
        </w:rPr>
        <w:t xml:space="preserve">utilisée en </w:t>
      </w:r>
      <w:r w:rsidR="005B4906" w:rsidRPr="009720B4">
        <w:rPr>
          <w:iCs/>
        </w:rPr>
        <w:t>partag</w:t>
      </w:r>
      <w:r w:rsidR="000620C2" w:rsidRPr="009720B4">
        <w:rPr>
          <w:iCs/>
        </w:rPr>
        <w:t>e, qui est limitée</w:t>
      </w:r>
      <w:r w:rsidR="0051273B" w:rsidRPr="009720B4">
        <w:rPr>
          <w:iCs/>
        </w:rPr>
        <w:t>.</w:t>
      </w:r>
    </w:p>
    <w:p w14:paraId="37D11CA4" w14:textId="537EADFC" w:rsidR="00566ADC" w:rsidRPr="009720B4" w:rsidRDefault="005B4906" w:rsidP="005B72D8">
      <w:pPr>
        <w:rPr>
          <w:iCs/>
        </w:rPr>
      </w:pPr>
      <w:r w:rsidRPr="009720B4">
        <w:t xml:space="preserve">Enfin, </w:t>
      </w:r>
      <w:r w:rsidR="00175B11" w:rsidRPr="009720B4">
        <w:t xml:space="preserve">il est reconnu que ce nouveau point de l'ordre du jour </w:t>
      </w:r>
      <w:r w:rsidR="000620C2" w:rsidRPr="009720B4">
        <w:t xml:space="preserve">recoupera </w:t>
      </w:r>
      <w:r w:rsidR="00175B11" w:rsidRPr="009720B4">
        <w:t xml:space="preserve">en partie l'examen des éventuelles révisions de la Résolution </w:t>
      </w:r>
      <w:r w:rsidR="00175B11" w:rsidRPr="009720B4">
        <w:rPr>
          <w:b/>
        </w:rPr>
        <w:t>76 (Rév.CMR-15)</w:t>
      </w:r>
      <w:r w:rsidR="00175B11" w:rsidRPr="009720B4">
        <w:t xml:space="preserve"> </w:t>
      </w:r>
      <w:r w:rsidR="006817D6" w:rsidRPr="009720B4">
        <w:t>au titre</w:t>
      </w:r>
      <w:r w:rsidR="00175B11" w:rsidRPr="009720B4">
        <w:t xml:space="preserve"> du point 7 (Question J) de l'ordre du jour de la CMR-23, qui a pour objet d'examiner l'établissement d'un processus de consultation pour garantir le respec</w:t>
      </w:r>
      <w:r w:rsidR="006817D6" w:rsidRPr="009720B4">
        <w:t>t des limites d'epfd cumulative</w:t>
      </w:r>
      <w:r w:rsidR="00175B11" w:rsidRPr="009720B4">
        <w:t xml:space="preserve"> indiquées dans ladite Résolution et dans le numéro </w:t>
      </w:r>
      <w:r w:rsidR="00175B11" w:rsidRPr="009720B4">
        <w:rPr>
          <w:b/>
        </w:rPr>
        <w:t>22.5K</w:t>
      </w:r>
      <w:r w:rsidR="00175B11" w:rsidRPr="009720B4">
        <w:t xml:space="preserve"> du RR, et remédier aux dépassements </w:t>
      </w:r>
      <w:r w:rsidR="000620C2" w:rsidRPr="009720B4">
        <w:t xml:space="preserve">éventuels </w:t>
      </w:r>
      <w:r w:rsidR="00175B11" w:rsidRPr="009720B4">
        <w:t>de ces limites.</w:t>
      </w:r>
      <w:r w:rsidR="0071473E" w:rsidRPr="009720B4">
        <w:t xml:space="preserve"> Il est proposé de </w:t>
      </w:r>
      <w:r w:rsidR="000B6F53" w:rsidRPr="009720B4">
        <w:t>tenir compte de</w:t>
      </w:r>
      <w:r w:rsidR="0071473E" w:rsidRPr="009720B4">
        <w:t xml:space="preserve"> ces discussions dans le cadre des travaux </w:t>
      </w:r>
      <w:r w:rsidR="000B6F53" w:rsidRPr="009720B4">
        <w:t xml:space="preserve">menés </w:t>
      </w:r>
      <w:r w:rsidR="0071473E" w:rsidRPr="009720B4">
        <w:t>au titre de ce point de l'ordre du jour proposé.</w:t>
      </w:r>
      <w:r w:rsidR="00566ADC" w:rsidRPr="009720B4">
        <w:rPr>
          <w:iCs/>
        </w:rPr>
        <w:br w:type="page"/>
      </w:r>
    </w:p>
    <w:p w14:paraId="086E4CE0" w14:textId="77777777" w:rsidR="00A507AF" w:rsidRPr="009720B4" w:rsidRDefault="00A507AF" w:rsidP="00566ADC">
      <w:pPr>
        <w:pStyle w:val="FigureNo"/>
      </w:pPr>
      <w:r w:rsidRPr="009720B4">
        <w:lastRenderedPageBreak/>
        <w:t>Figure 5</w:t>
      </w:r>
    </w:p>
    <w:p w14:paraId="48D516F5" w14:textId="25D20381" w:rsidR="00BA56C5" w:rsidRPr="009720B4" w:rsidRDefault="00BA56C5" w:rsidP="00566ADC">
      <w:pPr>
        <w:pStyle w:val="Figure"/>
      </w:pPr>
      <w:r w:rsidRPr="009720B4">
        <w:rPr>
          <w:noProof/>
        </w:rPr>
        <w:drawing>
          <wp:inline distT="0" distB="0" distL="0" distR="0" wp14:anchorId="6C054C21" wp14:editId="2246898C">
            <wp:extent cx="4996453" cy="2887980"/>
            <wp:effectExtent l="0" t="0" r="0" b="7620"/>
            <wp:docPr id="1599828506"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8506" name="Picture 1" descr="A diagram of a pi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7194" cy="2899969"/>
                    </a:xfrm>
                    <a:prstGeom prst="rect">
                      <a:avLst/>
                    </a:prstGeom>
                    <a:noFill/>
                  </pic:spPr>
                </pic:pic>
              </a:graphicData>
            </a:graphic>
          </wp:inline>
        </w:drawing>
      </w:r>
    </w:p>
    <w:p w14:paraId="4F9C14F8" w14:textId="78D50997" w:rsidR="00A507AF" w:rsidRPr="009720B4" w:rsidRDefault="00A507AF" w:rsidP="005B72D8">
      <w:pPr>
        <w:pStyle w:val="Figurelegend"/>
        <w:spacing w:before="120" w:after="120"/>
      </w:pPr>
      <w:r w:rsidRPr="009720B4">
        <w:t>Légende:</w:t>
      </w:r>
    </w:p>
    <w:p w14:paraId="5336D1C5" w14:textId="1113E447" w:rsidR="00A507AF" w:rsidRPr="009720B4" w:rsidRDefault="00A507AF" w:rsidP="005B72D8">
      <w:pPr>
        <w:pStyle w:val="Figurelegend"/>
      </w:pPr>
      <w:r w:rsidRPr="009720B4">
        <w:t xml:space="preserve">Graphique </w:t>
      </w:r>
      <w:r w:rsidR="006817D6" w:rsidRPr="009720B4">
        <w:t>de la totalité du spectre</w:t>
      </w:r>
      <w:r w:rsidRPr="009720B4">
        <w:t xml:space="preserve"> pour les systèmes à satellites non OSG</w:t>
      </w:r>
      <w:r w:rsidRPr="009720B4">
        <w:br/>
        <w:t>Sys 1, 2, 3, 4, 5, 6 = Système 1, 2, 3, 4, 5, 6</w:t>
      </w:r>
      <w:r w:rsidRPr="009720B4">
        <w:br/>
      </w:r>
      <w:r w:rsidR="000620C2" w:rsidRPr="009720B4">
        <w:t xml:space="preserve">Actuellement </w:t>
      </w:r>
      <w:r w:rsidRPr="009720B4">
        <w:t>– Demain</w:t>
      </w:r>
      <w:r w:rsidRPr="009720B4">
        <w:br/>
        <w:t xml:space="preserve">Utilisation du spectre plus efficace = </w:t>
      </w:r>
      <w:r w:rsidR="00786ECD" w:rsidRPr="009720B4">
        <w:t>Plus grande p</w:t>
      </w:r>
      <w:r w:rsidRPr="009720B4">
        <w:t xml:space="preserve">art de spectre pour tous les systèmes à satellites non OSG = Accès plus large aux ressources </w:t>
      </w:r>
      <w:r w:rsidR="000620C2" w:rsidRPr="009720B4">
        <w:t>des</w:t>
      </w:r>
      <w:r w:rsidRPr="009720B4">
        <w:t xml:space="preserve"> systèmes à satellites non OSG</w:t>
      </w:r>
    </w:p>
    <w:p w14:paraId="37C024DA" w14:textId="3344F4F7" w:rsidR="00CD2896" w:rsidRPr="009720B4" w:rsidRDefault="000620C2" w:rsidP="007C6767">
      <w:pPr>
        <w:pStyle w:val="Normalaftertitle"/>
      </w:pPr>
      <w:r w:rsidRPr="009720B4">
        <w:t>Enfin</w:t>
      </w:r>
      <w:r w:rsidR="00CD2896" w:rsidRPr="009720B4">
        <w:t xml:space="preserve">, il est très important de souligner que la mise à jour des limites d'epfd </w:t>
      </w:r>
      <w:r w:rsidR="006817D6" w:rsidRPr="009720B4">
        <w:t>indiquées</w:t>
      </w:r>
      <w:r w:rsidR="00CD2896" w:rsidRPr="009720B4">
        <w:t xml:space="preserve"> dans l'Article</w:t>
      </w:r>
      <w:r w:rsidR="007C6767" w:rsidRPr="009720B4">
        <w:t> </w:t>
      </w:r>
      <w:r w:rsidR="00CD2896" w:rsidRPr="009720B4">
        <w:rPr>
          <w:b/>
        </w:rPr>
        <w:t>22</w:t>
      </w:r>
      <w:r w:rsidR="00CD2896" w:rsidRPr="009720B4">
        <w:t xml:space="preserve"> du RR est également</w:t>
      </w:r>
      <w:r w:rsidRPr="009720B4">
        <w:t xml:space="preserve"> utile </w:t>
      </w:r>
      <w:r w:rsidR="00CD2896" w:rsidRPr="009720B4">
        <w:t>pour les réseaux OSG, car il serait possible d'intégrer dans les nouvelles études</w:t>
      </w:r>
      <w:r w:rsidRPr="009720B4">
        <w:t xml:space="preserve"> les</w:t>
      </w:r>
      <w:r w:rsidR="00CD2896" w:rsidRPr="009720B4">
        <w:t xml:space="preserve"> liaisons de référence actuelles et en projet</w:t>
      </w:r>
      <w:r w:rsidRPr="009720B4">
        <w:t xml:space="preserve"> de ces réseaux</w:t>
      </w:r>
      <w:r w:rsidR="00CD2896" w:rsidRPr="009720B4">
        <w:t>,</w:t>
      </w:r>
      <w:r w:rsidRPr="009720B4">
        <w:t xml:space="preserve"> </w:t>
      </w:r>
      <w:r w:rsidR="00CD2896" w:rsidRPr="009720B4">
        <w:t>qui engloberai</w:t>
      </w:r>
      <w:r w:rsidRPr="009720B4">
        <w:t>en</w:t>
      </w:r>
      <w:r w:rsidR="00CD2896" w:rsidRPr="009720B4">
        <w:t xml:space="preserve">t les </w:t>
      </w:r>
      <w:r w:rsidRPr="009720B4">
        <w:t xml:space="preserve">dispositifs </w:t>
      </w:r>
      <w:r w:rsidR="00CD2896" w:rsidRPr="009720B4">
        <w:t xml:space="preserve">modernes </w:t>
      </w:r>
      <w:r w:rsidR="00F05CCA" w:rsidRPr="009720B4">
        <w:t>en exploitation</w:t>
      </w:r>
      <w:r w:rsidR="00CD2896" w:rsidRPr="009720B4">
        <w:t xml:space="preserve">, comme les petits terminaux, qui </w:t>
      </w:r>
      <w:r w:rsidRPr="009720B4">
        <w:t>n'étaient</w:t>
      </w:r>
      <w:r w:rsidR="001E33FC" w:rsidRPr="009720B4">
        <w:t xml:space="preserve"> </w:t>
      </w:r>
      <w:r w:rsidR="00CD2896" w:rsidRPr="009720B4">
        <w:t>pas</w:t>
      </w:r>
      <w:r w:rsidRPr="009720B4">
        <w:t xml:space="preserve"> </w:t>
      </w:r>
      <w:r w:rsidR="00CD2896" w:rsidRPr="009720B4">
        <w:t xml:space="preserve">pris en considération il y a 25 ans. Ainsi, cela </w:t>
      </w:r>
      <w:r w:rsidR="00CB28E3" w:rsidRPr="009720B4">
        <w:t>garantirait davantage encore</w:t>
      </w:r>
      <w:r w:rsidR="006A38F0" w:rsidRPr="009720B4">
        <w:t xml:space="preserve"> que leur exploitation est </w:t>
      </w:r>
      <w:r w:rsidRPr="009720B4">
        <w:t xml:space="preserve">dûment </w:t>
      </w:r>
      <w:r w:rsidR="006A38F0" w:rsidRPr="009720B4">
        <w:t>protégée</w:t>
      </w:r>
      <w:r w:rsidR="00566ADC" w:rsidRPr="009720B4">
        <w:t>.</w:t>
      </w:r>
    </w:p>
    <w:p w14:paraId="3692463B" w14:textId="60E4911D" w:rsidR="00F05CCA" w:rsidRPr="009720B4" w:rsidRDefault="00F05CCA" w:rsidP="00566ADC">
      <w:pPr>
        <w:pStyle w:val="Headingb"/>
      </w:pPr>
      <w:r w:rsidRPr="009720B4">
        <w:t>Observations</w:t>
      </w:r>
    </w:p>
    <w:p w14:paraId="2D7935AB" w14:textId="163C07E6" w:rsidR="00F05CCA" w:rsidRPr="009720B4" w:rsidRDefault="00F05CCA" w:rsidP="00566ADC">
      <w:r w:rsidRPr="009720B4">
        <w:t xml:space="preserve">Comme cela a été indiqué </w:t>
      </w:r>
      <w:r w:rsidR="000620C2" w:rsidRPr="009720B4">
        <w:t xml:space="preserve">à </w:t>
      </w:r>
      <w:r w:rsidRPr="009720B4">
        <w:t xml:space="preserve">plusieurs </w:t>
      </w:r>
      <w:r w:rsidR="000620C2" w:rsidRPr="009720B4">
        <w:t xml:space="preserve">reprises </w:t>
      </w:r>
      <w:r w:rsidRPr="009720B4">
        <w:t xml:space="preserve">dans </w:t>
      </w:r>
      <w:r w:rsidR="00A907DC" w:rsidRPr="009720B4">
        <w:t>la présente</w:t>
      </w:r>
      <w:r w:rsidRPr="009720B4">
        <w:t xml:space="preserve"> contribution, </w:t>
      </w:r>
      <w:r w:rsidR="003B0AC1" w:rsidRPr="009720B4">
        <w:t>indépendamment de la solution qui pourra être adoptée</w:t>
      </w:r>
      <w:r w:rsidR="001E33FC" w:rsidRPr="009720B4">
        <w:t xml:space="preserve"> </w:t>
      </w:r>
      <w:r w:rsidR="003B0AC1" w:rsidRPr="009720B4">
        <w:t xml:space="preserve">à la CMR-27, </w:t>
      </w:r>
      <w:r w:rsidRPr="009720B4">
        <w:t>les satellites OSG seront protégés au titre de l'Article</w:t>
      </w:r>
      <w:r w:rsidR="007C6767" w:rsidRPr="009720B4">
        <w:t> </w:t>
      </w:r>
      <w:r w:rsidRPr="009720B4">
        <w:rPr>
          <w:b/>
        </w:rPr>
        <w:t>22.2</w:t>
      </w:r>
      <w:r w:rsidRPr="009720B4">
        <w:t xml:space="preserve"> du RR, </w:t>
      </w:r>
      <w:r w:rsidR="003B0AC1" w:rsidRPr="009720B4">
        <w:t>ce qui oblige</w:t>
      </w:r>
      <w:r w:rsidRPr="009720B4">
        <w:t xml:space="preserve"> les systèmes non OSG</w:t>
      </w:r>
      <w:r w:rsidR="003B0AC1" w:rsidRPr="009720B4">
        <w:t xml:space="preserve"> à </w:t>
      </w:r>
      <w:r w:rsidRPr="009720B4">
        <w:t xml:space="preserve">ne pas causer de brouillages inacceptables aux réseaux OSG. Par conséquent, </w:t>
      </w:r>
      <w:r w:rsidR="003B0AC1" w:rsidRPr="009720B4">
        <w:t xml:space="preserve">il n'existe aucun risque pour </w:t>
      </w:r>
      <w:r w:rsidRPr="009720B4">
        <w:t xml:space="preserve">l'exploitation des satellites OSG et les investissements en </w:t>
      </w:r>
      <w:r w:rsidR="003B0AC1" w:rsidRPr="009720B4">
        <w:t>la matière</w:t>
      </w:r>
      <w:r w:rsidR="00566ADC" w:rsidRPr="009720B4">
        <w:t>.</w:t>
      </w:r>
    </w:p>
    <w:p w14:paraId="19CFAF2C" w14:textId="37FC6060" w:rsidR="00F05CCA" w:rsidRPr="009720B4" w:rsidRDefault="00FA61EF" w:rsidP="00566ADC">
      <w:r w:rsidRPr="009720B4">
        <w:t xml:space="preserve">Certains opérateurs de satellites OSG estiment que le seuil </w:t>
      </w:r>
      <w:r w:rsidRPr="009720B4">
        <w:rPr>
          <w:i/>
        </w:rPr>
        <w:t>I</w:t>
      </w:r>
      <w:r w:rsidRPr="009720B4">
        <w:rPr>
          <w:iCs/>
        </w:rPr>
        <w:t>/</w:t>
      </w:r>
      <w:r w:rsidRPr="009720B4">
        <w:rPr>
          <w:i/>
        </w:rPr>
        <w:t>N</w:t>
      </w:r>
      <w:r w:rsidRPr="009720B4">
        <w:t xml:space="preserve"> utilisé pour </w:t>
      </w:r>
      <w:r w:rsidR="003B0AC1" w:rsidRPr="009720B4">
        <w:t xml:space="preserve">démontrer </w:t>
      </w:r>
      <w:r w:rsidRPr="009720B4">
        <w:t xml:space="preserve">la surprotection des satellites OSG en ce qui concerne les limites pour une seule source de brouillage </w:t>
      </w:r>
      <w:r w:rsidR="003B0AC1" w:rsidRPr="009720B4">
        <w:t xml:space="preserve">n'est pas </w:t>
      </w:r>
      <w:r w:rsidR="00A907DC" w:rsidRPr="009720B4">
        <w:t>approprié</w:t>
      </w:r>
      <w:r w:rsidRPr="009720B4">
        <w:t xml:space="preserve">, et qu'il conviendrait d'utiliser une autre valeur plus prudente, à savoir </w:t>
      </w:r>
      <w:r w:rsidRPr="009720B4">
        <w:rPr>
          <w:iCs/>
        </w:rPr>
        <w:t>–17,6. Même en utilisant</w:t>
      </w:r>
      <w:r w:rsidR="00A907DC" w:rsidRPr="009720B4">
        <w:rPr>
          <w:iCs/>
        </w:rPr>
        <w:t xml:space="preserve"> c</w:t>
      </w:r>
      <w:r w:rsidRPr="009720B4">
        <w:rPr>
          <w:iCs/>
        </w:rPr>
        <w:t xml:space="preserve">e seuil </w:t>
      </w:r>
      <w:r w:rsidRPr="009720B4">
        <w:rPr>
          <w:i/>
          <w:iCs/>
        </w:rPr>
        <w:t>I</w:t>
      </w:r>
      <w:r w:rsidRPr="009720B4">
        <w:t>/</w:t>
      </w:r>
      <w:r w:rsidRPr="009720B4">
        <w:rPr>
          <w:i/>
          <w:iCs/>
        </w:rPr>
        <w:t>N</w:t>
      </w:r>
      <w:r w:rsidRPr="009720B4">
        <w:rPr>
          <w:iCs/>
        </w:rPr>
        <w:t xml:space="preserve"> de –17,6 proposé par ces opérateurs, qui ne </w:t>
      </w:r>
      <w:r w:rsidR="00A907DC" w:rsidRPr="009720B4">
        <w:rPr>
          <w:iCs/>
        </w:rPr>
        <w:t>fait pas partie des</w:t>
      </w:r>
      <w:r w:rsidRPr="009720B4">
        <w:rPr>
          <w:iCs/>
        </w:rPr>
        <w:t xml:space="preserve"> critères de protection</w:t>
      </w:r>
      <w:r w:rsidR="003B0AC1" w:rsidRPr="009720B4">
        <w:rPr>
          <w:iCs/>
        </w:rPr>
        <w:t xml:space="preserve"> corrects </w:t>
      </w:r>
      <w:r w:rsidRPr="009720B4">
        <w:rPr>
          <w:iCs/>
        </w:rPr>
        <w:t xml:space="preserve">des satellites OSG comme cela a été démontré ci-dessus, </w:t>
      </w:r>
      <w:r w:rsidR="003B0AC1" w:rsidRPr="009720B4">
        <w:rPr>
          <w:iCs/>
        </w:rPr>
        <w:t>il apparaît</w:t>
      </w:r>
      <w:r w:rsidRPr="009720B4">
        <w:rPr>
          <w:iCs/>
        </w:rPr>
        <w:t xml:space="preserve"> qu</w:t>
      </w:r>
      <w:r w:rsidR="003B0AC1" w:rsidRPr="009720B4">
        <w:rPr>
          <w:iCs/>
        </w:rPr>
        <w:t>'il existe toujours une marge importante</w:t>
      </w:r>
      <w:r w:rsidRPr="009720B4">
        <w:rPr>
          <w:iCs/>
        </w:rPr>
        <w:t xml:space="preserve"> </w:t>
      </w:r>
      <w:r w:rsidR="003B0AC1" w:rsidRPr="009720B4">
        <w:rPr>
          <w:iCs/>
        </w:rPr>
        <w:t xml:space="preserve">pour la protection des </w:t>
      </w:r>
      <w:r w:rsidRPr="009720B4">
        <w:rPr>
          <w:iCs/>
        </w:rPr>
        <w:t xml:space="preserve">satellites OSG. </w:t>
      </w:r>
      <w:r w:rsidRPr="009720B4">
        <w:rPr>
          <w:b/>
          <w:iCs/>
        </w:rPr>
        <w:t xml:space="preserve">Le dépassement maximal s'élèverait toujours à une valeur </w:t>
      </w:r>
      <w:r w:rsidR="00A907DC" w:rsidRPr="009720B4">
        <w:rPr>
          <w:b/>
          <w:iCs/>
        </w:rPr>
        <w:t>particulièrement élevée</w:t>
      </w:r>
      <w:r w:rsidR="003B0AC1" w:rsidRPr="009720B4">
        <w:rPr>
          <w:b/>
          <w:iCs/>
        </w:rPr>
        <w:t>,</w:t>
      </w:r>
      <w:r w:rsidR="0038214D" w:rsidRPr="009720B4">
        <w:rPr>
          <w:b/>
          <w:iCs/>
        </w:rPr>
        <w:t xml:space="preserve"> </w:t>
      </w:r>
      <w:r w:rsidRPr="009720B4">
        <w:rPr>
          <w:b/>
          <w:iCs/>
        </w:rPr>
        <w:t>comprise entre 5 et 16 dB</w:t>
      </w:r>
      <w:r w:rsidR="003B0AC1" w:rsidRPr="009720B4">
        <w:rPr>
          <w:b/>
          <w:iCs/>
        </w:rPr>
        <w:t xml:space="preserve">, </w:t>
      </w:r>
      <w:r w:rsidRPr="009720B4">
        <w:rPr>
          <w:b/>
          <w:iCs/>
        </w:rPr>
        <w:t>selon les bandes de fréquences utilisées</w:t>
      </w:r>
      <w:r w:rsidRPr="009720B4">
        <w:rPr>
          <w:b/>
          <w:bCs/>
          <w:iCs/>
        </w:rPr>
        <w:t>.</w:t>
      </w:r>
      <w:r w:rsidR="0038214D" w:rsidRPr="009720B4">
        <w:rPr>
          <w:iCs/>
        </w:rPr>
        <w:t xml:space="preserve"> </w:t>
      </w:r>
      <w:r w:rsidR="009A67D3" w:rsidRPr="009720B4">
        <w:rPr>
          <w:iCs/>
        </w:rPr>
        <w:t xml:space="preserve">Les </w:t>
      </w:r>
      <w:r w:rsidR="003B0AC1" w:rsidRPr="009720B4">
        <w:rPr>
          <w:iCs/>
        </w:rPr>
        <w:t xml:space="preserve">graphiques </w:t>
      </w:r>
      <w:r w:rsidR="009A67D3" w:rsidRPr="009720B4">
        <w:rPr>
          <w:iCs/>
        </w:rPr>
        <w:t xml:space="preserve">ci-dessous </w:t>
      </w:r>
      <w:r w:rsidR="00A907DC" w:rsidRPr="009720B4">
        <w:rPr>
          <w:iCs/>
        </w:rPr>
        <w:t>portent sur</w:t>
      </w:r>
      <w:r w:rsidR="009A67D3" w:rsidRPr="009720B4">
        <w:rPr>
          <w:iCs/>
        </w:rPr>
        <w:t xml:space="preserve"> les limites d'epfd cumulative et </w:t>
      </w:r>
      <w:r w:rsidR="00A907DC" w:rsidRPr="009720B4">
        <w:rPr>
          <w:iCs/>
        </w:rPr>
        <w:t xml:space="preserve">incluent </w:t>
      </w:r>
      <w:r w:rsidR="009A67D3" w:rsidRPr="009720B4">
        <w:rPr>
          <w:iCs/>
        </w:rPr>
        <w:t xml:space="preserve">les deux seuils </w:t>
      </w:r>
      <w:r w:rsidR="009A67D3" w:rsidRPr="009720B4">
        <w:rPr>
          <w:i/>
          <w:iCs/>
        </w:rPr>
        <w:t>I</w:t>
      </w:r>
      <w:r w:rsidR="009A67D3" w:rsidRPr="009720B4">
        <w:t>/</w:t>
      </w:r>
      <w:r w:rsidR="009A67D3" w:rsidRPr="009720B4">
        <w:rPr>
          <w:i/>
          <w:iCs/>
        </w:rPr>
        <w:t>N</w:t>
      </w:r>
      <w:r w:rsidR="009A67D3" w:rsidRPr="009720B4">
        <w:rPr>
          <w:iCs/>
        </w:rPr>
        <w:t>, à savoir –6,02 (qui correspond à la valeur appropriée, comme cela a été démontré dans la présente contribution) et –12,2.</w:t>
      </w:r>
    </w:p>
    <w:p w14:paraId="5C526923" w14:textId="4176ADC3" w:rsidR="00566ADC" w:rsidRPr="009720B4" w:rsidRDefault="00566ADC">
      <w:pPr>
        <w:tabs>
          <w:tab w:val="clear" w:pos="1134"/>
          <w:tab w:val="clear" w:pos="1871"/>
          <w:tab w:val="clear" w:pos="2268"/>
        </w:tabs>
        <w:overflowPunct/>
        <w:autoSpaceDE/>
        <w:autoSpaceDN/>
        <w:adjustRightInd/>
        <w:spacing w:before="0"/>
        <w:textAlignment w:val="auto"/>
      </w:pPr>
      <w:r w:rsidRPr="009720B4">
        <w:br w:type="page"/>
      </w:r>
    </w:p>
    <w:p w14:paraId="740F1407" w14:textId="7D4D6C7B" w:rsidR="00BA56C5" w:rsidRPr="009720B4" w:rsidRDefault="00B00B91">
      <w:pPr>
        <w:pStyle w:val="FigureNo"/>
        <w:rPr>
          <w:bCs/>
        </w:rPr>
        <w:pPrChange w:id="14" w:author="Deturche-Nazer, Anne-Marie" w:date="2023-11-08T16:08:00Z">
          <w:pPr>
            <w:pStyle w:val="Figuretitle"/>
          </w:pPr>
        </w:pPrChange>
      </w:pPr>
      <w:r w:rsidRPr="009720B4">
        <w:lastRenderedPageBreak/>
        <w:t>FIGURE 6</w:t>
      </w:r>
    </w:p>
    <w:p w14:paraId="31870E11" w14:textId="556129DF" w:rsidR="00BA56C5" w:rsidRPr="009720B4" w:rsidRDefault="00BA56C5">
      <w:pPr>
        <w:pStyle w:val="Figure"/>
        <w:spacing w:line="360" w:lineRule="auto"/>
        <w:pPrChange w:id="15" w:author="Deturche-Nazer, Anne-Marie" w:date="2023-11-08T16:08:00Z">
          <w:pPr>
            <w:pStyle w:val="Figure"/>
          </w:pPr>
        </w:pPrChange>
      </w:pPr>
      <w:r w:rsidRPr="009720B4">
        <w:rPr>
          <w:noProof/>
        </w:rPr>
        <w:drawing>
          <wp:inline distT="0" distB="0" distL="0" distR="0" wp14:anchorId="60186C76" wp14:editId="2405E1DB">
            <wp:extent cx="4589290" cy="3559175"/>
            <wp:effectExtent l="0" t="0" r="1905" b="3175"/>
            <wp:docPr id="865406245" name="Picture 2"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6245" name="Picture 2" descr="A graph with colored lines and numbe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9091" cy="3566776"/>
                    </a:xfrm>
                    <a:prstGeom prst="rect">
                      <a:avLst/>
                    </a:prstGeom>
                    <a:noFill/>
                  </pic:spPr>
                </pic:pic>
              </a:graphicData>
            </a:graphic>
          </wp:inline>
        </w:drawing>
      </w:r>
    </w:p>
    <w:p w14:paraId="51439A5F" w14:textId="77777777" w:rsidR="00441FED" w:rsidRPr="009720B4" w:rsidRDefault="00441FED" w:rsidP="005B72D8">
      <w:pPr>
        <w:pStyle w:val="Figurelegend"/>
        <w:spacing w:before="120" w:after="120"/>
      </w:pPr>
      <w:r w:rsidRPr="009720B4">
        <w:t>Légende:</w:t>
      </w:r>
    </w:p>
    <w:p w14:paraId="29860CC6" w14:textId="410E91F1" w:rsidR="00441FED" w:rsidRPr="009720B4" w:rsidRDefault="00441FED" w:rsidP="009720B4">
      <w:pPr>
        <w:pStyle w:val="Figurelegend"/>
        <w:keepNext w:val="0"/>
        <w:keepLines w:val="0"/>
      </w:pPr>
      <w:r w:rsidRPr="009720B4">
        <w:t xml:space="preserve">Rapport </w:t>
      </w:r>
      <w:r w:rsidRPr="009720B4">
        <w:rPr>
          <w:i/>
        </w:rPr>
        <w:t>I</w:t>
      </w:r>
      <w:r w:rsidRPr="009720B4">
        <w:rPr>
          <w:iCs/>
        </w:rPr>
        <w:t>/</w:t>
      </w:r>
      <w:r w:rsidRPr="009720B4">
        <w:rPr>
          <w:i/>
        </w:rPr>
        <w:t>N</w:t>
      </w:r>
      <w:r w:rsidR="00A907DC" w:rsidRPr="009720B4">
        <w:t xml:space="preserve"> pour</w:t>
      </w:r>
      <w:r w:rsidRPr="009720B4">
        <w:t xml:space="preserve"> la limite d'epfd </w:t>
      </w:r>
      <w:r w:rsidR="006D79AC" w:rsidRPr="009720B4">
        <w:t>cumulative</w:t>
      </w:r>
      <w:r w:rsidRPr="009720B4">
        <w:t xml:space="preserve"> (Ka</w:t>
      </w:r>
      <w:r w:rsidR="006D79AC" w:rsidRPr="009720B4">
        <w:t>,</w:t>
      </w:r>
      <w:r w:rsidRPr="009720B4">
        <w:t xml:space="preserve"> 19,7 GHz, Tsys = 195 K) [dB]</w:t>
      </w:r>
      <w:r w:rsidRPr="009720B4">
        <w:br/>
      </w:r>
      <w:r w:rsidRPr="009720B4">
        <w:rPr>
          <w:i/>
        </w:rPr>
        <w:t>I</w:t>
      </w:r>
      <w:r w:rsidRPr="009720B4">
        <w:rPr>
          <w:iCs/>
        </w:rPr>
        <w:t>/</w:t>
      </w:r>
      <w:r w:rsidRPr="009720B4">
        <w:rPr>
          <w:i/>
        </w:rPr>
        <w:t>N</w:t>
      </w:r>
      <w:r w:rsidRPr="009720B4">
        <w:t xml:space="preserve"> (dB)</w:t>
      </w:r>
      <w:r w:rsidRPr="009720B4">
        <w:br/>
        <w:t xml:space="preserve">Probabilité de dépassement du rapport </w:t>
      </w:r>
      <w:r w:rsidRPr="009720B4">
        <w:rPr>
          <w:i/>
        </w:rPr>
        <w:t>I</w:t>
      </w:r>
      <w:r w:rsidRPr="009720B4">
        <w:rPr>
          <w:iCs/>
        </w:rPr>
        <w:t>/</w:t>
      </w:r>
      <w:r w:rsidRPr="009720B4">
        <w:rPr>
          <w:i/>
        </w:rPr>
        <w:t>N</w:t>
      </w:r>
      <w:r w:rsidRPr="009720B4">
        <w:t xml:space="preserve"> (%)</w:t>
      </w:r>
      <w:r w:rsidRPr="009720B4">
        <w:br/>
      </w:r>
      <w:r w:rsidR="007C6767" w:rsidRPr="009720B4">
        <w:t>–</w:t>
      </w:r>
      <w:r w:rsidRPr="009720B4">
        <w:t>12,2 dB</w:t>
      </w:r>
      <w:r w:rsidRPr="009720B4">
        <w:br/>
      </w:r>
      <w:r w:rsidR="007C6767" w:rsidRPr="009720B4">
        <w:t>–</w:t>
      </w:r>
      <w:r w:rsidRPr="009720B4">
        <w:t>6 dB</w:t>
      </w:r>
      <w:r w:rsidRPr="009720B4">
        <w:br/>
        <w:t>SFS 0,7 m</w:t>
      </w:r>
      <w:r w:rsidRPr="009720B4">
        <w:br/>
        <w:t>SFS 0,9 m</w:t>
      </w:r>
      <w:r w:rsidRPr="009720B4">
        <w:br/>
        <w:t>SFS 2,5 m</w:t>
      </w:r>
      <w:r w:rsidRPr="009720B4">
        <w:br/>
        <w:t>SFS 5,0 m</w:t>
      </w:r>
      <w:r w:rsidRPr="009720B4">
        <w:br/>
        <w:t xml:space="preserve">Dépassement avec le seuil </w:t>
      </w:r>
      <w:r w:rsidRPr="009720B4">
        <w:rPr>
          <w:i/>
        </w:rPr>
        <w:t>I</w:t>
      </w:r>
      <w:r w:rsidRPr="009720B4">
        <w:rPr>
          <w:iCs/>
        </w:rPr>
        <w:t>/</w:t>
      </w:r>
      <w:r w:rsidRPr="009720B4">
        <w:rPr>
          <w:i/>
        </w:rPr>
        <w:t>N</w:t>
      </w:r>
      <w:r w:rsidRPr="009720B4">
        <w:t xml:space="preserve"> proposé par certains opérateurs de satellites OSG</w:t>
      </w:r>
      <w:r w:rsidRPr="009720B4">
        <w:br/>
        <w:t xml:space="preserve">Dépassement avec le rapport </w:t>
      </w:r>
      <w:r w:rsidRPr="009720B4">
        <w:rPr>
          <w:i/>
        </w:rPr>
        <w:t>I</w:t>
      </w:r>
      <w:r w:rsidRPr="009720B4">
        <w:rPr>
          <w:iCs/>
        </w:rPr>
        <w:t>/</w:t>
      </w:r>
      <w:r w:rsidRPr="009720B4">
        <w:rPr>
          <w:i/>
        </w:rPr>
        <w:t>N</w:t>
      </w:r>
      <w:r w:rsidRPr="009720B4">
        <w:t xml:space="preserve"> approprié</w:t>
      </w:r>
    </w:p>
    <w:p w14:paraId="7BB192E4" w14:textId="53280644" w:rsidR="00BA56C5" w:rsidRPr="009720B4" w:rsidRDefault="00B00B91" w:rsidP="009720B4">
      <w:pPr>
        <w:pStyle w:val="FigureNo"/>
      </w:pPr>
      <w:r w:rsidRPr="009720B4">
        <w:lastRenderedPageBreak/>
        <w:t>Figure 7</w:t>
      </w:r>
    </w:p>
    <w:p w14:paraId="35651BED" w14:textId="3DF9B451" w:rsidR="00BA56C5" w:rsidRPr="009720B4" w:rsidRDefault="00BA56C5" w:rsidP="009720B4">
      <w:pPr>
        <w:pStyle w:val="Figure"/>
      </w:pPr>
      <w:r w:rsidRPr="009720B4">
        <w:rPr>
          <w:noProof/>
        </w:rPr>
        <w:drawing>
          <wp:inline distT="0" distB="0" distL="0" distR="0" wp14:anchorId="5DB6FDD1" wp14:editId="5034306A">
            <wp:extent cx="4691378" cy="3642360"/>
            <wp:effectExtent l="0" t="0" r="0" b="0"/>
            <wp:docPr id="19247181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816" name="Picture 3" descr="A graph with different colored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9817" cy="3656676"/>
                    </a:xfrm>
                    <a:prstGeom prst="rect">
                      <a:avLst/>
                    </a:prstGeom>
                    <a:noFill/>
                  </pic:spPr>
                </pic:pic>
              </a:graphicData>
            </a:graphic>
          </wp:inline>
        </w:drawing>
      </w:r>
    </w:p>
    <w:p w14:paraId="019BBDB8" w14:textId="77777777" w:rsidR="006D79AC" w:rsidRPr="009720B4" w:rsidRDefault="006D79AC" w:rsidP="005B72D8">
      <w:pPr>
        <w:pStyle w:val="Figurelegend"/>
        <w:spacing w:before="120" w:after="120"/>
      </w:pPr>
      <w:r w:rsidRPr="009720B4">
        <w:t>Légende:</w:t>
      </w:r>
    </w:p>
    <w:p w14:paraId="484A40A9" w14:textId="40D2705B" w:rsidR="006D79AC" w:rsidRPr="009720B4" w:rsidRDefault="006D79AC" w:rsidP="009720B4">
      <w:pPr>
        <w:pStyle w:val="Figurelegend"/>
        <w:keepNext w:val="0"/>
        <w:keepLines w:val="0"/>
      </w:pPr>
      <w:r w:rsidRPr="009720B4">
        <w:t xml:space="preserve">Rapport </w:t>
      </w:r>
      <w:r w:rsidRPr="009720B4">
        <w:rPr>
          <w:i/>
        </w:rPr>
        <w:t>I</w:t>
      </w:r>
      <w:r w:rsidRPr="009720B4">
        <w:rPr>
          <w:iCs/>
        </w:rPr>
        <w:t>/</w:t>
      </w:r>
      <w:r w:rsidRPr="009720B4">
        <w:rPr>
          <w:i/>
        </w:rPr>
        <w:t>N</w:t>
      </w:r>
      <w:r w:rsidR="00A907DC" w:rsidRPr="009720B4">
        <w:t xml:space="preserve"> pour</w:t>
      </w:r>
      <w:r w:rsidRPr="009720B4">
        <w:t xml:space="preserve"> la limite d'epfd cumulative (Ku, 10,7 GHz, Tsys = 150 K) [dB]</w:t>
      </w:r>
      <w:r w:rsidRPr="009720B4">
        <w:br/>
      </w:r>
      <w:r w:rsidRPr="009720B4">
        <w:rPr>
          <w:i/>
        </w:rPr>
        <w:t>I</w:t>
      </w:r>
      <w:r w:rsidRPr="009720B4">
        <w:rPr>
          <w:iCs/>
        </w:rPr>
        <w:t>/</w:t>
      </w:r>
      <w:r w:rsidRPr="009720B4">
        <w:rPr>
          <w:i/>
        </w:rPr>
        <w:t>N</w:t>
      </w:r>
      <w:r w:rsidRPr="009720B4">
        <w:t xml:space="preserve"> (dB)</w:t>
      </w:r>
      <w:r w:rsidRPr="009720B4">
        <w:br/>
        <w:t xml:space="preserve">Probabilité de dépassement du rapport </w:t>
      </w:r>
      <w:r w:rsidRPr="009720B4">
        <w:rPr>
          <w:i/>
        </w:rPr>
        <w:t>I</w:t>
      </w:r>
      <w:r w:rsidRPr="009720B4">
        <w:rPr>
          <w:iCs/>
        </w:rPr>
        <w:t>/</w:t>
      </w:r>
      <w:r w:rsidRPr="009720B4">
        <w:rPr>
          <w:i/>
        </w:rPr>
        <w:t>N</w:t>
      </w:r>
      <w:r w:rsidRPr="009720B4">
        <w:t xml:space="preserve"> (%)</w:t>
      </w:r>
      <w:r w:rsidRPr="009720B4">
        <w:br/>
      </w:r>
      <w:r w:rsidR="007C6767" w:rsidRPr="009720B4">
        <w:t>–</w:t>
      </w:r>
      <w:r w:rsidRPr="009720B4">
        <w:t>12,2 dB</w:t>
      </w:r>
      <w:r w:rsidRPr="009720B4">
        <w:br/>
      </w:r>
      <w:r w:rsidR="007C6767" w:rsidRPr="009720B4">
        <w:t>–</w:t>
      </w:r>
      <w:r w:rsidRPr="009720B4">
        <w:t>6 dB</w:t>
      </w:r>
      <w:r w:rsidRPr="009720B4">
        <w:br/>
        <w:t>SFS 0,6 m</w:t>
      </w:r>
      <w:r w:rsidRPr="009720B4">
        <w:br/>
        <w:t>SFS 1,2 m</w:t>
      </w:r>
      <w:r w:rsidRPr="009720B4">
        <w:br/>
        <w:t>SFS 3,0 m</w:t>
      </w:r>
      <w:r w:rsidRPr="009720B4">
        <w:br/>
        <w:t>SFS 10 m</w:t>
      </w:r>
      <w:r w:rsidRPr="009720B4">
        <w:br/>
        <w:t xml:space="preserve">Dépassement avec le seuil </w:t>
      </w:r>
      <w:r w:rsidRPr="009720B4">
        <w:rPr>
          <w:i/>
        </w:rPr>
        <w:t>I</w:t>
      </w:r>
      <w:r w:rsidRPr="009720B4">
        <w:rPr>
          <w:iCs/>
        </w:rPr>
        <w:t>/</w:t>
      </w:r>
      <w:r w:rsidRPr="009720B4">
        <w:rPr>
          <w:i/>
        </w:rPr>
        <w:t>N</w:t>
      </w:r>
      <w:r w:rsidRPr="009720B4">
        <w:t xml:space="preserve"> proposé par certains opérateurs de satellites OSG</w:t>
      </w:r>
      <w:r w:rsidRPr="009720B4">
        <w:br/>
        <w:t xml:space="preserve">Dépassement avec le rapport </w:t>
      </w:r>
      <w:r w:rsidRPr="009720B4">
        <w:rPr>
          <w:i/>
        </w:rPr>
        <w:t>I</w:t>
      </w:r>
      <w:r w:rsidRPr="009720B4">
        <w:rPr>
          <w:iCs/>
        </w:rPr>
        <w:t>/</w:t>
      </w:r>
      <w:r w:rsidRPr="009720B4">
        <w:rPr>
          <w:i/>
        </w:rPr>
        <w:t>N</w:t>
      </w:r>
      <w:r w:rsidRPr="009720B4">
        <w:t xml:space="preserve"> approprié</w:t>
      </w:r>
    </w:p>
    <w:p w14:paraId="5236E13E" w14:textId="7CC91A85" w:rsidR="00BA56C5" w:rsidRPr="009720B4" w:rsidRDefault="00B00B91" w:rsidP="009720B4">
      <w:pPr>
        <w:pStyle w:val="FigureNo"/>
      </w:pPr>
      <w:r w:rsidRPr="009720B4">
        <w:lastRenderedPageBreak/>
        <w:t>Figure 8</w:t>
      </w:r>
    </w:p>
    <w:p w14:paraId="57A41223" w14:textId="623FB8C4" w:rsidR="00BA56C5" w:rsidRPr="009720B4" w:rsidRDefault="00BA56C5" w:rsidP="009720B4">
      <w:pPr>
        <w:pStyle w:val="Figure"/>
      </w:pPr>
      <w:r w:rsidRPr="009720B4">
        <w:rPr>
          <w:noProof/>
        </w:rPr>
        <w:drawing>
          <wp:inline distT="0" distB="0" distL="0" distR="0" wp14:anchorId="02970E46" wp14:editId="780B5118">
            <wp:extent cx="4670113" cy="3625850"/>
            <wp:effectExtent l="0" t="0" r="0" b="0"/>
            <wp:docPr id="737218314"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8314" name="Picture 4" descr="A graph with different colored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064" cy="3630471"/>
                    </a:xfrm>
                    <a:prstGeom prst="rect">
                      <a:avLst/>
                    </a:prstGeom>
                    <a:noFill/>
                  </pic:spPr>
                </pic:pic>
              </a:graphicData>
            </a:graphic>
          </wp:inline>
        </w:drawing>
      </w:r>
    </w:p>
    <w:p w14:paraId="429309C0" w14:textId="77777777" w:rsidR="006D79AC" w:rsidRPr="009720B4" w:rsidRDefault="006D79AC" w:rsidP="005B72D8">
      <w:pPr>
        <w:pStyle w:val="Figurelegend"/>
        <w:spacing w:before="120" w:after="120"/>
      </w:pPr>
      <w:r w:rsidRPr="009720B4">
        <w:t>Légende:</w:t>
      </w:r>
    </w:p>
    <w:p w14:paraId="29415864" w14:textId="6F922532" w:rsidR="006D79AC" w:rsidRPr="009720B4" w:rsidRDefault="006D79AC" w:rsidP="009720B4">
      <w:pPr>
        <w:pStyle w:val="Figurelegend"/>
      </w:pPr>
      <w:r w:rsidRPr="009720B4">
        <w:t xml:space="preserve">Rapport </w:t>
      </w:r>
      <w:r w:rsidRPr="009720B4">
        <w:rPr>
          <w:i/>
        </w:rPr>
        <w:t>I</w:t>
      </w:r>
      <w:r w:rsidRPr="009720B4">
        <w:rPr>
          <w:iCs/>
        </w:rPr>
        <w:t>/</w:t>
      </w:r>
      <w:r w:rsidRPr="009720B4">
        <w:rPr>
          <w:i/>
        </w:rPr>
        <w:t>N</w:t>
      </w:r>
      <w:r w:rsidRPr="009720B4">
        <w:t xml:space="preserve"> </w:t>
      </w:r>
      <w:r w:rsidR="003B0AC1" w:rsidRPr="009720B4">
        <w:t xml:space="preserve">pour </w:t>
      </w:r>
      <w:r w:rsidRPr="009720B4">
        <w:t>la limite d'epfd cumulative (Ku, 11,7 GHz, Tsys = 150 K) [dB]</w:t>
      </w:r>
      <w:r w:rsidRPr="009720B4">
        <w:br/>
      </w:r>
      <w:r w:rsidRPr="009720B4">
        <w:rPr>
          <w:i/>
        </w:rPr>
        <w:t>I</w:t>
      </w:r>
      <w:r w:rsidRPr="009720B4">
        <w:rPr>
          <w:iCs/>
        </w:rPr>
        <w:t>/</w:t>
      </w:r>
      <w:r w:rsidRPr="009720B4">
        <w:rPr>
          <w:i/>
        </w:rPr>
        <w:t>N</w:t>
      </w:r>
      <w:r w:rsidRPr="009720B4">
        <w:t xml:space="preserve"> (dB)</w:t>
      </w:r>
      <w:r w:rsidRPr="009720B4">
        <w:br/>
        <w:t xml:space="preserve">Probabilité de dépassement du rapport </w:t>
      </w:r>
      <w:r w:rsidRPr="009720B4">
        <w:rPr>
          <w:i/>
        </w:rPr>
        <w:t>I</w:t>
      </w:r>
      <w:r w:rsidRPr="009720B4">
        <w:rPr>
          <w:iCs/>
        </w:rPr>
        <w:t>/</w:t>
      </w:r>
      <w:r w:rsidRPr="009720B4">
        <w:rPr>
          <w:i/>
        </w:rPr>
        <w:t>N</w:t>
      </w:r>
      <w:r w:rsidRPr="009720B4">
        <w:t xml:space="preserve"> (%)</w:t>
      </w:r>
      <w:r w:rsidRPr="009720B4">
        <w:br/>
      </w:r>
      <w:r w:rsidR="007C6767" w:rsidRPr="009720B4">
        <w:t>–</w:t>
      </w:r>
      <w:r w:rsidRPr="009720B4">
        <w:t>12,2 dB</w:t>
      </w:r>
      <w:r w:rsidRPr="009720B4">
        <w:br/>
      </w:r>
      <w:r w:rsidR="007C6767" w:rsidRPr="009720B4">
        <w:t>–</w:t>
      </w:r>
      <w:r w:rsidRPr="009720B4">
        <w:t>6 dB</w:t>
      </w:r>
      <w:r w:rsidRPr="009720B4">
        <w:br/>
        <w:t>SRS 0,3 m</w:t>
      </w:r>
      <w:r w:rsidRPr="009720B4">
        <w:br/>
        <w:t>SRS 0,45 m</w:t>
      </w:r>
      <w:r w:rsidRPr="009720B4">
        <w:br/>
        <w:t>SRS 0,6 m</w:t>
      </w:r>
      <w:r w:rsidRPr="009720B4">
        <w:br/>
        <w:t>SRS 0,9 m</w:t>
      </w:r>
      <w:r w:rsidRPr="009720B4">
        <w:br/>
        <w:t>SRS 1,2 m</w:t>
      </w:r>
      <w:r w:rsidRPr="009720B4">
        <w:br/>
        <w:t>SRS 1,8 m</w:t>
      </w:r>
      <w:r w:rsidRPr="009720B4">
        <w:br/>
        <w:t>SRS 2,4 m</w:t>
      </w:r>
      <w:r w:rsidRPr="009720B4">
        <w:br/>
        <w:t>SRS 3 m</w:t>
      </w:r>
      <w:r w:rsidRPr="009720B4">
        <w:br/>
        <w:t xml:space="preserve">Dépassement avec le seuil </w:t>
      </w:r>
      <w:r w:rsidRPr="009720B4">
        <w:rPr>
          <w:i/>
        </w:rPr>
        <w:t>I</w:t>
      </w:r>
      <w:r w:rsidRPr="009720B4">
        <w:rPr>
          <w:iCs/>
        </w:rPr>
        <w:t>/</w:t>
      </w:r>
      <w:r w:rsidRPr="009720B4">
        <w:rPr>
          <w:i/>
        </w:rPr>
        <w:t>N</w:t>
      </w:r>
      <w:r w:rsidRPr="009720B4">
        <w:t xml:space="preserve"> proposé par certains opérateurs de satellites OSG</w:t>
      </w:r>
      <w:r w:rsidRPr="009720B4">
        <w:br/>
        <w:t xml:space="preserve">Dépassement avec le rapport </w:t>
      </w:r>
      <w:r w:rsidRPr="009720B4">
        <w:rPr>
          <w:i/>
        </w:rPr>
        <w:t>I</w:t>
      </w:r>
      <w:r w:rsidRPr="009720B4">
        <w:rPr>
          <w:iCs/>
        </w:rPr>
        <w:t>/</w:t>
      </w:r>
      <w:r w:rsidRPr="009720B4">
        <w:rPr>
          <w:i/>
        </w:rPr>
        <w:t>N</w:t>
      </w:r>
      <w:r w:rsidRPr="009720B4">
        <w:t xml:space="preserve"> approprié</w:t>
      </w:r>
    </w:p>
    <w:p w14:paraId="580DCE1D" w14:textId="13122298" w:rsidR="00C86A53" w:rsidRPr="009720B4" w:rsidRDefault="00C86A53" w:rsidP="007C6767">
      <w:pPr>
        <w:pStyle w:val="Normalaftertitle"/>
      </w:pPr>
      <w:r w:rsidRPr="009720B4">
        <w:t>Il convient de tenir compte d'un autre aspect important, à savoir la complémentarité entre ce point de l'ordre du jour et les travaux menés actuellement par l'UIT-R sur la modélisation de l'exploitation des systèmes non OSG</w:t>
      </w:r>
      <w:r w:rsidR="00E0437A" w:rsidRPr="009720B4">
        <w:t xml:space="preserve">, en particulier la Recommandation UIT-R S.1503. Ces travaux visent à améliorer autant que faire se peut notre capacité à modéliser l'exploitation des </w:t>
      </w:r>
      <w:r w:rsidR="0013763A" w:rsidRPr="009720B4">
        <w:t xml:space="preserve">systèmes non OSG </w:t>
      </w:r>
      <w:r w:rsidR="00E0437A" w:rsidRPr="009720B4">
        <w:t xml:space="preserve">de la façon la plus précise possible, tout en respectant les limites existantes. Par conséquent, la proposition </w:t>
      </w:r>
      <w:r w:rsidR="0013763A" w:rsidRPr="009720B4">
        <w:t xml:space="preserve">tendant à </w:t>
      </w:r>
      <w:r w:rsidR="00E0437A" w:rsidRPr="009720B4">
        <w:t xml:space="preserve">étudier et </w:t>
      </w:r>
      <w:r w:rsidR="0013763A" w:rsidRPr="009720B4">
        <w:t xml:space="preserve">à </w:t>
      </w:r>
      <w:r w:rsidR="00E0437A" w:rsidRPr="009720B4">
        <w:t xml:space="preserve">examiner les limites et les travaux menés actuellement par l'UIT-R vont de pair et </w:t>
      </w:r>
      <w:r w:rsidR="00CC04FE" w:rsidRPr="009720B4">
        <w:t xml:space="preserve">ont </w:t>
      </w:r>
      <w:r w:rsidR="00805A75" w:rsidRPr="009720B4">
        <w:t>pour objectif commun</w:t>
      </w:r>
      <w:r w:rsidR="00CC04FE" w:rsidRPr="009720B4">
        <w:t xml:space="preserve"> de parvenir à une utilisation efficace d</w:t>
      </w:r>
      <w:r w:rsidR="00E0437A" w:rsidRPr="009720B4">
        <w:t>es ressources spectrales.</w:t>
      </w:r>
    </w:p>
    <w:p w14:paraId="798E96BA" w14:textId="69EBA167" w:rsidR="00BA56C5" w:rsidRPr="009720B4" w:rsidRDefault="00CA7477" w:rsidP="00566ADC">
      <w:pPr>
        <w:pStyle w:val="FigureNo"/>
      </w:pPr>
      <w:r w:rsidRPr="009720B4">
        <w:lastRenderedPageBreak/>
        <w:t>Figure 9</w:t>
      </w:r>
    </w:p>
    <w:p w14:paraId="6A8A4881" w14:textId="560C73D9" w:rsidR="00BA56C5" w:rsidRPr="009720B4" w:rsidRDefault="00BA56C5" w:rsidP="00566ADC">
      <w:pPr>
        <w:pStyle w:val="Figure"/>
      </w:pPr>
      <w:r w:rsidRPr="009720B4">
        <w:rPr>
          <w:noProof/>
        </w:rPr>
        <w:drawing>
          <wp:inline distT="0" distB="0" distL="0" distR="0" wp14:anchorId="36C536C1" wp14:editId="46D26BAB">
            <wp:extent cx="5943600" cy="3050540"/>
            <wp:effectExtent l="0" t="0" r="0" b="0"/>
            <wp:docPr id="3009063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06399" name="Picture 1" descr="A screenshot of a computer screen&#10;&#10;Description automatically generated"/>
                    <pic:cNvPicPr/>
                  </pic:nvPicPr>
                  <pic:blipFill>
                    <a:blip r:embed="rId23"/>
                    <a:stretch>
                      <a:fillRect/>
                    </a:stretch>
                  </pic:blipFill>
                  <pic:spPr>
                    <a:xfrm>
                      <a:off x="0" y="0"/>
                      <a:ext cx="5943600" cy="3050540"/>
                    </a:xfrm>
                    <a:prstGeom prst="rect">
                      <a:avLst/>
                    </a:prstGeom>
                  </pic:spPr>
                </pic:pic>
              </a:graphicData>
            </a:graphic>
          </wp:inline>
        </w:drawing>
      </w:r>
    </w:p>
    <w:p w14:paraId="4D3AFDF1" w14:textId="1DA86157" w:rsidR="00E0437A" w:rsidRPr="009720B4" w:rsidRDefault="00E0437A" w:rsidP="009720B4">
      <w:pPr>
        <w:pStyle w:val="Figurelegend"/>
        <w:spacing w:before="120" w:after="120"/>
        <w:rPr>
          <w:bCs/>
        </w:rPr>
      </w:pPr>
      <w:r w:rsidRPr="009720B4">
        <w:t>Légende:</w:t>
      </w:r>
    </w:p>
    <w:p w14:paraId="0668C63E" w14:textId="0130A139" w:rsidR="007C6767" w:rsidRPr="009720B4" w:rsidRDefault="0013763A" w:rsidP="009720B4">
      <w:pPr>
        <w:pStyle w:val="Figurelegend"/>
      </w:pPr>
      <w:r w:rsidRPr="009720B4">
        <w:rPr>
          <w:b/>
          <w:bCs/>
        </w:rPr>
        <w:t xml:space="preserve">Actuellement </w:t>
      </w:r>
      <w:r w:rsidR="00E0437A" w:rsidRPr="009720B4">
        <w:rPr>
          <w:b/>
          <w:bCs/>
        </w:rPr>
        <w:t xml:space="preserve">(limites d'epfd </w:t>
      </w:r>
      <w:r w:rsidR="00C164EC" w:rsidRPr="009720B4">
        <w:rPr>
          <w:b/>
          <w:bCs/>
        </w:rPr>
        <w:t>indiquées dans</w:t>
      </w:r>
      <w:r w:rsidR="00E0437A" w:rsidRPr="009720B4">
        <w:rPr>
          <w:b/>
          <w:bCs/>
        </w:rPr>
        <w:t xml:space="preserve"> l'Article 22 + modélisation</w:t>
      </w:r>
      <w:r w:rsidRPr="009720B4">
        <w:rPr>
          <w:b/>
          <w:bCs/>
        </w:rPr>
        <w:t xml:space="preserve"> prudente </w:t>
      </w:r>
      <w:r w:rsidR="00E0437A" w:rsidRPr="009720B4">
        <w:rPr>
          <w:b/>
          <w:bCs/>
        </w:rPr>
        <w:t xml:space="preserve">de l'exploitation des </w:t>
      </w:r>
      <w:r w:rsidRPr="009720B4">
        <w:rPr>
          <w:b/>
          <w:bCs/>
        </w:rPr>
        <w:t>systèmes non</w:t>
      </w:r>
      <w:r w:rsidR="00487B17">
        <w:rPr>
          <w:b/>
          <w:bCs/>
        </w:rPr>
        <w:t xml:space="preserve"> </w:t>
      </w:r>
      <w:r w:rsidRPr="009720B4">
        <w:rPr>
          <w:b/>
          <w:bCs/>
        </w:rPr>
        <w:t xml:space="preserve">OSG </w:t>
      </w:r>
      <w:r w:rsidR="00E0437A" w:rsidRPr="009720B4">
        <w:rPr>
          <w:b/>
          <w:bCs/>
        </w:rPr>
        <w:t>prudente)</w:t>
      </w:r>
      <w:r w:rsidR="00E0437A" w:rsidRPr="009720B4">
        <w:br/>
        <w:t xml:space="preserve">Marge opérationnelle actuelle pour les systèmes à </w:t>
      </w:r>
      <w:r w:rsidRPr="009720B4">
        <w:t xml:space="preserve">non OSG </w:t>
      </w:r>
      <w:r w:rsidR="00E0437A" w:rsidRPr="009720B4">
        <w:t>(limitée par les limites d'epfd et la modélisation de l'exploitation des</w:t>
      </w:r>
      <w:r w:rsidRPr="009720B4">
        <w:t xml:space="preserve"> systèmes </w:t>
      </w:r>
      <w:r w:rsidR="00E0437A" w:rsidRPr="009720B4">
        <w:t>non OSG)</w:t>
      </w:r>
      <w:r w:rsidR="00E0437A" w:rsidRPr="009720B4">
        <w:br/>
        <w:t xml:space="preserve">Protection supplémentaire des </w:t>
      </w:r>
      <w:r w:rsidRPr="009720B4">
        <w:t xml:space="preserve">systèmes </w:t>
      </w:r>
      <w:r w:rsidR="00E0437A" w:rsidRPr="009720B4">
        <w:t xml:space="preserve">OSG </w:t>
      </w:r>
      <w:r w:rsidR="00C164EC" w:rsidRPr="009720B4">
        <w:t>découlant</w:t>
      </w:r>
      <w:r w:rsidR="00873774" w:rsidRPr="009720B4">
        <w:t xml:space="preserve"> </w:t>
      </w:r>
      <w:r w:rsidR="00E0437A" w:rsidRPr="009720B4">
        <w:t>des limites d'epfd actuelles (calculées il y a 25 ans)</w:t>
      </w:r>
      <w:r w:rsidR="00873774" w:rsidRPr="009720B4">
        <w:br/>
        <w:t xml:space="preserve">Protection supplémentaire des satellites OSG </w:t>
      </w:r>
      <w:r w:rsidR="00C164EC" w:rsidRPr="009720B4">
        <w:t>découlant</w:t>
      </w:r>
      <w:r w:rsidR="00873774" w:rsidRPr="009720B4">
        <w:t xml:space="preserve"> de la modélisation actuelle inappropriée de l'exploitation des </w:t>
      </w:r>
      <w:r w:rsidRPr="009720B4">
        <w:t>systèmes</w:t>
      </w:r>
      <w:r w:rsidR="00873774" w:rsidRPr="009720B4">
        <w:t xml:space="preserve"> non OSG</w:t>
      </w:r>
      <w:r w:rsidR="00873774" w:rsidRPr="009720B4">
        <w:br/>
        <w:t>Protection des</w:t>
      </w:r>
      <w:r w:rsidRPr="009720B4">
        <w:t xml:space="preserve"> systèmes </w:t>
      </w:r>
      <w:r w:rsidR="00873774" w:rsidRPr="009720B4">
        <w:t xml:space="preserve">OSG permettant de garantir que les </w:t>
      </w:r>
      <w:r w:rsidRPr="009720B4">
        <w:t xml:space="preserve">systèmes non OSG </w:t>
      </w:r>
      <w:r w:rsidR="00873774" w:rsidRPr="009720B4">
        <w:t>ne causent pas de brouillages inacceptables</w:t>
      </w:r>
    </w:p>
    <w:p w14:paraId="5FAB0ADD" w14:textId="7C89E82D" w:rsidR="00E0437A" w:rsidRPr="009720B4" w:rsidRDefault="00873774" w:rsidP="009720B4">
      <w:pPr>
        <w:pStyle w:val="Figurelegend"/>
        <w:spacing w:before="120" w:after="120"/>
      </w:pPr>
      <w:r w:rsidRPr="009720B4">
        <w:rPr>
          <w:b/>
        </w:rPr>
        <w:t>Spectre non utilisé = Utilisation inefficace d'une ressource rare</w:t>
      </w:r>
    </w:p>
    <w:p w14:paraId="280ADE4E" w14:textId="50BCFEDC" w:rsidR="00873774" w:rsidRPr="009720B4" w:rsidRDefault="00C164EC" w:rsidP="009720B4">
      <w:pPr>
        <w:pStyle w:val="Figurelegend"/>
      </w:pPr>
      <w:r w:rsidRPr="009720B4">
        <w:rPr>
          <w:b/>
          <w:bCs/>
        </w:rPr>
        <w:t>Demain – 2027</w:t>
      </w:r>
      <w:r w:rsidR="00873774" w:rsidRPr="009720B4">
        <w:rPr>
          <w:b/>
          <w:bCs/>
        </w:rPr>
        <w:t xml:space="preserve"> (nouveau cadre de partage plus efficace et modélisation améliorée)</w:t>
      </w:r>
      <w:r w:rsidR="00873774" w:rsidRPr="009720B4">
        <w:rPr>
          <w:b/>
          <w:bCs/>
        </w:rPr>
        <w:br/>
      </w:r>
      <w:r w:rsidR="00873774" w:rsidRPr="009720B4">
        <w:t>Nouvelle marge opérationnelle pour les systèmes</w:t>
      </w:r>
      <w:r w:rsidR="0013763A" w:rsidRPr="009720B4">
        <w:t xml:space="preserve"> </w:t>
      </w:r>
      <w:r w:rsidR="00873774" w:rsidRPr="009720B4">
        <w:t xml:space="preserve">non OSG, sans incidence sur la protection des </w:t>
      </w:r>
      <w:r w:rsidR="0013763A" w:rsidRPr="009720B4">
        <w:t>systèmes</w:t>
      </w:r>
      <w:r w:rsidR="00873774" w:rsidRPr="009720B4">
        <w:t xml:space="preserve"> OSG, tout en accordant plus de souplesse aux systèmes non OSG</w:t>
      </w:r>
      <w:r w:rsidRPr="009720B4">
        <w:t xml:space="preserve">: </w:t>
      </w:r>
      <w:r w:rsidR="00873774" w:rsidRPr="009720B4">
        <w:rPr>
          <w:b/>
          <w:bCs/>
        </w:rPr>
        <w:t>optimis</w:t>
      </w:r>
      <w:r w:rsidRPr="009720B4">
        <w:rPr>
          <w:b/>
          <w:bCs/>
        </w:rPr>
        <w:t>ation de</w:t>
      </w:r>
      <w:r w:rsidR="0013763A" w:rsidRPr="009720B4">
        <w:rPr>
          <w:b/>
          <w:bCs/>
        </w:rPr>
        <w:t xml:space="preserve"> l'efficacité d'</w:t>
      </w:r>
      <w:r w:rsidR="00873774" w:rsidRPr="009720B4">
        <w:rPr>
          <w:b/>
          <w:bCs/>
        </w:rPr>
        <w:t>utilisation du spectre</w:t>
      </w:r>
      <w:r w:rsidR="00873774" w:rsidRPr="009720B4">
        <w:br/>
        <w:t xml:space="preserve">Protection des </w:t>
      </w:r>
      <w:r w:rsidR="0013763A" w:rsidRPr="009720B4">
        <w:t xml:space="preserve">systèmes </w:t>
      </w:r>
      <w:r w:rsidR="00873774" w:rsidRPr="009720B4">
        <w:t xml:space="preserve">OSG permettant de garantir que les </w:t>
      </w:r>
      <w:r w:rsidR="0013763A" w:rsidRPr="009720B4">
        <w:t xml:space="preserve">systèmes non OSG </w:t>
      </w:r>
      <w:r w:rsidR="00873774" w:rsidRPr="009720B4">
        <w:t>ne causent pas de brouillages inacceptables</w:t>
      </w:r>
    </w:p>
    <w:p w14:paraId="67FB419B" w14:textId="4CE5D435" w:rsidR="00BA56C5" w:rsidRPr="009720B4" w:rsidRDefault="00BA56C5" w:rsidP="005F7258">
      <w:pPr>
        <w:pStyle w:val="Headingb"/>
      </w:pPr>
      <w:r w:rsidRPr="009720B4">
        <w:t>Proposition</w:t>
      </w:r>
    </w:p>
    <w:p w14:paraId="41369813" w14:textId="401CB568" w:rsidR="0015203F" w:rsidRPr="009720B4" w:rsidRDefault="00B10BA2" w:rsidP="009720B4">
      <w:r w:rsidRPr="009720B4">
        <w:t>Les pays</w:t>
      </w:r>
      <w:r w:rsidR="00C44230" w:rsidRPr="009720B4">
        <w:t xml:space="preserve"> signataires proposent de mener</w:t>
      </w:r>
      <w:r w:rsidRPr="009720B4">
        <w:t xml:space="preserve"> et d'achever</w:t>
      </w:r>
      <w:r w:rsidR="00C44230" w:rsidRPr="009720B4">
        <w:t>,</w:t>
      </w:r>
      <w:r w:rsidRPr="009720B4">
        <w:t xml:space="preserve"> à temps pour la CMR-27, des études sur les dispositions réglementaires actuelles, </w:t>
      </w:r>
      <w:r w:rsidR="00C44230" w:rsidRPr="009720B4">
        <w:t>y compris des</w:t>
      </w:r>
      <w:r w:rsidRPr="009720B4">
        <w:t xml:space="preserve"> limites d'epfd, applicables aux systèmes du SFS non OSG</w:t>
      </w:r>
      <w:r w:rsidR="0013763A" w:rsidRPr="009720B4">
        <w:t xml:space="preserve">, </w:t>
      </w:r>
      <w:r w:rsidRPr="009720B4">
        <w:t xml:space="preserve">afin de protéger les réseaux du SFS et du SRS OSG contre les brouillages inacceptables </w:t>
      </w:r>
      <w:r w:rsidR="00C44230" w:rsidRPr="009720B4">
        <w:t xml:space="preserve">causés </w:t>
      </w:r>
      <w:r w:rsidRPr="009720B4">
        <w:t xml:space="preserve">dans les parties des bandes de fréquences 3 700-4 200 MHz, </w:t>
      </w:r>
      <w:r w:rsidRPr="009720B4">
        <w:rPr>
          <w:iCs/>
        </w:rPr>
        <w:t>5 925-6 725 MHz, 10,7</w:t>
      </w:r>
      <w:r w:rsidR="009720B4" w:rsidRPr="009720B4">
        <w:rPr>
          <w:iCs/>
        </w:rPr>
        <w:noBreakHyphen/>
      </w:r>
      <w:r w:rsidRPr="009720B4">
        <w:rPr>
          <w:iCs/>
        </w:rPr>
        <w:t>14,5</w:t>
      </w:r>
      <w:r w:rsidR="009720B4" w:rsidRPr="009720B4">
        <w:rPr>
          <w:iCs/>
        </w:rPr>
        <w:t> </w:t>
      </w:r>
      <w:r w:rsidRPr="009720B4">
        <w:rPr>
          <w:iCs/>
        </w:rPr>
        <w:t xml:space="preserve">GHz, 17,3-20,2 GHz et 27,5-30 GHz </w:t>
      </w:r>
      <w:r w:rsidR="00C44230" w:rsidRPr="009720B4">
        <w:rPr>
          <w:iCs/>
        </w:rPr>
        <w:t>dans lesquelles</w:t>
      </w:r>
      <w:r w:rsidRPr="009720B4">
        <w:rPr>
          <w:iCs/>
        </w:rPr>
        <w:t xml:space="preserve"> les limites d'epfd </w:t>
      </w:r>
      <w:r w:rsidR="00C44230" w:rsidRPr="009720B4">
        <w:rPr>
          <w:iCs/>
        </w:rPr>
        <w:t>de</w:t>
      </w:r>
      <w:r w:rsidRPr="009720B4">
        <w:rPr>
          <w:iCs/>
        </w:rPr>
        <w:t xml:space="preserve"> l'Article </w:t>
      </w:r>
      <w:r w:rsidRPr="009720B4">
        <w:rPr>
          <w:b/>
          <w:iCs/>
        </w:rPr>
        <w:t>22</w:t>
      </w:r>
      <w:r w:rsidRPr="009720B4">
        <w:rPr>
          <w:iCs/>
        </w:rPr>
        <w:t xml:space="preserve"> du</w:t>
      </w:r>
      <w:r w:rsidR="009720B4" w:rsidRPr="009720B4">
        <w:rPr>
          <w:iCs/>
        </w:rPr>
        <w:t> </w:t>
      </w:r>
      <w:r w:rsidRPr="009720B4">
        <w:rPr>
          <w:iCs/>
        </w:rPr>
        <w:t>RR</w:t>
      </w:r>
      <w:r w:rsidR="00C44230" w:rsidRPr="009720B4">
        <w:rPr>
          <w:iCs/>
        </w:rPr>
        <w:t xml:space="preserve"> s'appliquent</w:t>
      </w:r>
      <w:r w:rsidR="00C90584" w:rsidRPr="009720B4">
        <w:rPr>
          <w:iCs/>
        </w:rPr>
        <w:t xml:space="preserve">, </w:t>
      </w:r>
      <w:r w:rsidR="0013763A" w:rsidRPr="009720B4">
        <w:rPr>
          <w:iCs/>
        </w:rPr>
        <w:t xml:space="preserve">prévoyant une </w:t>
      </w:r>
      <w:r w:rsidR="00C90584" w:rsidRPr="009720B4">
        <w:rPr>
          <w:iCs/>
        </w:rPr>
        <w:t xml:space="preserve">évaluation, par les administrations, des limites d'epfd cumulative indiquées dans la Résolution </w:t>
      </w:r>
      <w:r w:rsidR="00C90584" w:rsidRPr="009720B4">
        <w:rPr>
          <w:b/>
          <w:iCs/>
        </w:rPr>
        <w:t>76 (Rév.CMR-15)</w:t>
      </w:r>
      <w:r w:rsidR="00C90584" w:rsidRPr="009720B4">
        <w:rPr>
          <w:iCs/>
        </w:rPr>
        <w:t xml:space="preserve"> et la mise en œuvre de ces dispositions réglementaires, sans modifier les exigences ou les conditions régissant la coordination au titre des numéros </w:t>
      </w:r>
      <w:r w:rsidR="00C90584" w:rsidRPr="009720B4">
        <w:rPr>
          <w:b/>
          <w:iCs/>
        </w:rPr>
        <w:t>9.7A</w:t>
      </w:r>
      <w:r w:rsidR="00C90584" w:rsidRPr="009720B4">
        <w:rPr>
          <w:iCs/>
        </w:rPr>
        <w:t xml:space="preserve"> et </w:t>
      </w:r>
      <w:r w:rsidR="00C90584" w:rsidRPr="009720B4">
        <w:rPr>
          <w:b/>
          <w:iCs/>
        </w:rPr>
        <w:t>9.7B</w:t>
      </w:r>
      <w:r w:rsidR="00C90584" w:rsidRPr="009720B4">
        <w:rPr>
          <w:iCs/>
        </w:rPr>
        <w:t xml:space="preserve"> du RR, dans le but de protéger les réseaux OSG conformément au numéro</w:t>
      </w:r>
      <w:r w:rsidR="009720B4" w:rsidRPr="009720B4">
        <w:rPr>
          <w:iCs/>
        </w:rPr>
        <w:t> </w:t>
      </w:r>
      <w:r w:rsidR="00C90584" w:rsidRPr="009720B4">
        <w:rPr>
          <w:b/>
          <w:iCs/>
        </w:rPr>
        <w:t>22.2</w:t>
      </w:r>
      <w:r w:rsidR="00C90584" w:rsidRPr="009720B4">
        <w:rPr>
          <w:iCs/>
        </w:rPr>
        <w:t xml:space="preserve"> du RR et d'améliorer l'efficacité d'utilisation des ressources spectrales</w:t>
      </w:r>
      <w:r w:rsidRPr="009720B4">
        <w:rPr>
          <w:iCs/>
        </w:rPr>
        <w:t xml:space="preserve">. </w:t>
      </w:r>
      <w:r w:rsidR="00C90584" w:rsidRPr="009720B4">
        <w:rPr>
          <w:iCs/>
        </w:rPr>
        <w:t>Sur la base des résultats des études et en fonction des besoins, des modifications pourront être apportées aux dispositions réglementaires, y compris aux limites d'epfd, applicables aux systèmes du SFS non</w:t>
      </w:r>
      <w:r w:rsidR="009720B4" w:rsidRPr="009720B4">
        <w:rPr>
          <w:iCs/>
        </w:rPr>
        <w:t> </w:t>
      </w:r>
      <w:r w:rsidR="00C90584" w:rsidRPr="009720B4">
        <w:rPr>
          <w:iCs/>
        </w:rPr>
        <w:t>OSG</w:t>
      </w:r>
      <w:r w:rsidR="0013763A" w:rsidRPr="009720B4">
        <w:rPr>
          <w:iCs/>
        </w:rPr>
        <w:t>,</w:t>
      </w:r>
      <w:r w:rsidR="00C90584" w:rsidRPr="009720B4">
        <w:rPr>
          <w:iCs/>
        </w:rPr>
        <w:t xml:space="preserve"> afin de protéger les réseaux du SFS et du SRS OSG contre les brouillages inacceptables dans les parties des bandes de fréquences 3 700-4 200 MHz, 5 925-6 725 MHz, 10,7-14,5 GHz, 17,3</w:t>
      </w:r>
      <w:r w:rsidR="009720B4" w:rsidRPr="009720B4">
        <w:rPr>
          <w:iCs/>
        </w:rPr>
        <w:noBreakHyphen/>
      </w:r>
      <w:r w:rsidR="00C90584" w:rsidRPr="009720B4">
        <w:rPr>
          <w:iCs/>
        </w:rPr>
        <w:t xml:space="preserve">20,2 GHz et 27,5-30 GHz dans lesquelles les limites d'epfd de l'Article </w:t>
      </w:r>
      <w:r w:rsidR="00C90584" w:rsidRPr="009720B4">
        <w:rPr>
          <w:b/>
          <w:iCs/>
        </w:rPr>
        <w:t>22</w:t>
      </w:r>
      <w:r w:rsidR="00C90584" w:rsidRPr="009720B4">
        <w:rPr>
          <w:iCs/>
        </w:rPr>
        <w:t xml:space="preserve"> du RR s'appliquent, ou le cadre </w:t>
      </w:r>
      <w:r w:rsidR="0013763A" w:rsidRPr="009720B4">
        <w:rPr>
          <w:iCs/>
        </w:rPr>
        <w:t xml:space="preserve">des limites </w:t>
      </w:r>
      <w:r w:rsidR="00C90584" w:rsidRPr="009720B4">
        <w:rPr>
          <w:iCs/>
        </w:rPr>
        <w:t xml:space="preserve">d'epfd </w:t>
      </w:r>
      <w:r w:rsidR="0013763A" w:rsidRPr="009720B4">
        <w:rPr>
          <w:iCs/>
        </w:rPr>
        <w:t xml:space="preserve">pourra </w:t>
      </w:r>
      <w:r w:rsidR="00C90584" w:rsidRPr="009720B4">
        <w:rPr>
          <w:iCs/>
        </w:rPr>
        <w:t>être remplacé par une autre approche et de</w:t>
      </w:r>
      <w:r w:rsidR="0013763A" w:rsidRPr="009720B4">
        <w:rPr>
          <w:iCs/>
        </w:rPr>
        <w:t>s</w:t>
      </w:r>
      <w:r w:rsidR="00C90584" w:rsidRPr="009720B4">
        <w:rPr>
          <w:iCs/>
        </w:rPr>
        <w:t xml:space="preserve"> limites associées</w:t>
      </w:r>
      <w:r w:rsidR="0013763A" w:rsidRPr="009720B4">
        <w:rPr>
          <w:iCs/>
        </w:rPr>
        <w:t xml:space="preserve"> pourront être élaborées</w:t>
      </w:r>
      <w:r w:rsidR="00C90584" w:rsidRPr="009720B4">
        <w:rPr>
          <w:iCs/>
        </w:rPr>
        <w:t>, sans que le numéro </w:t>
      </w:r>
      <w:r w:rsidR="00C90584" w:rsidRPr="009720B4">
        <w:rPr>
          <w:b/>
          <w:iCs/>
        </w:rPr>
        <w:t>22.2</w:t>
      </w:r>
      <w:r w:rsidR="00C90584" w:rsidRPr="009720B4">
        <w:rPr>
          <w:iCs/>
        </w:rPr>
        <w:t xml:space="preserve"> du RR</w:t>
      </w:r>
      <w:r w:rsidR="00891ED3" w:rsidRPr="009720B4">
        <w:rPr>
          <w:iCs/>
        </w:rPr>
        <w:t xml:space="preserve"> </w:t>
      </w:r>
      <w:r w:rsidR="00C90584" w:rsidRPr="009720B4">
        <w:rPr>
          <w:iCs/>
        </w:rPr>
        <w:t>soit modifié</w:t>
      </w:r>
      <w:r w:rsidR="0080026D" w:rsidRPr="009720B4">
        <w:rPr>
          <w:iCs/>
        </w:rPr>
        <w:t>.</w:t>
      </w:r>
      <w:r w:rsidR="0015203F" w:rsidRPr="009720B4">
        <w:br w:type="page"/>
      </w:r>
    </w:p>
    <w:p w14:paraId="6674DF5A" w14:textId="77777777" w:rsidR="00051D5B" w:rsidRPr="009720B4" w:rsidRDefault="00AB2BD9" w:rsidP="001E33FC">
      <w:pPr>
        <w:pStyle w:val="Proposal"/>
      </w:pPr>
      <w:r w:rsidRPr="009720B4">
        <w:lastRenderedPageBreak/>
        <w:t>ADD</w:t>
      </w:r>
      <w:r w:rsidRPr="009720B4">
        <w:tab/>
        <w:t>KIR/FSM/NRU/PNG/SLM/TON/TUV/121/1</w:t>
      </w:r>
    </w:p>
    <w:p w14:paraId="5D3D0EC8" w14:textId="5B354D72" w:rsidR="007529A5" w:rsidRPr="009720B4" w:rsidRDefault="00806D14" w:rsidP="001E33FC">
      <w:pPr>
        <w:pStyle w:val="ResNo"/>
      </w:pPr>
      <w:bookmarkStart w:id="16" w:name="_Toc35933926"/>
      <w:bookmarkStart w:id="17" w:name="_Toc39829408"/>
      <w:r w:rsidRPr="009720B4">
        <w:t>projet de nouvelle RéSOLUTION [TON-10-2027] (cmr</w:t>
      </w:r>
      <w:r w:rsidRPr="009720B4">
        <w:noBreakHyphen/>
        <w:t>23)</w:t>
      </w:r>
    </w:p>
    <w:p w14:paraId="2D053926" w14:textId="5F911E1C" w:rsidR="00036372" w:rsidRPr="009720B4" w:rsidRDefault="00036372" w:rsidP="001E33FC">
      <w:pPr>
        <w:pStyle w:val="Restitle"/>
      </w:pPr>
      <w:r w:rsidRPr="009720B4">
        <w:t>Ordre du jour de la Conférence mondiale des radiocommunications de 202</w:t>
      </w:r>
      <w:bookmarkEnd w:id="16"/>
      <w:bookmarkEnd w:id="17"/>
      <w:r w:rsidRPr="009720B4">
        <w:t>7</w:t>
      </w:r>
    </w:p>
    <w:p w14:paraId="3C6E3F85" w14:textId="77777777" w:rsidR="00036372" w:rsidRPr="009720B4" w:rsidRDefault="00036372" w:rsidP="001E33FC">
      <w:pPr>
        <w:pStyle w:val="Normalaftertitle"/>
      </w:pPr>
      <w:r w:rsidRPr="009720B4">
        <w:t>La Conférence mondiale des radiocommunications (</w:t>
      </w:r>
      <w:r w:rsidRPr="009720B4">
        <w:rPr>
          <w:szCs w:val="24"/>
        </w:rPr>
        <w:t>Dubaï, 2023</w:t>
      </w:r>
      <w:r w:rsidRPr="009720B4">
        <w:t>),</w:t>
      </w:r>
    </w:p>
    <w:p w14:paraId="6C87AD8D" w14:textId="77777777" w:rsidR="00036372" w:rsidRPr="009720B4" w:rsidRDefault="00036372" w:rsidP="001E33FC">
      <w:pPr>
        <w:pStyle w:val="Call"/>
        <w:keepNext w:val="0"/>
        <w:keepLines w:val="0"/>
      </w:pPr>
      <w:r w:rsidRPr="009720B4">
        <w:t>considérant</w:t>
      </w:r>
    </w:p>
    <w:p w14:paraId="2C19EB11" w14:textId="77777777" w:rsidR="00036372" w:rsidRPr="009720B4" w:rsidRDefault="00036372" w:rsidP="0051273B">
      <w:r w:rsidRPr="009720B4">
        <w:rPr>
          <w:i/>
          <w:iCs/>
        </w:rPr>
        <w:t>a)</w:t>
      </w:r>
      <w:r w:rsidRPr="009720B4">
        <w:tab/>
        <w:t>que, conformément au numéro 118 de la Convention de l'UIT, le cadre général de l'ordre du jour d'une Conférence mondiale des radiocommunications (CMR) devrait être fixé de quatre à six ans à l'avance et que l'ordre du jour définitif est fixé par le Conseil de l'UIT deux ans avant la conférence;</w:t>
      </w:r>
    </w:p>
    <w:p w14:paraId="795BB3EE" w14:textId="77777777" w:rsidR="00036372" w:rsidRPr="009720B4" w:rsidRDefault="00036372" w:rsidP="0051273B">
      <w:pPr>
        <w:rPr>
          <w:i/>
          <w:iCs/>
        </w:rPr>
      </w:pPr>
      <w:r w:rsidRPr="009720B4">
        <w:rPr>
          <w:i/>
          <w:iCs/>
        </w:rPr>
        <w:t>b)</w:t>
      </w:r>
      <w:r w:rsidRPr="009720B4">
        <w:rPr>
          <w:i/>
          <w:iCs/>
        </w:rPr>
        <w:tab/>
      </w:r>
      <w:r w:rsidRPr="009720B4">
        <w:t>l'article 13 de la Constitution de l'UIT, concernant la compétence et la fréquence des CMR, et l'article 7 de la Convention relatif à leur ordre du jour;</w:t>
      </w:r>
    </w:p>
    <w:p w14:paraId="4E12999C" w14:textId="77777777" w:rsidR="00036372" w:rsidRPr="009720B4" w:rsidRDefault="00036372" w:rsidP="0051273B">
      <w:r w:rsidRPr="009720B4">
        <w:rPr>
          <w:i/>
          <w:iCs/>
        </w:rPr>
        <w:t>c)</w:t>
      </w:r>
      <w:r w:rsidRPr="009720B4">
        <w:tab/>
        <w:t>les résolutions et recommandations pertinentes des conférences administratives mondiales des radiocommunications (CAMR) et des CMR précédentes,</w:t>
      </w:r>
    </w:p>
    <w:p w14:paraId="3A9BE218" w14:textId="77777777" w:rsidR="00036372" w:rsidRPr="009720B4" w:rsidRDefault="00036372" w:rsidP="0051273B">
      <w:pPr>
        <w:pStyle w:val="Call"/>
        <w:keepNext w:val="0"/>
        <w:keepLines w:val="0"/>
      </w:pPr>
      <w:r w:rsidRPr="009720B4">
        <w:t>reconnaissant</w:t>
      </w:r>
    </w:p>
    <w:p w14:paraId="093D8631" w14:textId="3052B0B1" w:rsidR="00036372" w:rsidRPr="009720B4" w:rsidRDefault="00036372" w:rsidP="0051273B">
      <w:r w:rsidRPr="009720B4">
        <w:rPr>
          <w:i/>
          <w:iCs/>
        </w:rPr>
        <w:t>a)</w:t>
      </w:r>
      <w:r w:rsidRPr="009720B4">
        <w:tab/>
        <w:t>que la présente Conférence a recensé un certain nombre de questions urgentes que la</w:t>
      </w:r>
      <w:r w:rsidR="00487B17">
        <w:t xml:space="preserve"> </w:t>
      </w:r>
      <w:r w:rsidRPr="009720B4">
        <w:t>CMR</w:t>
      </w:r>
      <w:r w:rsidRPr="009720B4">
        <w:noBreakHyphen/>
        <w:t>27 devra examiner plus avant;</w:t>
      </w:r>
    </w:p>
    <w:p w14:paraId="1851C69E" w14:textId="77777777" w:rsidR="00036372" w:rsidRPr="009720B4" w:rsidRDefault="00036372" w:rsidP="0051273B">
      <w:r w:rsidRPr="009720B4">
        <w:rPr>
          <w:i/>
          <w:iCs/>
        </w:rPr>
        <w:t>b)</w:t>
      </w:r>
      <w:r w:rsidRPr="009720B4">
        <w:tab/>
        <w:t>que, lors de l'élaboration du présent ordre du jour, certains points proposés par des administrations n'ont pas pu être retenus et que leur inscription a dû être reportée à l'ordre du jour de conférences futures,</w:t>
      </w:r>
    </w:p>
    <w:p w14:paraId="143D5373" w14:textId="77777777" w:rsidR="00036372" w:rsidRPr="009720B4" w:rsidRDefault="00036372" w:rsidP="0051273B">
      <w:pPr>
        <w:pStyle w:val="Call"/>
      </w:pPr>
      <w:r w:rsidRPr="009720B4">
        <w:t>décide</w:t>
      </w:r>
    </w:p>
    <w:p w14:paraId="0FB71129" w14:textId="7F4B5848" w:rsidR="00036372" w:rsidRPr="009720B4" w:rsidRDefault="00036372" w:rsidP="0051273B">
      <w:r w:rsidRPr="009720B4">
        <w:t>de recommander au Conseil de convoquer en 2027 une</w:t>
      </w:r>
      <w:r w:rsidR="00487B17">
        <w:t xml:space="preserve"> </w:t>
      </w:r>
      <w:r w:rsidRPr="009720B4">
        <w:t>CMR d'une durée maximale de quatre semaines, dont l'ordre du jour sera le suivant:</w:t>
      </w:r>
    </w:p>
    <w:p w14:paraId="7D1A1613" w14:textId="1B7F7DA5" w:rsidR="00036372" w:rsidRPr="009720B4" w:rsidRDefault="00036372" w:rsidP="0051273B">
      <w:r w:rsidRPr="009720B4">
        <w:t>1</w:t>
      </w:r>
      <w:r w:rsidRPr="009720B4">
        <w:tab/>
        <w:t>sur la base des propositions des administrations, compte tenu des résultats de la</w:t>
      </w:r>
      <w:r w:rsidR="00487B17">
        <w:t xml:space="preserve"> </w:t>
      </w:r>
      <w:r w:rsidRPr="009720B4">
        <w:t>CMR</w:t>
      </w:r>
      <w:r w:rsidRPr="009720B4">
        <w:noBreakHyphen/>
        <w:t>23 ainsi que du rapport de la Réunion de préparation à la Conférence et compte dûment tenu des besoins des services existants ou futurs dans les bandes de fréquences considérées, examiner les points suivants et prendre les mesures appropriées:</w:t>
      </w:r>
    </w:p>
    <w:p w14:paraId="78E242AB" w14:textId="6CCDE257" w:rsidR="00051D5B" w:rsidRPr="009720B4" w:rsidRDefault="00036372" w:rsidP="009720B4">
      <w:r w:rsidRPr="009720B4">
        <w:t>...</w:t>
      </w:r>
    </w:p>
    <w:p w14:paraId="2686E84D" w14:textId="35A8A194" w:rsidR="00036372" w:rsidRPr="009720B4" w:rsidRDefault="00036372" w:rsidP="0051273B">
      <w:r w:rsidRPr="009720B4">
        <w:t>1.x</w:t>
      </w:r>
      <w:r w:rsidRPr="009720B4">
        <w:tab/>
      </w:r>
      <w:r w:rsidR="00B47FC0" w:rsidRPr="009720B4">
        <w:t>étudier, examiner</w:t>
      </w:r>
      <w:r w:rsidR="00F05569" w:rsidRPr="009720B4">
        <w:t>,</w:t>
      </w:r>
      <w:r w:rsidR="00B47FC0" w:rsidRPr="009720B4">
        <w:t xml:space="preserve"> et mettre à jour ou remplacer, selon qu'il conviendra, les dispositions réglementaires relatives à la protection des réseaux</w:t>
      </w:r>
      <w:r w:rsidR="00BF7E02" w:rsidRPr="009720B4">
        <w:t xml:space="preserve"> OSG</w:t>
      </w:r>
      <w:r w:rsidR="00B47FC0" w:rsidRPr="009720B4">
        <w:t xml:space="preserve"> du SFS et du SRS contre les brouillages inacceptables causés par les systèmes </w:t>
      </w:r>
      <w:r w:rsidR="00BF7E02" w:rsidRPr="009720B4">
        <w:t xml:space="preserve">non OSG </w:t>
      </w:r>
      <w:r w:rsidR="00B47FC0" w:rsidRPr="009720B4">
        <w:t xml:space="preserve">du SFS dans les parties des bandes de fréquences 3 700-4 200 MHz, 5 925-6 725 MHz, 10,7-14,5 GHz, 17,3-20,2 GHz et 27,5-30 GHz dans lesquelles les limites d'epfd </w:t>
      </w:r>
      <w:r w:rsidR="00934DE2" w:rsidRPr="009720B4">
        <w:t>indiquées</w:t>
      </w:r>
      <w:r w:rsidR="00B47FC0" w:rsidRPr="009720B4">
        <w:t xml:space="preserve"> dans l'Article </w:t>
      </w:r>
      <w:r w:rsidR="00B47FC0" w:rsidRPr="009720B4">
        <w:rPr>
          <w:b/>
        </w:rPr>
        <w:t>22</w:t>
      </w:r>
      <w:r w:rsidR="00B47FC0" w:rsidRPr="009720B4">
        <w:t xml:space="preserve"> s'appliquent, et mettre en œuvre ces dispositions, conformément à la Résolution </w:t>
      </w:r>
      <w:r w:rsidR="00B47FC0" w:rsidRPr="009720B4">
        <w:rPr>
          <w:b/>
          <w:bCs/>
        </w:rPr>
        <w:t>[EPFD REVISION] (CMR-23)</w:t>
      </w:r>
      <w:r w:rsidR="00B47FC0" w:rsidRPr="009720B4">
        <w:t>,</w:t>
      </w:r>
    </w:p>
    <w:p w14:paraId="70CC32C6" w14:textId="77777777" w:rsidR="00036372" w:rsidRPr="009720B4" w:rsidRDefault="00036372" w:rsidP="0051273B">
      <w:pPr>
        <w:pStyle w:val="Call"/>
      </w:pPr>
      <w:r w:rsidRPr="009720B4">
        <w:t>invite le Conseil de l'UIT</w:t>
      </w:r>
    </w:p>
    <w:p w14:paraId="2A5A22C4" w14:textId="338DA42C" w:rsidR="00036372" w:rsidRPr="009720B4" w:rsidRDefault="00036372" w:rsidP="0051273B">
      <w:r w:rsidRPr="009720B4">
        <w:t>à arrêter définitivement l'ordre du jour, à prendre les dispositions nécessaires en vue de la convocation de la</w:t>
      </w:r>
      <w:r w:rsidR="00487B17">
        <w:t xml:space="preserve"> </w:t>
      </w:r>
      <w:r w:rsidRPr="009720B4">
        <w:t>CMR</w:t>
      </w:r>
      <w:r w:rsidRPr="009720B4">
        <w:noBreakHyphen/>
        <w:t>27 et à engager dès que possible les consultations nécessaires avec les États Membres,</w:t>
      </w:r>
    </w:p>
    <w:p w14:paraId="5BB760AA" w14:textId="77777777" w:rsidR="00036372" w:rsidRPr="009720B4" w:rsidRDefault="00036372" w:rsidP="009720B4">
      <w:pPr>
        <w:pStyle w:val="Call"/>
      </w:pPr>
      <w:r w:rsidRPr="009720B4">
        <w:lastRenderedPageBreak/>
        <w:t>charge le Directeur du Bureau des radiocommunications</w:t>
      </w:r>
    </w:p>
    <w:p w14:paraId="5068B367" w14:textId="3A2CF9C4" w:rsidR="00036372" w:rsidRPr="009720B4" w:rsidRDefault="00036372" w:rsidP="009720B4">
      <w:pPr>
        <w:keepNext/>
        <w:keepLines/>
      </w:pPr>
      <w:r w:rsidRPr="009720B4">
        <w:t>1</w:t>
      </w:r>
      <w:r w:rsidRPr="009720B4">
        <w:tab/>
        <w:t>de prendre les dispositions voulues pour la convocation des sessions de la Réunion de préparation à la Conférence (RPC) et d'élaborer un rapport à l'intention de la</w:t>
      </w:r>
      <w:r w:rsidR="00487B17">
        <w:t xml:space="preserve"> </w:t>
      </w:r>
      <w:r w:rsidRPr="009720B4">
        <w:t>CMR</w:t>
      </w:r>
      <w:r w:rsidRPr="009720B4">
        <w:noBreakHyphen/>
        <w:t>27;</w:t>
      </w:r>
    </w:p>
    <w:p w14:paraId="70691E0C" w14:textId="597A70B7" w:rsidR="00036372" w:rsidRPr="009720B4" w:rsidRDefault="00036372" w:rsidP="0051273B">
      <w:r w:rsidRPr="009720B4">
        <w:t>2</w:t>
      </w:r>
      <w:r w:rsidRPr="009720B4">
        <w:tab/>
        <w:t>de soumettre à la seconde session de la RPC un projet du rapport sur les difficultés rencontrées ou les incohérences constatées dans l'application du Règlement des radiocommunications dont il est question au point 9.2 de l'ordre du jour et de soumettre le rapport final au moins cinq mois avant la CMR suivante,</w:t>
      </w:r>
    </w:p>
    <w:p w14:paraId="5AAF9612" w14:textId="77777777" w:rsidR="00036372" w:rsidRPr="009720B4" w:rsidRDefault="00036372" w:rsidP="0051273B">
      <w:pPr>
        <w:pStyle w:val="Call"/>
        <w:keepNext w:val="0"/>
        <w:keepLines w:val="0"/>
      </w:pPr>
      <w:r w:rsidRPr="009720B4">
        <w:t>charge le Secrétaire général</w:t>
      </w:r>
    </w:p>
    <w:p w14:paraId="0A25796A" w14:textId="1D1D2415" w:rsidR="00036372" w:rsidRPr="009720B4" w:rsidRDefault="00036372" w:rsidP="0051273B">
      <w:r w:rsidRPr="009720B4">
        <w:t>de communiquer la présente Résolution aux organisations internationales ou régionales concernées.</w:t>
      </w:r>
    </w:p>
    <w:p w14:paraId="7D2A2A19" w14:textId="760B7520" w:rsidR="00036372" w:rsidRPr="009720B4" w:rsidRDefault="00036372" w:rsidP="0051273B">
      <w:pPr>
        <w:pStyle w:val="Reasons"/>
      </w:pPr>
      <w:r w:rsidRPr="009720B4">
        <w:rPr>
          <w:b/>
        </w:rPr>
        <w:t>Motifs:</w:t>
      </w:r>
      <w:r w:rsidRPr="009720B4">
        <w:tab/>
      </w:r>
      <w:r w:rsidR="00934DE2" w:rsidRPr="009720B4">
        <w:t>Procéder à des études en vue d'examiner et</w:t>
      </w:r>
      <w:r w:rsidR="00BF7E02" w:rsidRPr="009720B4">
        <w:t>,</w:t>
      </w:r>
      <w:r w:rsidR="004D3A3D" w:rsidRPr="009720B4">
        <w:t xml:space="preserve"> </w:t>
      </w:r>
      <w:r w:rsidR="00934DE2" w:rsidRPr="009720B4">
        <w:t>éventuellement</w:t>
      </w:r>
      <w:r w:rsidR="00BF7E02" w:rsidRPr="009720B4">
        <w:t>,</w:t>
      </w:r>
      <w:r w:rsidR="00934DE2" w:rsidRPr="009720B4">
        <w:t xml:space="preserve"> de réviser, le cas échéant, les dispositions réglementaires relatives à la protection des réseaux </w:t>
      </w:r>
      <w:r w:rsidR="00BF7E02" w:rsidRPr="009720B4">
        <w:t xml:space="preserve">OSG </w:t>
      </w:r>
      <w:r w:rsidR="00934DE2" w:rsidRPr="009720B4">
        <w:t xml:space="preserve">du SFS et du SRS contre les brouillages inacceptables causés par les systèmes </w:t>
      </w:r>
      <w:r w:rsidR="00BF7E02" w:rsidRPr="009720B4">
        <w:t xml:space="preserve">non OSG </w:t>
      </w:r>
      <w:r w:rsidR="00934DE2" w:rsidRPr="009720B4">
        <w:t xml:space="preserve">du SFS dans les bandes de fréquences </w:t>
      </w:r>
      <w:r w:rsidR="00762147" w:rsidRPr="009720B4">
        <w:t>au-dessous de</w:t>
      </w:r>
      <w:r w:rsidR="00934DE2" w:rsidRPr="009720B4">
        <w:t xml:space="preserve"> 30 GHz dans lesquelles les limites </w:t>
      </w:r>
      <w:r w:rsidR="003E191B" w:rsidRPr="009720B4">
        <w:t>d'epfd</w:t>
      </w:r>
      <w:r w:rsidR="00934DE2" w:rsidRPr="009720B4">
        <w:t xml:space="preserve"> de l'Article </w:t>
      </w:r>
      <w:r w:rsidR="00934DE2" w:rsidRPr="009720B4">
        <w:rPr>
          <w:b/>
        </w:rPr>
        <w:t>22</w:t>
      </w:r>
      <w:r w:rsidR="00934DE2" w:rsidRPr="009720B4">
        <w:t xml:space="preserve"> du RR s'appliquent et</w:t>
      </w:r>
      <w:r w:rsidR="00BF7E02" w:rsidRPr="009720B4">
        <w:t xml:space="preserve"> </w:t>
      </w:r>
      <w:r w:rsidR="00934DE2" w:rsidRPr="009720B4">
        <w:t>m</w:t>
      </w:r>
      <w:r w:rsidR="003E191B" w:rsidRPr="009720B4">
        <w:t>ettre en œuvre ces dispositions</w:t>
      </w:r>
      <w:r w:rsidR="00FC7C7E" w:rsidRPr="009720B4">
        <w:t>.</w:t>
      </w:r>
    </w:p>
    <w:p w14:paraId="1B24A27E" w14:textId="77777777" w:rsidR="00051D5B" w:rsidRPr="009720B4" w:rsidRDefault="00AB2BD9" w:rsidP="0051273B">
      <w:pPr>
        <w:pStyle w:val="Proposal"/>
      </w:pPr>
      <w:r w:rsidRPr="009720B4">
        <w:t>ADD</w:t>
      </w:r>
      <w:r w:rsidRPr="009720B4">
        <w:tab/>
        <w:t>KIR/FSM/NRU/PNG/SLM/TON/TUV/121/2</w:t>
      </w:r>
    </w:p>
    <w:p w14:paraId="6269151F" w14:textId="3DACAB00" w:rsidR="00051D5B" w:rsidRPr="009720B4" w:rsidRDefault="00334CFE" w:rsidP="0051273B">
      <w:pPr>
        <w:pStyle w:val="ResNo"/>
      </w:pPr>
      <w:r w:rsidRPr="009720B4">
        <w:t>PROJET DE NOUVELLE RéSOLUTION [EPFD REVISION] (</w:t>
      </w:r>
      <w:r w:rsidRPr="009720B4">
        <w:rPr>
          <w:bCs/>
        </w:rPr>
        <w:t>CMR-23</w:t>
      </w:r>
      <w:r w:rsidRPr="009720B4">
        <w:t>)</w:t>
      </w:r>
    </w:p>
    <w:p w14:paraId="05BD2F6C" w14:textId="4031E7AF" w:rsidR="00487EF0" w:rsidRPr="009720B4" w:rsidRDefault="00334CFE" w:rsidP="0051273B">
      <w:pPr>
        <w:pStyle w:val="Restitle"/>
      </w:pPr>
      <w:bookmarkStart w:id="18" w:name="_Hlk144326780"/>
      <w:r w:rsidRPr="009720B4">
        <w:t xml:space="preserve">Étude </w:t>
      </w:r>
      <w:r w:rsidR="005F1CF9" w:rsidRPr="009720B4">
        <w:t>des</w:t>
      </w:r>
      <w:r w:rsidRPr="009720B4">
        <w:t xml:space="preserve"> dispositions réglementaires relatives à la protection des réseaux </w:t>
      </w:r>
      <w:r w:rsidR="00BF7E02" w:rsidRPr="009720B4">
        <w:t>OSG</w:t>
      </w:r>
      <w:r w:rsidR="009720B4" w:rsidRPr="009720B4">
        <w:br/>
      </w:r>
      <w:r w:rsidRPr="009720B4">
        <w:t>du SFS et du SRS contre les brouillages inacceptables causés par les</w:t>
      </w:r>
      <w:r w:rsidR="009720B4" w:rsidRPr="009720B4">
        <w:t xml:space="preserve"> </w:t>
      </w:r>
      <w:r w:rsidRPr="009720B4">
        <w:t>systèmes</w:t>
      </w:r>
      <w:r w:rsidR="009720B4" w:rsidRPr="009720B4">
        <w:br/>
      </w:r>
      <w:r w:rsidR="00BF7E02" w:rsidRPr="009720B4">
        <w:t xml:space="preserve">non OSG </w:t>
      </w:r>
      <w:r w:rsidRPr="009720B4">
        <w:t>du SFS dans les parties des bandes de fréquences</w:t>
      </w:r>
      <w:r w:rsidR="009720B4" w:rsidRPr="009720B4">
        <w:t xml:space="preserve"> </w:t>
      </w:r>
      <w:r w:rsidRPr="009720B4">
        <w:t>3 700-4 200 MHz,</w:t>
      </w:r>
      <w:r w:rsidR="009720B4" w:rsidRPr="009720B4">
        <w:br/>
      </w:r>
      <w:r w:rsidRPr="009720B4">
        <w:t>5 925-6 725 MHz, 10,7-14,5 GHz, 17,3-20,2 GHz et 27,5-30 GHz</w:t>
      </w:r>
      <w:r w:rsidR="009720B4" w:rsidRPr="009720B4">
        <w:br/>
      </w:r>
      <w:r w:rsidRPr="009720B4">
        <w:t xml:space="preserve">dans lesquelles les limites d'epfd </w:t>
      </w:r>
      <w:r w:rsidR="004B491B" w:rsidRPr="009720B4">
        <w:t>de</w:t>
      </w:r>
      <w:r w:rsidRPr="009720B4">
        <w:t xml:space="preserve"> l'Article 22</w:t>
      </w:r>
      <w:bookmarkEnd w:id="18"/>
      <w:r w:rsidR="005F1CF9" w:rsidRPr="009720B4">
        <w:t xml:space="preserve"> s'appliquent</w:t>
      </w:r>
    </w:p>
    <w:p w14:paraId="0E833D52" w14:textId="2D3D156D" w:rsidR="00487EF0" w:rsidRPr="009720B4" w:rsidRDefault="00487EF0" w:rsidP="0051273B">
      <w:pPr>
        <w:pStyle w:val="Normalaftertitle"/>
      </w:pPr>
      <w:r w:rsidRPr="009720B4">
        <w:t>La Conférence mondiale des radiocommunications (Dubaï, 2023),</w:t>
      </w:r>
    </w:p>
    <w:p w14:paraId="044C5A84" w14:textId="77777777" w:rsidR="00487EF0" w:rsidRPr="009720B4" w:rsidRDefault="00487EF0" w:rsidP="0051273B">
      <w:pPr>
        <w:pStyle w:val="Call"/>
      </w:pPr>
      <w:r w:rsidRPr="009720B4">
        <w:t>considérant</w:t>
      </w:r>
    </w:p>
    <w:p w14:paraId="00391FB9" w14:textId="426449AA" w:rsidR="00487EF0" w:rsidRPr="009720B4" w:rsidRDefault="00487EF0" w:rsidP="0051273B">
      <w:r w:rsidRPr="009720B4">
        <w:rPr>
          <w:i/>
        </w:rPr>
        <w:t>a)</w:t>
      </w:r>
      <w:r w:rsidRPr="009720B4">
        <w:tab/>
      </w:r>
      <w:r w:rsidR="00963E40" w:rsidRPr="009720B4">
        <w:t xml:space="preserve">que l'Union internationale des télécommunications (UIT) et les Nations Unies ont reconnu </w:t>
      </w:r>
      <w:r w:rsidR="00D7015D" w:rsidRPr="009720B4">
        <w:t>que l'accès au large bande était nécessaire pour</w:t>
      </w:r>
      <w:r w:rsidR="00963E40" w:rsidRPr="009720B4">
        <w:t xml:space="preserve"> les régions du monde non desservies ou mal desservies</w:t>
      </w:r>
      <w:r w:rsidR="00BF7E02" w:rsidRPr="009720B4">
        <w:t xml:space="preserve"> </w:t>
      </w:r>
      <w:r w:rsidR="00963E40" w:rsidRPr="009720B4">
        <w:t>et</w:t>
      </w:r>
      <w:r w:rsidR="00BF7E02" w:rsidRPr="009720B4">
        <w:t xml:space="preserve"> ont </w:t>
      </w:r>
      <w:r w:rsidR="00963E40" w:rsidRPr="009720B4">
        <w:t>lancé des initiatives</w:t>
      </w:r>
      <w:r w:rsidR="00BF7E02" w:rsidRPr="009720B4">
        <w:t>,</w:t>
      </w:r>
      <w:r w:rsidR="00963E40" w:rsidRPr="009720B4">
        <w:t xml:space="preserve"> dans le cadre de l'initiative Partner2Connect</w:t>
      </w:r>
      <w:r w:rsidR="00BF7E02" w:rsidRPr="009720B4">
        <w:t xml:space="preserve">, en vue </w:t>
      </w:r>
      <w:r w:rsidR="00963E40" w:rsidRPr="009720B4">
        <w:t>de développer une connectivité efficace et la transformation numérique</w:t>
      </w:r>
      <w:r w:rsidR="00BF7E02" w:rsidRPr="009720B4">
        <w:t xml:space="preserve"> dans le monde</w:t>
      </w:r>
      <w:r w:rsidR="00963E40" w:rsidRPr="009720B4">
        <w:t xml:space="preserve">, l'accent </w:t>
      </w:r>
      <w:r w:rsidR="00BF7E02" w:rsidRPr="009720B4">
        <w:t xml:space="preserve">étant mis </w:t>
      </w:r>
      <w:r w:rsidR="00963E40" w:rsidRPr="009720B4">
        <w:t>notamment sur les communautés n'ayant pas accès aux connexions numériques</w:t>
      </w:r>
      <w:r w:rsidRPr="009720B4">
        <w:t>;</w:t>
      </w:r>
    </w:p>
    <w:p w14:paraId="2A829E4D" w14:textId="00C4B7E5" w:rsidR="00487EF0" w:rsidRPr="009720B4" w:rsidRDefault="00487EF0" w:rsidP="0051273B">
      <w:r w:rsidRPr="009720B4">
        <w:rPr>
          <w:i/>
        </w:rPr>
        <w:t>b)</w:t>
      </w:r>
      <w:r w:rsidRPr="009720B4">
        <w:tab/>
      </w:r>
      <w:r w:rsidR="009C31FB" w:rsidRPr="009720B4">
        <w:t xml:space="preserve">que les systèmes </w:t>
      </w:r>
      <w:r w:rsidR="00BF7E02" w:rsidRPr="009720B4">
        <w:t xml:space="preserve">reposant </w:t>
      </w:r>
      <w:r w:rsidR="009C31FB" w:rsidRPr="009720B4">
        <w:t>sur l'utilisation de</w:t>
      </w:r>
      <w:r w:rsidR="00BF7E02" w:rsidRPr="009720B4">
        <w:t>s</w:t>
      </w:r>
      <w:r w:rsidR="009C31FB" w:rsidRPr="009720B4">
        <w:t xml:space="preserve"> nouvelles technologies associé</w:t>
      </w:r>
      <w:r w:rsidR="00BF7E02" w:rsidRPr="009720B4">
        <w:t>e</w:t>
      </w:r>
      <w:r w:rsidR="009C31FB" w:rsidRPr="009720B4">
        <w:t>s</w:t>
      </w:r>
      <w:r w:rsidR="00BF7E02" w:rsidRPr="009720B4">
        <w:t xml:space="preserve"> </w:t>
      </w:r>
      <w:r w:rsidR="009C31FB" w:rsidRPr="009720B4">
        <w:t>aux réseaux à satellite géostationnaires (OSG) du service fixe par satellite (SFS) et du service de radiodiffusion par satellite (SRS) et aux constellations de satellites non géostationnaire</w:t>
      </w:r>
      <w:r w:rsidR="00BF7E02" w:rsidRPr="009720B4">
        <w:t>s</w:t>
      </w:r>
      <w:r w:rsidR="009C31FB" w:rsidRPr="009720B4">
        <w:t xml:space="preserve"> (non OSG) du SFS dans les bandes de fréquences inférieures à 30 GHz dans lesquelles les limites de puissance surfacique équivalente (epfd) établies dans l'Article </w:t>
      </w:r>
      <w:r w:rsidR="009C31FB" w:rsidRPr="009720B4">
        <w:rPr>
          <w:b/>
        </w:rPr>
        <w:t>22</w:t>
      </w:r>
      <w:r w:rsidR="009C31FB" w:rsidRPr="009720B4">
        <w:t xml:space="preserve"> s'appliquent </w:t>
      </w:r>
      <w:r w:rsidR="00BF7E02" w:rsidRPr="009720B4">
        <w:t xml:space="preserve">permettent d'offrir </w:t>
      </w:r>
      <w:r w:rsidR="009C31FB" w:rsidRPr="009720B4">
        <w:t xml:space="preserve">des moyens de communication de grande capacité dans les régions rurales et isolées </w:t>
      </w:r>
      <w:r w:rsidR="00EF480B" w:rsidRPr="009720B4">
        <w:t xml:space="preserve">du </w:t>
      </w:r>
      <w:r w:rsidR="009C31FB" w:rsidRPr="009720B4">
        <w:t>monde</w:t>
      </w:r>
      <w:r w:rsidR="00963E40" w:rsidRPr="009720B4">
        <w:t>;</w:t>
      </w:r>
    </w:p>
    <w:p w14:paraId="6FFFBC40" w14:textId="40A77BA4" w:rsidR="00487EF0" w:rsidRPr="009720B4" w:rsidRDefault="00487EF0" w:rsidP="0051273B">
      <w:r w:rsidRPr="009720B4">
        <w:rPr>
          <w:i/>
        </w:rPr>
        <w:t>c)</w:t>
      </w:r>
      <w:r w:rsidRPr="009720B4">
        <w:tab/>
      </w:r>
      <w:r w:rsidR="009C31FB" w:rsidRPr="009720B4">
        <w:t xml:space="preserve">que les systèmes non OSG </w:t>
      </w:r>
      <w:r w:rsidR="00EF480B" w:rsidRPr="009720B4">
        <w:t xml:space="preserve">du SFS </w:t>
      </w:r>
      <w:r w:rsidR="009C31FB" w:rsidRPr="009720B4">
        <w:t xml:space="preserve">et les réseaux </w:t>
      </w:r>
      <w:r w:rsidR="00EF480B" w:rsidRPr="009720B4">
        <w:t xml:space="preserve">OSG </w:t>
      </w:r>
      <w:r w:rsidR="009C31FB" w:rsidRPr="009720B4">
        <w:t>du SFS sont plus</w:t>
      </w:r>
      <w:r w:rsidR="00EF480B" w:rsidRPr="009720B4">
        <w:t xml:space="preserve"> perfectionnés </w:t>
      </w:r>
      <w:r w:rsidR="009C31FB" w:rsidRPr="009720B4">
        <w:t>sur le plan technologique que les systèmes</w:t>
      </w:r>
      <w:r w:rsidR="00EF480B" w:rsidRPr="009720B4">
        <w:t xml:space="preserve"> pris en compte pour </w:t>
      </w:r>
      <w:r w:rsidR="009C31FB" w:rsidRPr="009720B4">
        <w:t>l'élaboration des limites d'epfd de l'Article </w:t>
      </w:r>
      <w:r w:rsidR="009C31FB" w:rsidRPr="009720B4">
        <w:rPr>
          <w:b/>
        </w:rPr>
        <w:t>22</w:t>
      </w:r>
      <w:r w:rsidR="009C31FB" w:rsidRPr="009720B4">
        <w:t xml:space="preserve"> lors de la CMR-97 et de la CMR-2000</w:t>
      </w:r>
      <w:r w:rsidRPr="009720B4">
        <w:t>;</w:t>
      </w:r>
    </w:p>
    <w:p w14:paraId="40E5C807" w14:textId="641B4FD8" w:rsidR="00487EF0" w:rsidRPr="009720B4" w:rsidRDefault="00487EF0" w:rsidP="0051273B">
      <w:pPr>
        <w:rPr>
          <w:szCs w:val="24"/>
        </w:rPr>
      </w:pPr>
      <w:r w:rsidRPr="009720B4">
        <w:rPr>
          <w:i/>
          <w:szCs w:val="24"/>
        </w:rPr>
        <w:t>d)</w:t>
      </w:r>
      <w:r w:rsidRPr="009720B4">
        <w:rPr>
          <w:szCs w:val="24"/>
        </w:rPr>
        <w:tab/>
      </w:r>
      <w:r w:rsidR="009C31FB" w:rsidRPr="009720B4">
        <w:rPr>
          <w:szCs w:val="24"/>
        </w:rPr>
        <w:t xml:space="preserve">que les liaisons OSG utilisées pour </w:t>
      </w:r>
      <w:r w:rsidR="00EF480B" w:rsidRPr="009720B4">
        <w:rPr>
          <w:szCs w:val="24"/>
        </w:rPr>
        <w:t xml:space="preserve">le calcul des </w:t>
      </w:r>
      <w:r w:rsidR="009C31FB" w:rsidRPr="009720B4">
        <w:rPr>
          <w:szCs w:val="24"/>
        </w:rPr>
        <w:t xml:space="preserve">limites d'epfd lors de la CMR-97 ne </w:t>
      </w:r>
      <w:r w:rsidR="00EF480B" w:rsidRPr="009720B4">
        <w:rPr>
          <w:szCs w:val="24"/>
        </w:rPr>
        <w:t xml:space="preserve">tiennent </w:t>
      </w:r>
      <w:r w:rsidR="009C31FB" w:rsidRPr="009720B4">
        <w:rPr>
          <w:szCs w:val="24"/>
        </w:rPr>
        <w:t>peut-être pas</w:t>
      </w:r>
      <w:r w:rsidR="00EF480B" w:rsidRPr="009720B4">
        <w:rPr>
          <w:szCs w:val="24"/>
        </w:rPr>
        <w:t xml:space="preserve"> compte du </w:t>
      </w:r>
      <w:r w:rsidR="009C31FB" w:rsidRPr="009720B4">
        <w:rPr>
          <w:szCs w:val="24"/>
        </w:rPr>
        <w:t>fonctionnement des réseaux OSG modernes</w:t>
      </w:r>
      <w:r w:rsidRPr="009720B4">
        <w:rPr>
          <w:szCs w:val="24"/>
        </w:rPr>
        <w:t>;</w:t>
      </w:r>
    </w:p>
    <w:p w14:paraId="4A379A38" w14:textId="1620898D" w:rsidR="00487EF0" w:rsidRPr="009720B4" w:rsidRDefault="00487EF0" w:rsidP="0051273B">
      <w:pPr>
        <w:rPr>
          <w:szCs w:val="24"/>
        </w:rPr>
      </w:pPr>
      <w:r w:rsidRPr="009720B4">
        <w:rPr>
          <w:i/>
          <w:szCs w:val="24"/>
        </w:rPr>
        <w:lastRenderedPageBreak/>
        <w:t>e)</w:t>
      </w:r>
      <w:r w:rsidRPr="009720B4">
        <w:rPr>
          <w:szCs w:val="24"/>
        </w:rPr>
        <w:tab/>
      </w:r>
      <w:r w:rsidR="009C31FB" w:rsidRPr="009720B4">
        <w:rPr>
          <w:szCs w:val="24"/>
        </w:rPr>
        <w:t xml:space="preserve">que l'orbite </w:t>
      </w:r>
      <w:r w:rsidR="00EF480B" w:rsidRPr="009720B4">
        <w:rPr>
          <w:szCs w:val="24"/>
        </w:rPr>
        <w:t>OSG</w:t>
      </w:r>
      <w:r w:rsidR="009C31FB" w:rsidRPr="009720B4">
        <w:rPr>
          <w:szCs w:val="24"/>
        </w:rPr>
        <w:t xml:space="preserve"> et le</w:t>
      </w:r>
      <w:r w:rsidR="00EF480B" w:rsidRPr="009720B4">
        <w:rPr>
          <w:szCs w:val="24"/>
        </w:rPr>
        <w:t>s bandes de fréquences</w:t>
      </w:r>
      <w:r w:rsidR="009C31FB" w:rsidRPr="009720B4">
        <w:rPr>
          <w:szCs w:val="24"/>
        </w:rPr>
        <w:t xml:space="preserve"> qui lui</w:t>
      </w:r>
      <w:r w:rsidR="00EF480B" w:rsidRPr="009720B4">
        <w:rPr>
          <w:szCs w:val="24"/>
        </w:rPr>
        <w:t xml:space="preserve"> sont </w:t>
      </w:r>
      <w:r w:rsidR="009C31FB" w:rsidRPr="009720B4">
        <w:rPr>
          <w:szCs w:val="24"/>
        </w:rPr>
        <w:t>associé</w:t>
      </w:r>
      <w:r w:rsidR="00EF480B" w:rsidRPr="009720B4">
        <w:rPr>
          <w:szCs w:val="24"/>
        </w:rPr>
        <w:t>es</w:t>
      </w:r>
      <w:r w:rsidR="009C31FB" w:rsidRPr="009720B4">
        <w:rPr>
          <w:szCs w:val="24"/>
        </w:rPr>
        <w:t xml:space="preserve"> constituent une ressource précieuse qui est </w:t>
      </w:r>
      <w:r w:rsidR="00EF480B" w:rsidRPr="009720B4">
        <w:rPr>
          <w:szCs w:val="24"/>
        </w:rPr>
        <w:t xml:space="preserve">très </w:t>
      </w:r>
      <w:r w:rsidR="009C31FB" w:rsidRPr="009720B4">
        <w:rPr>
          <w:szCs w:val="24"/>
        </w:rPr>
        <w:t>utilisée dans le monde entier</w:t>
      </w:r>
      <w:r w:rsidRPr="009720B4">
        <w:rPr>
          <w:szCs w:val="24"/>
        </w:rPr>
        <w:t>;</w:t>
      </w:r>
    </w:p>
    <w:p w14:paraId="522442D7" w14:textId="57D814BA" w:rsidR="00487EF0" w:rsidRPr="009720B4" w:rsidRDefault="00487EF0" w:rsidP="0051273B">
      <w:pPr>
        <w:rPr>
          <w:szCs w:val="24"/>
        </w:rPr>
      </w:pPr>
      <w:r w:rsidRPr="009720B4">
        <w:rPr>
          <w:i/>
          <w:szCs w:val="24"/>
        </w:rPr>
        <w:t>f)</w:t>
      </w:r>
      <w:r w:rsidRPr="009720B4">
        <w:rPr>
          <w:szCs w:val="24"/>
        </w:rPr>
        <w:tab/>
      </w:r>
      <w:r w:rsidR="009C31FB" w:rsidRPr="009720B4">
        <w:rPr>
          <w:szCs w:val="24"/>
        </w:rPr>
        <w:t xml:space="preserve">que des systèmes à satellites non OSG ont été déployés récemment dans les bandes </w:t>
      </w:r>
      <w:r w:rsidR="00EF480B" w:rsidRPr="009720B4">
        <w:rPr>
          <w:szCs w:val="24"/>
        </w:rPr>
        <w:t xml:space="preserve">de fréquences </w:t>
      </w:r>
      <w:r w:rsidR="009C31FB" w:rsidRPr="009720B4">
        <w:rPr>
          <w:szCs w:val="24"/>
        </w:rPr>
        <w:t xml:space="preserve">visées au point </w:t>
      </w:r>
      <w:r w:rsidR="009C31FB" w:rsidRPr="009720B4">
        <w:rPr>
          <w:i/>
          <w:szCs w:val="24"/>
        </w:rPr>
        <w:t>a)</w:t>
      </w:r>
      <w:r w:rsidR="009C31FB" w:rsidRPr="009720B4">
        <w:rPr>
          <w:szCs w:val="24"/>
        </w:rPr>
        <w:t xml:space="preserve"> du </w:t>
      </w:r>
      <w:r w:rsidR="009C31FB" w:rsidRPr="009720B4">
        <w:rPr>
          <w:i/>
          <w:szCs w:val="24"/>
        </w:rPr>
        <w:t>considérant</w:t>
      </w:r>
      <w:r w:rsidR="009C31FB" w:rsidRPr="009720B4">
        <w:rPr>
          <w:szCs w:val="24"/>
        </w:rPr>
        <w:t xml:space="preserve"> ci-dessus</w:t>
      </w:r>
      <w:r w:rsidRPr="009720B4">
        <w:rPr>
          <w:rFonts w:eastAsia="Calibri"/>
          <w:bCs/>
          <w:szCs w:val="24"/>
        </w:rPr>
        <w:t>;</w:t>
      </w:r>
    </w:p>
    <w:p w14:paraId="54250C8B" w14:textId="676E0682" w:rsidR="00487EF0" w:rsidRPr="009720B4" w:rsidRDefault="00487EF0" w:rsidP="0051273B">
      <w:r w:rsidRPr="009720B4">
        <w:rPr>
          <w:i/>
          <w:iCs/>
        </w:rPr>
        <w:t>g)</w:t>
      </w:r>
      <w:r w:rsidRPr="009720B4">
        <w:tab/>
      </w:r>
      <w:r w:rsidR="009C31FB" w:rsidRPr="009720B4">
        <w:t xml:space="preserve">que les limites d'epfd applicables aux systèmes </w:t>
      </w:r>
      <w:r w:rsidR="00EF480B" w:rsidRPr="009720B4">
        <w:t xml:space="preserve">non OSG </w:t>
      </w:r>
      <w:r w:rsidR="009C31FB" w:rsidRPr="009720B4">
        <w:t>du SFS dans les bandes de fréquences au-dessous de 30 GHz dans lesquelles les limites d'epfd de l'Article </w:t>
      </w:r>
      <w:r w:rsidR="009C31FB" w:rsidRPr="009720B4">
        <w:rPr>
          <w:b/>
        </w:rPr>
        <w:t>22</w:t>
      </w:r>
      <w:r w:rsidR="009C31FB" w:rsidRPr="009720B4">
        <w:t xml:space="preserve"> s'appliquent</w:t>
      </w:r>
      <w:r w:rsidR="00EF480B" w:rsidRPr="009720B4">
        <w:t xml:space="preserve"> </w:t>
      </w:r>
      <w:r w:rsidR="009C31FB" w:rsidRPr="009720B4">
        <w:t xml:space="preserve">ne </w:t>
      </w:r>
      <w:r w:rsidR="00EF480B" w:rsidRPr="009720B4">
        <w:t xml:space="preserve">reflètent peut-être pas </w:t>
      </w:r>
      <w:r w:rsidR="009C31FB" w:rsidRPr="009720B4">
        <w:t xml:space="preserve">avec précision la protection requise par les réseaux </w:t>
      </w:r>
      <w:r w:rsidR="00EF480B" w:rsidRPr="009720B4">
        <w:t xml:space="preserve">OSG </w:t>
      </w:r>
      <w:r w:rsidR="009C31FB" w:rsidRPr="009720B4">
        <w:t>du SFS et du SRS</w:t>
      </w:r>
      <w:r w:rsidRPr="009720B4">
        <w:t>;</w:t>
      </w:r>
    </w:p>
    <w:p w14:paraId="566DED4A" w14:textId="5D0AD7FB" w:rsidR="00487EF0" w:rsidRPr="009720B4" w:rsidRDefault="00487EF0" w:rsidP="0051273B">
      <w:r w:rsidRPr="009720B4">
        <w:rPr>
          <w:i/>
          <w:iCs/>
        </w:rPr>
        <w:t>h)</w:t>
      </w:r>
      <w:r w:rsidRPr="009720B4">
        <w:tab/>
      </w:r>
      <w:r w:rsidR="009C31FB" w:rsidRPr="009720B4">
        <w:t xml:space="preserve">qu'il est nécessaire d'encourager </w:t>
      </w:r>
      <w:r w:rsidR="00EF480B" w:rsidRPr="009720B4">
        <w:t>la mise au point</w:t>
      </w:r>
      <w:r w:rsidR="009C31FB" w:rsidRPr="009720B4">
        <w:t xml:space="preserve"> et la mise en œuvre des technologies</w:t>
      </w:r>
      <w:r w:rsidR="009720B4" w:rsidRPr="009720B4">
        <w:t> </w:t>
      </w:r>
      <w:r w:rsidR="009C31FB" w:rsidRPr="009720B4">
        <w:t>OSG et non OSG pour répondre à la demande croissante de services par satellite à l'échelle mondiale</w:t>
      </w:r>
      <w:r w:rsidRPr="009720B4">
        <w:t>;</w:t>
      </w:r>
    </w:p>
    <w:p w14:paraId="5C326203" w14:textId="70C2B73E" w:rsidR="00487EF0" w:rsidRPr="009720B4" w:rsidRDefault="00487EF0" w:rsidP="0051273B">
      <w:r w:rsidRPr="009720B4">
        <w:rPr>
          <w:i/>
          <w:iCs/>
        </w:rPr>
        <w:t>i)</w:t>
      </w:r>
      <w:r w:rsidRPr="009720B4">
        <w:tab/>
      </w:r>
      <w:r w:rsidR="009C31FB" w:rsidRPr="009720B4">
        <w:t xml:space="preserve">qu'il est nécessaire d'encourager </w:t>
      </w:r>
      <w:r w:rsidR="001D5AD2" w:rsidRPr="009720B4">
        <w:t xml:space="preserve">la mise au point </w:t>
      </w:r>
      <w:r w:rsidR="009C31FB" w:rsidRPr="009720B4">
        <w:t>et la mise en œuvre de technologies OSG ou non OSG dans les bandes de fréquences inférieures à 30 GHz, conformément au numéro</w:t>
      </w:r>
      <w:r w:rsidR="009C31FB" w:rsidRPr="009720B4">
        <w:rPr>
          <w:b/>
        </w:rPr>
        <w:t xml:space="preserve"> </w:t>
      </w:r>
      <w:r w:rsidR="00B2492B" w:rsidRPr="009720B4">
        <w:rPr>
          <w:b/>
        </w:rPr>
        <w:t>5.484A</w:t>
      </w:r>
      <w:r w:rsidRPr="009720B4">
        <w:t>;</w:t>
      </w:r>
    </w:p>
    <w:p w14:paraId="6A93A9C0" w14:textId="44AF626D" w:rsidR="00487EF0" w:rsidRPr="009720B4" w:rsidRDefault="00487EF0" w:rsidP="0051273B">
      <w:r w:rsidRPr="009720B4">
        <w:rPr>
          <w:i/>
          <w:iCs/>
        </w:rPr>
        <w:t>j)</w:t>
      </w:r>
      <w:r w:rsidRPr="009720B4">
        <w:tab/>
      </w:r>
      <w:r w:rsidR="009C31FB" w:rsidRPr="009720B4">
        <w:t>qu'il est nécessaire de garantir l'utilisation efficace des ressources spectrales sur la même fréquence pour les systèmes</w:t>
      </w:r>
      <w:r w:rsidR="001D5AD2" w:rsidRPr="009720B4">
        <w:t xml:space="preserve"> non OSG</w:t>
      </w:r>
      <w:r w:rsidR="009C31FB" w:rsidRPr="009720B4">
        <w:t xml:space="preserve"> du SFS et les réseaux </w:t>
      </w:r>
      <w:r w:rsidR="001D5AD2" w:rsidRPr="009720B4">
        <w:t xml:space="preserve">OSG </w:t>
      </w:r>
      <w:r w:rsidR="009C31FB" w:rsidRPr="009720B4">
        <w:t>du SFS et du SRS</w:t>
      </w:r>
      <w:r w:rsidRPr="009720B4">
        <w:t>;</w:t>
      </w:r>
    </w:p>
    <w:p w14:paraId="1B081F70" w14:textId="35C884F2" w:rsidR="00487EF0" w:rsidRPr="009720B4" w:rsidRDefault="00487EF0" w:rsidP="0051273B">
      <w:r w:rsidRPr="009720B4">
        <w:rPr>
          <w:i/>
          <w:iCs/>
        </w:rPr>
        <w:t>k)</w:t>
      </w:r>
      <w:r w:rsidRPr="009720B4">
        <w:tab/>
      </w:r>
      <w:r w:rsidR="009C31FB" w:rsidRPr="009720B4">
        <w:t>que le climat de certitude lié à l'environnement de brouillage qu'ont permis d'instaurer les limites d'epfd a donné lieu à des progrès technologiques jusqu'à présent</w:t>
      </w:r>
      <w:r w:rsidR="001D5AD2" w:rsidRPr="009720B4">
        <w:t xml:space="preserve"> </w:t>
      </w:r>
      <w:r w:rsidR="009C31FB" w:rsidRPr="009720B4">
        <w:t>et que des limites appropriées seront essentielles pour poursuivre l'innovation dans le domaine des réseaux et des services OSG et non OSG</w:t>
      </w:r>
      <w:r w:rsidRPr="009720B4">
        <w:t>;</w:t>
      </w:r>
    </w:p>
    <w:p w14:paraId="7FFD3D4A" w14:textId="276FF99E" w:rsidR="00487EF0" w:rsidRPr="009720B4" w:rsidRDefault="00487EF0" w:rsidP="0051273B">
      <w:r w:rsidRPr="009720B4">
        <w:rPr>
          <w:i/>
          <w:iCs/>
        </w:rPr>
        <w:t>l)</w:t>
      </w:r>
      <w:r w:rsidRPr="009720B4">
        <w:tab/>
      </w:r>
      <w:r w:rsidR="009C31FB" w:rsidRPr="009720B4">
        <w:t xml:space="preserve">que les systèmes </w:t>
      </w:r>
      <w:r w:rsidR="001D5AD2" w:rsidRPr="009720B4">
        <w:t xml:space="preserve">non OSG </w:t>
      </w:r>
      <w:r w:rsidR="009C31FB" w:rsidRPr="009720B4">
        <w:t xml:space="preserve">du SFS pourraient </w:t>
      </w:r>
      <w:r w:rsidR="001D5AD2" w:rsidRPr="009720B4">
        <w:t>être fondés sur</w:t>
      </w:r>
      <w:r w:rsidR="009C31FB" w:rsidRPr="009720B4">
        <w:t xml:space="preserve"> plusieurs fiches de notifications pour les mêmes bandes de fréquences</w:t>
      </w:r>
      <w:r w:rsidRPr="009720B4">
        <w:t>;</w:t>
      </w:r>
    </w:p>
    <w:p w14:paraId="002B64F4" w14:textId="4337556D" w:rsidR="00487EF0" w:rsidRPr="009720B4" w:rsidRDefault="00487EF0" w:rsidP="0051273B">
      <w:r w:rsidRPr="009720B4">
        <w:rPr>
          <w:i/>
          <w:iCs/>
        </w:rPr>
        <w:t>m)</w:t>
      </w:r>
      <w:r w:rsidRPr="009720B4">
        <w:tab/>
      </w:r>
      <w:r w:rsidR="009C31FB" w:rsidRPr="009720B4">
        <w:t>qu'à l'heure actuelle, le Bureau des radiocommunications (</w:t>
      </w:r>
      <w:r w:rsidR="001D5AD2" w:rsidRPr="009720B4">
        <w:t>BR</w:t>
      </w:r>
      <w:r w:rsidR="009C31FB" w:rsidRPr="009720B4">
        <w:t xml:space="preserve">) évalue la conformité </w:t>
      </w:r>
      <w:r w:rsidR="001D5AD2" w:rsidRPr="009720B4">
        <w:t>aux</w:t>
      </w:r>
      <w:r w:rsidR="009C31FB" w:rsidRPr="009720B4">
        <w:t xml:space="preserve"> limites de l'Article </w:t>
      </w:r>
      <w:r w:rsidR="009C31FB" w:rsidRPr="009720B4">
        <w:rPr>
          <w:b/>
        </w:rPr>
        <w:t>22</w:t>
      </w:r>
      <w:r w:rsidR="009C31FB" w:rsidRPr="009720B4">
        <w:t xml:space="preserve"> pour une seule source de brouillage sur la base de fiches de notification individuelles</w:t>
      </w:r>
      <w:r w:rsidRPr="009720B4">
        <w:t>;</w:t>
      </w:r>
    </w:p>
    <w:p w14:paraId="211353BC" w14:textId="50D4EB19" w:rsidR="00487EF0" w:rsidRPr="009720B4" w:rsidRDefault="00487EF0" w:rsidP="0051273B">
      <w:r w:rsidRPr="009720B4">
        <w:rPr>
          <w:i/>
          <w:iCs/>
        </w:rPr>
        <w:t>n)</w:t>
      </w:r>
      <w:r w:rsidRPr="009720B4">
        <w:tab/>
      </w:r>
      <w:r w:rsidR="009C31FB" w:rsidRPr="009720B4">
        <w:t xml:space="preserve">que les systèmes OSG et non OSG </w:t>
      </w:r>
      <w:r w:rsidR="001D5AD2" w:rsidRPr="009720B4">
        <w:t xml:space="preserve">du SFS </w:t>
      </w:r>
      <w:r w:rsidR="009C31FB" w:rsidRPr="009720B4">
        <w:t xml:space="preserve">pourraient bénéficier d'un examen actualisé de la mise en œuvre des limites d'epfd de l'Article </w:t>
      </w:r>
      <w:r w:rsidR="009C31FB" w:rsidRPr="009720B4">
        <w:rPr>
          <w:b/>
        </w:rPr>
        <w:t>22</w:t>
      </w:r>
      <w:r w:rsidR="009C31FB" w:rsidRPr="009720B4">
        <w:t>, conformément au</w:t>
      </w:r>
      <w:r w:rsidR="001D5AD2" w:rsidRPr="009720B4">
        <w:t xml:space="preserve"> </w:t>
      </w:r>
      <w:r w:rsidR="0048152F" w:rsidRPr="009720B4">
        <w:t xml:space="preserve">numéro </w:t>
      </w:r>
      <w:r w:rsidR="0048152F" w:rsidRPr="009720B4">
        <w:rPr>
          <w:b/>
        </w:rPr>
        <w:t>22.2</w:t>
      </w:r>
      <w:r w:rsidRPr="009720B4">
        <w:t>,</w:t>
      </w:r>
    </w:p>
    <w:p w14:paraId="198C1351" w14:textId="134BE3F7" w:rsidR="00487EF0" w:rsidRPr="009720B4" w:rsidRDefault="00487EF0" w:rsidP="0051273B">
      <w:pPr>
        <w:pStyle w:val="Call"/>
      </w:pPr>
      <w:r w:rsidRPr="009720B4">
        <w:t>notant</w:t>
      </w:r>
    </w:p>
    <w:p w14:paraId="6AE3B63A" w14:textId="7076C83B" w:rsidR="00487EF0" w:rsidRPr="009720B4" w:rsidRDefault="00073C5F" w:rsidP="0051273B">
      <w:r w:rsidRPr="009720B4">
        <w:t xml:space="preserve">que les Recommandations UIT-R S.1323, S.1325, S.1328, S.1529, S.1557 et S.2131, </w:t>
      </w:r>
      <w:r w:rsidR="0048152F" w:rsidRPr="009720B4">
        <w:t xml:space="preserve">entre autres, </w:t>
      </w:r>
      <w:r w:rsidRPr="009720B4">
        <w:t xml:space="preserve">fournissent des informations sur les caractéristiques, les exigences opérationnelles et les critères de protection des systèmes, </w:t>
      </w:r>
      <w:r w:rsidR="0048152F" w:rsidRPr="009720B4">
        <w:t>qui peuvent être utilisées</w:t>
      </w:r>
      <w:r w:rsidRPr="009720B4">
        <w:t xml:space="preserve"> dans les études de partage,</w:t>
      </w:r>
    </w:p>
    <w:p w14:paraId="2C5F138E" w14:textId="77777777" w:rsidR="00487EF0" w:rsidRPr="009720B4" w:rsidRDefault="00487EF0" w:rsidP="0051273B">
      <w:pPr>
        <w:pStyle w:val="Call"/>
      </w:pPr>
      <w:r w:rsidRPr="009720B4">
        <w:t>reconnaissant</w:t>
      </w:r>
    </w:p>
    <w:p w14:paraId="567DE702" w14:textId="5556E414" w:rsidR="00487EF0" w:rsidRPr="009720B4" w:rsidRDefault="00487EF0" w:rsidP="0051273B">
      <w:r w:rsidRPr="009720B4">
        <w:rPr>
          <w:i/>
        </w:rPr>
        <w:t>a)</w:t>
      </w:r>
      <w:r w:rsidRPr="009720B4">
        <w:tab/>
      </w:r>
      <w:r w:rsidR="00E50EF2" w:rsidRPr="009720B4">
        <w:t>que</w:t>
      </w:r>
      <w:r w:rsidR="001D5AD2" w:rsidRPr="009720B4">
        <w:t>,</w:t>
      </w:r>
      <w:r w:rsidR="00E50EF2" w:rsidRPr="009720B4">
        <w:t xml:space="preserve"> conformément au numéro </w:t>
      </w:r>
      <w:r w:rsidR="00E50EF2" w:rsidRPr="009720B4">
        <w:rPr>
          <w:b/>
        </w:rPr>
        <w:t>22.2</w:t>
      </w:r>
      <w:r w:rsidR="00E50EF2" w:rsidRPr="009720B4">
        <w:t xml:space="preserve">, les systèmes non OSG ne doivent pas causer de brouillages inacceptables aux réseaux </w:t>
      </w:r>
      <w:r w:rsidR="001D5AD2" w:rsidRPr="009720B4">
        <w:t xml:space="preserve">OSG </w:t>
      </w:r>
      <w:r w:rsidR="00E50EF2" w:rsidRPr="009720B4">
        <w:t>du SFS et du SRS et ne doivent pas demander à bénéficier d'une protection vis-à-vis de ces réseaux</w:t>
      </w:r>
      <w:r w:rsidRPr="009720B4">
        <w:t>;</w:t>
      </w:r>
    </w:p>
    <w:p w14:paraId="371408F3" w14:textId="1880FB8C" w:rsidR="00487EF0" w:rsidRPr="009720B4" w:rsidRDefault="00487EF0" w:rsidP="0051273B">
      <w:r w:rsidRPr="009720B4">
        <w:rPr>
          <w:i/>
        </w:rPr>
        <w:t>b</w:t>
      </w:r>
      <w:r w:rsidRPr="009720B4">
        <w:rPr>
          <w:i/>
          <w:iCs/>
        </w:rPr>
        <w:t>)</w:t>
      </w:r>
      <w:r w:rsidRPr="009720B4">
        <w:tab/>
      </w:r>
      <w:r w:rsidR="00E50EF2" w:rsidRPr="009720B4">
        <w:t xml:space="preserve">que les limites d'epfd établies dans l'Article </w:t>
      </w:r>
      <w:r w:rsidR="00E50EF2" w:rsidRPr="009720B4">
        <w:rPr>
          <w:b/>
        </w:rPr>
        <w:t>22</w:t>
      </w:r>
      <w:r w:rsidR="00E50EF2" w:rsidRPr="009720B4">
        <w:t xml:space="preserve"> et dans la Résolution </w:t>
      </w:r>
      <w:r w:rsidR="00E50EF2" w:rsidRPr="009720B4">
        <w:rPr>
          <w:b/>
        </w:rPr>
        <w:t>76 (Rév.CMR-15)</w:t>
      </w:r>
      <w:r w:rsidR="00E50EF2" w:rsidRPr="009720B4">
        <w:t xml:space="preserve"> s'appliquent aux systèmes </w:t>
      </w:r>
      <w:r w:rsidR="005E5C82" w:rsidRPr="009720B4">
        <w:t xml:space="preserve">non OSG </w:t>
      </w:r>
      <w:r w:rsidR="00E50EF2" w:rsidRPr="009720B4">
        <w:t>du SFS</w:t>
      </w:r>
      <w:r w:rsidR="005E5C82" w:rsidRPr="009720B4">
        <w:t>,</w:t>
      </w:r>
      <w:r w:rsidR="00E50EF2" w:rsidRPr="009720B4">
        <w:t xml:space="preserve"> afin de protéger les réseaux à satellite </w:t>
      </w:r>
      <w:r w:rsidR="005E5C82" w:rsidRPr="009720B4">
        <w:t xml:space="preserve">OSG </w:t>
      </w:r>
      <w:r w:rsidR="00E50EF2" w:rsidRPr="009720B4">
        <w:t xml:space="preserve">du SFS et du SRS contre les brouillages inacceptables causés par </w:t>
      </w:r>
      <w:r w:rsidR="005E5C82" w:rsidRPr="009720B4">
        <w:t xml:space="preserve">les </w:t>
      </w:r>
      <w:r w:rsidR="00E50EF2" w:rsidRPr="009720B4">
        <w:t>systèmes à satellites non OSG</w:t>
      </w:r>
      <w:r w:rsidR="005E5C82" w:rsidRPr="009720B4">
        <w:t xml:space="preserve"> du SFS</w:t>
      </w:r>
      <w:r w:rsidRPr="009720B4">
        <w:t>;</w:t>
      </w:r>
    </w:p>
    <w:p w14:paraId="4C1BD34B" w14:textId="50A8F7D0" w:rsidR="00487EF0" w:rsidRPr="009720B4" w:rsidRDefault="00487EF0" w:rsidP="0051273B">
      <w:pPr>
        <w:rPr>
          <w:szCs w:val="24"/>
        </w:rPr>
      </w:pPr>
      <w:r w:rsidRPr="009720B4">
        <w:rPr>
          <w:i/>
          <w:szCs w:val="24"/>
        </w:rPr>
        <w:t>c)</w:t>
      </w:r>
      <w:r w:rsidRPr="009720B4">
        <w:rPr>
          <w:szCs w:val="24"/>
        </w:rPr>
        <w:tab/>
      </w:r>
      <w:r w:rsidR="00D60234" w:rsidRPr="009720B4">
        <w:rPr>
          <w:szCs w:val="24"/>
        </w:rPr>
        <w:t>que la CMR-2000 a adopté des dispositions, y compris des limites d'epfd</w:t>
      </w:r>
      <w:r w:rsidR="005E5C82" w:rsidRPr="009720B4">
        <w:rPr>
          <w:szCs w:val="24"/>
        </w:rPr>
        <w:t xml:space="preserve"> </w:t>
      </w:r>
      <w:r w:rsidR="00D60234" w:rsidRPr="009720B4">
        <w:rPr>
          <w:szCs w:val="24"/>
        </w:rPr>
        <w:t xml:space="preserve">dans les dispositions pertinentes du numéro </w:t>
      </w:r>
      <w:r w:rsidR="00D60234" w:rsidRPr="009720B4">
        <w:rPr>
          <w:b/>
          <w:szCs w:val="24"/>
        </w:rPr>
        <w:t>22.5</w:t>
      </w:r>
      <w:r w:rsidR="005E5C82" w:rsidRPr="009720B4">
        <w:rPr>
          <w:szCs w:val="24"/>
        </w:rPr>
        <w:t>, pour</w:t>
      </w:r>
      <w:r w:rsidR="00D60234" w:rsidRPr="009720B4">
        <w:rPr>
          <w:szCs w:val="24"/>
        </w:rPr>
        <w:t xml:space="preserve"> quantifier le numéro </w:t>
      </w:r>
      <w:r w:rsidR="00D60234" w:rsidRPr="009720B4">
        <w:rPr>
          <w:b/>
          <w:szCs w:val="24"/>
        </w:rPr>
        <w:t>22.2</w:t>
      </w:r>
      <w:r w:rsidR="00D60234" w:rsidRPr="009720B4">
        <w:rPr>
          <w:szCs w:val="24"/>
        </w:rPr>
        <w:t>, afin de protéger les réseaux à satellite</w:t>
      </w:r>
      <w:r w:rsidR="005E5C82" w:rsidRPr="009720B4">
        <w:rPr>
          <w:szCs w:val="24"/>
        </w:rPr>
        <w:t xml:space="preserve"> OSG</w:t>
      </w:r>
      <w:r w:rsidR="00D60234" w:rsidRPr="009720B4">
        <w:rPr>
          <w:szCs w:val="24"/>
        </w:rPr>
        <w:t xml:space="preserve"> du SFS et du SRS vis-à-vis des systèmes à satellites</w:t>
      </w:r>
      <w:r w:rsidR="005E5C82" w:rsidRPr="009720B4">
        <w:rPr>
          <w:szCs w:val="24"/>
        </w:rPr>
        <w:t xml:space="preserve"> non OSG</w:t>
      </w:r>
      <w:r w:rsidR="00D60234" w:rsidRPr="009720B4">
        <w:rPr>
          <w:szCs w:val="24"/>
        </w:rPr>
        <w:t xml:space="preserve"> du SFS dans les bandes de fréquences au-dessous de 30 GHz dans lesquelles les limites d'epfd de l'Article </w:t>
      </w:r>
      <w:r w:rsidR="00D60234" w:rsidRPr="009720B4">
        <w:rPr>
          <w:b/>
          <w:szCs w:val="24"/>
        </w:rPr>
        <w:t>22</w:t>
      </w:r>
      <w:r w:rsidR="00D60234" w:rsidRPr="009720B4">
        <w:rPr>
          <w:szCs w:val="24"/>
        </w:rPr>
        <w:t xml:space="preserve"> s'appliquent</w:t>
      </w:r>
      <w:r w:rsidRPr="009720B4">
        <w:rPr>
          <w:szCs w:val="24"/>
        </w:rPr>
        <w:t>;</w:t>
      </w:r>
    </w:p>
    <w:p w14:paraId="6285D41D" w14:textId="4BCC3EEA" w:rsidR="00487EF0" w:rsidRPr="009720B4" w:rsidRDefault="00487EF0" w:rsidP="0051273B">
      <w:pPr>
        <w:rPr>
          <w:szCs w:val="24"/>
        </w:rPr>
      </w:pPr>
      <w:r w:rsidRPr="009720B4">
        <w:rPr>
          <w:i/>
          <w:szCs w:val="24"/>
        </w:rPr>
        <w:lastRenderedPageBreak/>
        <w:t>d)</w:t>
      </w:r>
      <w:r w:rsidRPr="009720B4">
        <w:rPr>
          <w:szCs w:val="24"/>
        </w:rPr>
        <w:tab/>
      </w:r>
      <w:r w:rsidR="00D60234" w:rsidRPr="009720B4">
        <w:rPr>
          <w:szCs w:val="24"/>
        </w:rPr>
        <w:t xml:space="preserve">que l'Article </w:t>
      </w:r>
      <w:r w:rsidR="00D60234" w:rsidRPr="009720B4">
        <w:rPr>
          <w:b/>
          <w:szCs w:val="24"/>
        </w:rPr>
        <w:t>22</w:t>
      </w:r>
      <w:r w:rsidR="00D60234" w:rsidRPr="009720B4">
        <w:rPr>
          <w:szCs w:val="24"/>
        </w:rPr>
        <w:t xml:space="preserve"> et la Résolution </w:t>
      </w:r>
      <w:r w:rsidR="00D60234" w:rsidRPr="009720B4">
        <w:rPr>
          <w:b/>
          <w:szCs w:val="24"/>
        </w:rPr>
        <w:t>76 (</w:t>
      </w:r>
      <w:r w:rsidR="001323BB" w:rsidRPr="009720B4">
        <w:rPr>
          <w:b/>
          <w:szCs w:val="24"/>
        </w:rPr>
        <w:t>Rév.CMR-15</w:t>
      </w:r>
      <w:r w:rsidR="00D60234" w:rsidRPr="009720B4">
        <w:rPr>
          <w:b/>
          <w:szCs w:val="24"/>
        </w:rPr>
        <w:t>)</w:t>
      </w:r>
      <w:r w:rsidR="00D60234" w:rsidRPr="009720B4">
        <w:rPr>
          <w:szCs w:val="24"/>
        </w:rPr>
        <w:t xml:space="preserve"> du Règlement des radiocommunications contiennent des dispositions qui </w:t>
      </w:r>
      <w:r w:rsidR="005E5C82" w:rsidRPr="009720B4">
        <w:rPr>
          <w:szCs w:val="24"/>
        </w:rPr>
        <w:t>comportent des limites de</w:t>
      </w:r>
      <w:r w:rsidR="00D60234" w:rsidRPr="009720B4">
        <w:rPr>
          <w:szCs w:val="24"/>
        </w:rPr>
        <w:t xml:space="preserve"> puissance surfacique équivalente sur la liaison montante, la liaison descendante et les liaisons inter-satellites (epfd↑, epfd↓, et epfd</w:t>
      </w:r>
      <w:r w:rsidR="00D60234" w:rsidRPr="009720B4">
        <w:rPr>
          <w:szCs w:val="24"/>
          <w:vertAlign w:val="subscript"/>
        </w:rPr>
        <w:t>is</w:t>
      </w:r>
      <w:r w:rsidR="00D60234" w:rsidRPr="009720B4">
        <w:rPr>
          <w:szCs w:val="24"/>
        </w:rPr>
        <w:t>);</w:t>
      </w:r>
      <w:r w:rsidR="007623E2" w:rsidRPr="009720B4">
        <w:rPr>
          <w:szCs w:val="24"/>
        </w:rPr>
        <w:t xml:space="preserve"> </w:t>
      </w:r>
      <w:r w:rsidR="00D60234" w:rsidRPr="009720B4">
        <w:rPr>
          <w:szCs w:val="24"/>
        </w:rPr>
        <w:t xml:space="preserve">et qu'une administration exploitant un système </w:t>
      </w:r>
      <w:r w:rsidR="005E5C82" w:rsidRPr="009720B4">
        <w:rPr>
          <w:szCs w:val="24"/>
        </w:rPr>
        <w:t xml:space="preserve">non OSG </w:t>
      </w:r>
      <w:r w:rsidR="00D60234" w:rsidRPr="009720B4">
        <w:rPr>
          <w:szCs w:val="24"/>
        </w:rPr>
        <w:t xml:space="preserve">du SFS conformément à ces limites est réputée avoir rempli ses obligations au titre du numéro </w:t>
      </w:r>
      <w:r w:rsidR="00D60234" w:rsidRPr="009720B4">
        <w:rPr>
          <w:b/>
          <w:szCs w:val="24"/>
        </w:rPr>
        <w:t>22.2</w:t>
      </w:r>
      <w:r w:rsidR="007623E2" w:rsidRPr="009720B4">
        <w:rPr>
          <w:szCs w:val="24"/>
        </w:rPr>
        <w:t>;</w:t>
      </w:r>
    </w:p>
    <w:p w14:paraId="43273DA4" w14:textId="6FAA7E6D" w:rsidR="00487EF0" w:rsidRPr="009720B4" w:rsidRDefault="00487EF0" w:rsidP="0051273B">
      <w:pPr>
        <w:rPr>
          <w:szCs w:val="24"/>
        </w:rPr>
      </w:pPr>
      <w:r w:rsidRPr="009720B4">
        <w:rPr>
          <w:rFonts w:eastAsia="Calibri"/>
          <w:bCs/>
          <w:i/>
          <w:iCs/>
          <w:szCs w:val="24"/>
        </w:rPr>
        <w:t>e)</w:t>
      </w:r>
      <w:r w:rsidRPr="009720B4">
        <w:rPr>
          <w:rFonts w:eastAsia="Calibri"/>
          <w:bCs/>
          <w:szCs w:val="24"/>
        </w:rPr>
        <w:tab/>
      </w:r>
      <w:r w:rsidR="00D60234" w:rsidRPr="009720B4">
        <w:rPr>
          <w:rFonts w:eastAsia="Calibri"/>
          <w:bCs/>
          <w:szCs w:val="24"/>
        </w:rPr>
        <w:t xml:space="preserve">que toute révision des limites d'epfd de l'Article </w:t>
      </w:r>
      <w:r w:rsidR="00D60234" w:rsidRPr="009720B4">
        <w:rPr>
          <w:rFonts w:eastAsia="Calibri"/>
          <w:b/>
          <w:bCs/>
          <w:szCs w:val="24"/>
        </w:rPr>
        <w:t>22</w:t>
      </w:r>
      <w:r w:rsidR="00D60234" w:rsidRPr="009720B4">
        <w:rPr>
          <w:rFonts w:eastAsia="Calibri"/>
          <w:bCs/>
          <w:szCs w:val="24"/>
        </w:rPr>
        <w:t xml:space="preserve"> doit permettre de protéger les réseaux à satellite OSG du SFS et du SRS, conformément au numéro</w:t>
      </w:r>
      <w:r w:rsidR="00D60234" w:rsidRPr="009720B4">
        <w:rPr>
          <w:rFonts w:eastAsia="Calibri"/>
          <w:b/>
          <w:bCs/>
          <w:szCs w:val="24"/>
        </w:rPr>
        <w:t xml:space="preserve"> </w:t>
      </w:r>
      <w:r w:rsidR="007623E2" w:rsidRPr="009720B4">
        <w:rPr>
          <w:rFonts w:eastAsia="Calibri"/>
          <w:b/>
          <w:bCs/>
          <w:szCs w:val="24"/>
        </w:rPr>
        <w:t>22.2</w:t>
      </w:r>
      <w:r w:rsidR="007623E2" w:rsidRPr="009720B4">
        <w:rPr>
          <w:rFonts w:eastAsia="Calibri"/>
          <w:bCs/>
          <w:szCs w:val="24"/>
        </w:rPr>
        <w:t xml:space="preserve"> du RR</w:t>
      </w:r>
      <w:r w:rsidRPr="009720B4">
        <w:rPr>
          <w:rFonts w:eastAsia="Calibri"/>
          <w:bCs/>
          <w:szCs w:val="24"/>
        </w:rPr>
        <w:t>;</w:t>
      </w:r>
    </w:p>
    <w:p w14:paraId="5374A600" w14:textId="519E2CA6" w:rsidR="00487EF0" w:rsidRPr="009720B4" w:rsidRDefault="00487EF0" w:rsidP="0051273B">
      <w:pPr>
        <w:rPr>
          <w:rFonts w:eastAsia="Calibri"/>
          <w:szCs w:val="24"/>
        </w:rPr>
      </w:pPr>
      <w:r w:rsidRPr="009720B4">
        <w:rPr>
          <w:rFonts w:eastAsia="Calibri"/>
          <w:i/>
          <w:iCs/>
          <w:szCs w:val="24"/>
        </w:rPr>
        <w:t>f</w:t>
      </w:r>
      <w:r w:rsidRPr="009720B4">
        <w:rPr>
          <w:rFonts w:eastAsia="Calibri"/>
          <w:szCs w:val="24"/>
        </w:rPr>
        <w:t>)</w:t>
      </w:r>
      <w:r w:rsidRPr="009720B4">
        <w:rPr>
          <w:rFonts w:eastAsia="Calibri"/>
          <w:szCs w:val="24"/>
        </w:rPr>
        <w:tab/>
      </w:r>
      <w:r w:rsidR="001323BB" w:rsidRPr="009720B4">
        <w:rPr>
          <w:rFonts w:eastAsia="Calibri"/>
          <w:szCs w:val="24"/>
        </w:rPr>
        <w:t>que la CMR-2000 est convenue qu'une protection</w:t>
      </w:r>
      <w:r w:rsidR="005E5C82" w:rsidRPr="009720B4">
        <w:rPr>
          <w:rFonts w:eastAsia="Calibri"/>
          <w:szCs w:val="24"/>
        </w:rPr>
        <w:t xml:space="preserve"> additionnelle </w:t>
      </w:r>
      <w:r w:rsidR="001323BB" w:rsidRPr="009720B4">
        <w:rPr>
          <w:rFonts w:eastAsia="Calibri"/>
          <w:szCs w:val="24"/>
        </w:rPr>
        <w:t xml:space="preserve">supérieure à celle </w:t>
      </w:r>
      <w:r w:rsidR="005E5C82" w:rsidRPr="009720B4">
        <w:rPr>
          <w:rFonts w:eastAsia="Calibri"/>
          <w:szCs w:val="24"/>
        </w:rPr>
        <w:t>qu'offre</w:t>
      </w:r>
      <w:r w:rsidR="001323BB" w:rsidRPr="009720B4">
        <w:rPr>
          <w:rFonts w:eastAsia="Calibri"/>
          <w:szCs w:val="24"/>
        </w:rPr>
        <w:t xml:space="preserve"> les limites d'epfd↓ dans les parties des bandes de fréquences </w:t>
      </w:r>
      <w:r w:rsidR="005E5C82" w:rsidRPr="009720B4">
        <w:rPr>
          <w:rFonts w:eastAsia="Calibri"/>
          <w:szCs w:val="24"/>
        </w:rPr>
        <w:t xml:space="preserve">des </w:t>
      </w:r>
      <w:r w:rsidR="001323BB" w:rsidRPr="009720B4">
        <w:rPr>
          <w:rFonts w:eastAsia="Calibri"/>
          <w:szCs w:val="24"/>
        </w:rPr>
        <w:t xml:space="preserve">30/20 GHz dans lesquelles les limites d'epfd de l'Article </w:t>
      </w:r>
      <w:r w:rsidR="001323BB" w:rsidRPr="009720B4">
        <w:rPr>
          <w:rFonts w:eastAsia="Calibri"/>
          <w:b/>
          <w:szCs w:val="24"/>
        </w:rPr>
        <w:t>22</w:t>
      </w:r>
      <w:r w:rsidR="001323BB" w:rsidRPr="009720B4">
        <w:rPr>
          <w:rFonts w:eastAsia="Calibri"/>
          <w:szCs w:val="24"/>
        </w:rPr>
        <w:t xml:space="preserve"> s'appliquent</w:t>
      </w:r>
      <w:r w:rsidR="005E5C82" w:rsidRPr="009720B4">
        <w:rPr>
          <w:rFonts w:eastAsia="Calibri"/>
          <w:szCs w:val="24"/>
        </w:rPr>
        <w:t xml:space="preserve"> était </w:t>
      </w:r>
      <w:r w:rsidR="001323BB" w:rsidRPr="009720B4">
        <w:rPr>
          <w:rFonts w:eastAsia="Calibri"/>
          <w:szCs w:val="24"/>
        </w:rPr>
        <w:t xml:space="preserve">nécessaire pour certains réseaux </w:t>
      </w:r>
      <w:r w:rsidR="005E5C82" w:rsidRPr="009720B4">
        <w:rPr>
          <w:rFonts w:eastAsia="Calibri"/>
          <w:szCs w:val="24"/>
        </w:rPr>
        <w:t xml:space="preserve">OSG </w:t>
      </w:r>
      <w:r w:rsidR="001323BB" w:rsidRPr="009720B4">
        <w:rPr>
          <w:rFonts w:eastAsia="Calibri"/>
          <w:szCs w:val="24"/>
        </w:rPr>
        <w:t xml:space="preserve">du SFS </w:t>
      </w:r>
      <w:r w:rsidR="005E5C82" w:rsidRPr="009720B4">
        <w:rPr>
          <w:rFonts w:eastAsia="Calibri"/>
          <w:szCs w:val="24"/>
        </w:rPr>
        <w:t xml:space="preserve">comprenant </w:t>
      </w:r>
      <w:r w:rsidR="001323BB" w:rsidRPr="009720B4">
        <w:rPr>
          <w:rFonts w:eastAsia="Calibri"/>
          <w:szCs w:val="24"/>
        </w:rPr>
        <w:t xml:space="preserve">des stations terriennes de réception spécifiques </w:t>
      </w:r>
      <w:r w:rsidR="005E5C82" w:rsidRPr="009720B4">
        <w:rPr>
          <w:rFonts w:eastAsia="Calibri"/>
          <w:szCs w:val="24"/>
        </w:rPr>
        <w:t xml:space="preserve">dotées </w:t>
      </w:r>
      <w:r w:rsidR="001323BB" w:rsidRPr="009720B4">
        <w:rPr>
          <w:rFonts w:eastAsia="Calibri"/>
          <w:szCs w:val="24"/>
        </w:rPr>
        <w:t xml:space="preserve">de très grandes antennes et </w:t>
      </w:r>
      <w:r w:rsidR="005E5C82" w:rsidRPr="009720B4">
        <w:rPr>
          <w:rFonts w:eastAsia="Calibri"/>
          <w:szCs w:val="24"/>
        </w:rPr>
        <w:t xml:space="preserve">qu'elle a adopté, </w:t>
      </w:r>
      <w:r w:rsidR="001323BB" w:rsidRPr="009720B4">
        <w:rPr>
          <w:rFonts w:eastAsia="Calibri"/>
          <w:szCs w:val="24"/>
        </w:rPr>
        <w:t xml:space="preserve">pour assurer cette protection </w:t>
      </w:r>
      <w:r w:rsidR="005E5C82" w:rsidRPr="009720B4">
        <w:rPr>
          <w:rFonts w:eastAsia="Calibri"/>
          <w:szCs w:val="24"/>
        </w:rPr>
        <w:t>additionnelle</w:t>
      </w:r>
      <w:r w:rsidR="001323BB" w:rsidRPr="009720B4">
        <w:rPr>
          <w:rFonts w:eastAsia="Calibri"/>
          <w:szCs w:val="24"/>
        </w:rPr>
        <w:t>, une procédure permettant de déterminer la nécessité d'une coordination au titre des numéros</w:t>
      </w:r>
      <w:r w:rsidR="002A1007" w:rsidRPr="009720B4">
        <w:rPr>
          <w:rFonts w:eastAsia="BatangChe"/>
        </w:rPr>
        <w:t xml:space="preserve"> </w:t>
      </w:r>
      <w:r w:rsidR="002A1007" w:rsidRPr="009720B4">
        <w:rPr>
          <w:rFonts w:eastAsia="BatangChe"/>
          <w:b/>
        </w:rPr>
        <w:t>9.7A</w:t>
      </w:r>
      <w:r w:rsidR="002A1007" w:rsidRPr="009720B4">
        <w:rPr>
          <w:rFonts w:eastAsia="BatangChe"/>
        </w:rPr>
        <w:t xml:space="preserve"> et </w:t>
      </w:r>
      <w:r w:rsidR="002A1007" w:rsidRPr="009720B4">
        <w:rPr>
          <w:rFonts w:eastAsia="BatangChe"/>
          <w:b/>
        </w:rPr>
        <w:t>9.7B</w:t>
      </w:r>
      <w:r w:rsidRPr="009720B4">
        <w:rPr>
          <w:rFonts w:eastAsia="Calibri"/>
          <w:szCs w:val="24"/>
        </w:rPr>
        <w:t>;</w:t>
      </w:r>
    </w:p>
    <w:p w14:paraId="49035157" w14:textId="1CA69B9B" w:rsidR="00487EF0" w:rsidRPr="009720B4" w:rsidRDefault="00487EF0" w:rsidP="0051273B">
      <w:pPr>
        <w:rPr>
          <w:rFonts w:eastAsia="Calibri"/>
          <w:szCs w:val="24"/>
        </w:rPr>
      </w:pPr>
      <w:r w:rsidRPr="009720B4">
        <w:rPr>
          <w:rFonts w:eastAsia="Calibri"/>
          <w:i/>
          <w:iCs/>
          <w:szCs w:val="24"/>
        </w:rPr>
        <w:t>g)</w:t>
      </w:r>
      <w:r w:rsidRPr="009720B4">
        <w:rPr>
          <w:rFonts w:eastAsia="Calibri"/>
          <w:szCs w:val="24"/>
        </w:rPr>
        <w:tab/>
      </w:r>
      <w:r w:rsidR="001323BB" w:rsidRPr="009720B4">
        <w:rPr>
          <w:rFonts w:eastAsia="Calibri"/>
          <w:szCs w:val="24"/>
        </w:rPr>
        <w:t>que la procédure permettant de déterminer si une coordination est nécessaire au titre des numéros </w:t>
      </w:r>
      <w:r w:rsidR="001323BB" w:rsidRPr="009720B4">
        <w:rPr>
          <w:rFonts w:eastAsia="Calibri"/>
          <w:b/>
          <w:szCs w:val="24"/>
        </w:rPr>
        <w:t>9.7A</w:t>
      </w:r>
      <w:r w:rsidR="001323BB" w:rsidRPr="009720B4">
        <w:rPr>
          <w:rFonts w:eastAsia="Calibri"/>
          <w:szCs w:val="24"/>
        </w:rPr>
        <w:t xml:space="preserve"> et </w:t>
      </w:r>
      <w:r w:rsidR="001323BB" w:rsidRPr="009720B4">
        <w:rPr>
          <w:rFonts w:eastAsia="Calibri"/>
          <w:b/>
          <w:szCs w:val="24"/>
        </w:rPr>
        <w:t>9.7B</w:t>
      </w:r>
      <w:r w:rsidR="001323BB" w:rsidRPr="009720B4">
        <w:rPr>
          <w:rFonts w:eastAsia="Calibri"/>
          <w:szCs w:val="24"/>
        </w:rPr>
        <w:t xml:space="preserve"> est fondée sur le chevauchement des largeurs de bande et les conditions </w:t>
      </w:r>
      <w:r w:rsidR="005E5C82" w:rsidRPr="009720B4">
        <w:rPr>
          <w:rFonts w:eastAsia="Calibri"/>
          <w:szCs w:val="24"/>
        </w:rPr>
        <w:t xml:space="preserve">prescrites </w:t>
      </w:r>
      <w:r w:rsidR="001323BB" w:rsidRPr="009720B4">
        <w:rPr>
          <w:rFonts w:eastAsia="Calibri"/>
          <w:szCs w:val="24"/>
        </w:rPr>
        <w:t xml:space="preserve">dans l'Appendice </w:t>
      </w:r>
      <w:r w:rsidR="001323BB" w:rsidRPr="009720B4">
        <w:rPr>
          <w:rFonts w:eastAsia="Calibri"/>
          <w:b/>
          <w:szCs w:val="24"/>
        </w:rPr>
        <w:t>5</w:t>
      </w:r>
      <w:r w:rsidR="001323BB" w:rsidRPr="009720B4">
        <w:rPr>
          <w:rFonts w:eastAsia="Calibri"/>
          <w:szCs w:val="24"/>
        </w:rPr>
        <w:t xml:space="preserve"> pour le gain isotrope maximal de l'antenne de la station terrienne du SFS OSG, le facteur G/T et la largeur de bande d'émission et l'epfd↓ rayonnée par le système à satellites </w:t>
      </w:r>
      <w:r w:rsidR="005E5C82" w:rsidRPr="009720B4">
        <w:rPr>
          <w:rFonts w:eastAsia="Calibri"/>
          <w:szCs w:val="24"/>
        </w:rPr>
        <w:t xml:space="preserve">non OSG </w:t>
      </w:r>
      <w:r w:rsidR="001323BB" w:rsidRPr="009720B4">
        <w:rPr>
          <w:rFonts w:eastAsia="Calibri"/>
          <w:szCs w:val="24"/>
        </w:rPr>
        <w:t>du SFS vers la station terrienne utilisant</w:t>
      </w:r>
      <w:r w:rsidR="005E5C82" w:rsidRPr="009720B4">
        <w:rPr>
          <w:rFonts w:eastAsia="Calibri"/>
          <w:szCs w:val="24"/>
        </w:rPr>
        <w:t xml:space="preserve"> une </w:t>
      </w:r>
      <w:r w:rsidR="001323BB" w:rsidRPr="009720B4">
        <w:rPr>
          <w:rFonts w:eastAsia="Calibri"/>
          <w:szCs w:val="24"/>
        </w:rPr>
        <w:t>très grande antenne</w:t>
      </w:r>
      <w:r w:rsidRPr="009720B4">
        <w:rPr>
          <w:rFonts w:eastAsia="Calibri"/>
          <w:szCs w:val="24"/>
        </w:rPr>
        <w:t>;</w:t>
      </w:r>
    </w:p>
    <w:p w14:paraId="6C5144BD" w14:textId="018A05A2" w:rsidR="00487EF0" w:rsidRPr="009720B4" w:rsidRDefault="00487EF0" w:rsidP="0051273B">
      <w:pPr>
        <w:rPr>
          <w:rFonts w:eastAsia="Calibri"/>
          <w:szCs w:val="24"/>
        </w:rPr>
      </w:pPr>
      <w:r w:rsidRPr="009720B4">
        <w:rPr>
          <w:rFonts w:eastAsia="Calibri"/>
          <w:i/>
          <w:iCs/>
          <w:szCs w:val="24"/>
        </w:rPr>
        <w:t>h)</w:t>
      </w:r>
      <w:r w:rsidRPr="009720B4">
        <w:rPr>
          <w:rFonts w:eastAsia="Calibri"/>
          <w:szCs w:val="24"/>
        </w:rPr>
        <w:tab/>
      </w:r>
      <w:r w:rsidR="001323BB" w:rsidRPr="009720B4">
        <w:rPr>
          <w:rFonts w:eastAsia="Calibri"/>
          <w:szCs w:val="24"/>
        </w:rPr>
        <w:t xml:space="preserve">que la Recommandation UIT-R S.1323 fournit des informations sur les prescriptions opérationnelles et les critères de protection qui peuvent être utilisés dans les études de partage </w:t>
      </w:r>
      <w:r w:rsidR="005E5C82" w:rsidRPr="009720B4">
        <w:rPr>
          <w:rFonts w:eastAsia="Calibri"/>
          <w:szCs w:val="24"/>
        </w:rPr>
        <w:t xml:space="preserve">fondées sur les limites </w:t>
      </w:r>
      <w:r w:rsidR="001323BB" w:rsidRPr="009720B4">
        <w:rPr>
          <w:rFonts w:eastAsia="Calibri"/>
          <w:szCs w:val="24"/>
        </w:rPr>
        <w:t>d'epfd</w:t>
      </w:r>
      <w:r w:rsidRPr="009720B4">
        <w:rPr>
          <w:rFonts w:eastAsia="Calibri"/>
          <w:szCs w:val="24"/>
        </w:rPr>
        <w:t>;</w:t>
      </w:r>
    </w:p>
    <w:p w14:paraId="63BE81A7" w14:textId="58AA1B33" w:rsidR="00487EF0" w:rsidRPr="009720B4" w:rsidRDefault="00487EF0" w:rsidP="0051273B">
      <w:pPr>
        <w:rPr>
          <w:rFonts w:eastAsia="Calibri"/>
          <w:szCs w:val="24"/>
        </w:rPr>
      </w:pPr>
      <w:r w:rsidRPr="009720B4">
        <w:rPr>
          <w:rFonts w:eastAsia="Calibri"/>
          <w:i/>
          <w:iCs/>
          <w:szCs w:val="24"/>
        </w:rPr>
        <w:t>i)</w:t>
      </w:r>
      <w:r w:rsidRPr="009720B4">
        <w:rPr>
          <w:rFonts w:eastAsia="Calibri"/>
          <w:szCs w:val="24"/>
        </w:rPr>
        <w:tab/>
      </w:r>
      <w:r w:rsidR="001323BB" w:rsidRPr="009720B4">
        <w:rPr>
          <w:rFonts w:eastAsia="Calibri"/>
          <w:szCs w:val="24"/>
        </w:rPr>
        <w:t xml:space="preserve">que les limites d'epfd </w:t>
      </w:r>
      <w:r w:rsidR="005E5C82" w:rsidRPr="009720B4">
        <w:rPr>
          <w:rFonts w:eastAsia="Calibri"/>
          <w:szCs w:val="24"/>
        </w:rPr>
        <w:t xml:space="preserve">indiquées </w:t>
      </w:r>
      <w:r w:rsidR="001323BB" w:rsidRPr="009720B4">
        <w:rPr>
          <w:rFonts w:eastAsia="Calibri"/>
          <w:szCs w:val="24"/>
        </w:rPr>
        <w:t xml:space="preserve">dans l'Article </w:t>
      </w:r>
      <w:r w:rsidR="001323BB" w:rsidRPr="009720B4">
        <w:rPr>
          <w:rFonts w:eastAsia="Calibri"/>
          <w:b/>
          <w:szCs w:val="24"/>
        </w:rPr>
        <w:t>22</w:t>
      </w:r>
      <w:r w:rsidR="001323BB" w:rsidRPr="009720B4">
        <w:rPr>
          <w:rFonts w:eastAsia="Calibri"/>
          <w:szCs w:val="24"/>
        </w:rPr>
        <w:t xml:space="preserve"> et</w:t>
      </w:r>
      <w:r w:rsidR="005E5C82" w:rsidRPr="009720B4">
        <w:rPr>
          <w:rFonts w:eastAsia="Calibri"/>
          <w:szCs w:val="24"/>
        </w:rPr>
        <w:t xml:space="preserve"> </w:t>
      </w:r>
      <w:r w:rsidR="001323BB" w:rsidRPr="009720B4">
        <w:rPr>
          <w:rFonts w:eastAsia="Calibri"/>
          <w:szCs w:val="24"/>
        </w:rPr>
        <w:t xml:space="preserve">la Résolution </w:t>
      </w:r>
      <w:r w:rsidR="001323BB" w:rsidRPr="009720B4">
        <w:rPr>
          <w:rFonts w:eastAsia="Calibri"/>
          <w:b/>
          <w:szCs w:val="24"/>
        </w:rPr>
        <w:t>76 (Rév.CMR-15)</w:t>
      </w:r>
      <w:r w:rsidR="001323BB" w:rsidRPr="009720B4">
        <w:rPr>
          <w:rFonts w:eastAsia="Calibri"/>
          <w:szCs w:val="24"/>
        </w:rPr>
        <w:t xml:space="preserve"> ont été </w:t>
      </w:r>
      <w:r w:rsidR="005E5C82" w:rsidRPr="009720B4">
        <w:rPr>
          <w:rFonts w:eastAsia="Calibri"/>
          <w:szCs w:val="24"/>
        </w:rPr>
        <w:t xml:space="preserve">établies en tenant </w:t>
      </w:r>
      <w:r w:rsidR="001323BB" w:rsidRPr="009720B4">
        <w:rPr>
          <w:rFonts w:eastAsia="Calibri"/>
          <w:szCs w:val="24"/>
        </w:rPr>
        <w:t>compte</w:t>
      </w:r>
      <w:r w:rsidR="005E5C82" w:rsidRPr="009720B4">
        <w:rPr>
          <w:rFonts w:eastAsia="Calibri"/>
          <w:szCs w:val="24"/>
        </w:rPr>
        <w:t xml:space="preserve"> </w:t>
      </w:r>
      <w:r w:rsidR="001323BB" w:rsidRPr="009720B4">
        <w:rPr>
          <w:rFonts w:eastAsia="Calibri"/>
          <w:szCs w:val="24"/>
        </w:rPr>
        <w:t>d'un critère de protection à court terme uniquement</w:t>
      </w:r>
      <w:r w:rsidRPr="009720B4">
        <w:rPr>
          <w:rFonts w:eastAsia="Calibri"/>
          <w:szCs w:val="24"/>
        </w:rPr>
        <w:t>;</w:t>
      </w:r>
    </w:p>
    <w:p w14:paraId="28072F68" w14:textId="7130C68B" w:rsidR="00487EF0" w:rsidRPr="009720B4" w:rsidRDefault="00487EF0" w:rsidP="0051273B">
      <w:pPr>
        <w:rPr>
          <w:rFonts w:eastAsia="Calibri"/>
          <w:szCs w:val="24"/>
        </w:rPr>
      </w:pPr>
      <w:r w:rsidRPr="009720B4">
        <w:rPr>
          <w:rFonts w:eastAsia="Calibri"/>
          <w:i/>
          <w:iCs/>
          <w:szCs w:val="24"/>
        </w:rPr>
        <w:t>j)</w:t>
      </w:r>
      <w:r w:rsidRPr="009720B4">
        <w:rPr>
          <w:rFonts w:eastAsia="Calibri"/>
          <w:szCs w:val="24"/>
        </w:rPr>
        <w:tab/>
      </w:r>
      <w:r w:rsidR="001323BB" w:rsidRPr="009720B4">
        <w:rPr>
          <w:rFonts w:eastAsia="Calibri"/>
          <w:szCs w:val="24"/>
        </w:rPr>
        <w:t xml:space="preserve">que la CMR-19 adopté le numéro </w:t>
      </w:r>
      <w:r w:rsidR="001323BB" w:rsidRPr="009720B4">
        <w:rPr>
          <w:rFonts w:eastAsia="Calibri"/>
          <w:b/>
          <w:szCs w:val="24"/>
        </w:rPr>
        <w:t>22.5L</w:t>
      </w:r>
      <w:r w:rsidR="001323BB" w:rsidRPr="009720B4">
        <w:rPr>
          <w:rFonts w:eastAsia="Calibri"/>
          <w:szCs w:val="24"/>
        </w:rPr>
        <w:t xml:space="preserve"> et le numéro </w:t>
      </w:r>
      <w:r w:rsidR="001323BB" w:rsidRPr="009720B4">
        <w:rPr>
          <w:rFonts w:eastAsia="Calibri"/>
          <w:b/>
          <w:szCs w:val="24"/>
        </w:rPr>
        <w:t>22.5M</w:t>
      </w:r>
      <w:r w:rsidR="001323BB" w:rsidRPr="009720B4">
        <w:rPr>
          <w:rFonts w:eastAsia="Calibri"/>
          <w:szCs w:val="24"/>
        </w:rPr>
        <w:t xml:space="preserve"> pour les bandes de fréquences </w:t>
      </w:r>
      <w:r w:rsidR="00F5559F" w:rsidRPr="009720B4">
        <w:rPr>
          <w:rFonts w:eastAsia="Calibri"/>
          <w:szCs w:val="24"/>
        </w:rPr>
        <w:t xml:space="preserve">des </w:t>
      </w:r>
      <w:r w:rsidR="001323BB" w:rsidRPr="009720B4">
        <w:rPr>
          <w:rFonts w:eastAsia="Calibri"/>
          <w:szCs w:val="24"/>
        </w:rPr>
        <w:t>50/40 GHz, ce qui constitue un autre cadre de protection</w:t>
      </w:r>
      <w:r w:rsidR="00F5559F" w:rsidRPr="009720B4">
        <w:rPr>
          <w:rFonts w:eastAsia="Calibri"/>
          <w:szCs w:val="24"/>
        </w:rPr>
        <w:t xml:space="preserve"> possible</w:t>
      </w:r>
      <w:r w:rsidR="001323BB" w:rsidRPr="009720B4">
        <w:rPr>
          <w:rFonts w:eastAsia="Calibri"/>
          <w:szCs w:val="24"/>
        </w:rPr>
        <w:t xml:space="preserve"> pour les réseaux</w:t>
      </w:r>
      <w:r w:rsidR="009720B4" w:rsidRPr="009720B4">
        <w:rPr>
          <w:rFonts w:eastAsia="Calibri"/>
          <w:szCs w:val="24"/>
        </w:rPr>
        <w:t xml:space="preserve"> </w:t>
      </w:r>
      <w:r w:rsidR="00F5559F" w:rsidRPr="009720B4">
        <w:rPr>
          <w:rFonts w:eastAsia="Calibri"/>
          <w:szCs w:val="24"/>
        </w:rPr>
        <w:t xml:space="preserve">OSG </w:t>
      </w:r>
      <w:r w:rsidR="001323BB" w:rsidRPr="009720B4">
        <w:rPr>
          <w:rFonts w:eastAsia="Calibri"/>
          <w:szCs w:val="24"/>
        </w:rPr>
        <w:t>du SFS</w:t>
      </w:r>
      <w:r w:rsidRPr="009720B4">
        <w:rPr>
          <w:rFonts w:eastAsia="Calibri"/>
          <w:szCs w:val="24"/>
        </w:rPr>
        <w:t>;</w:t>
      </w:r>
    </w:p>
    <w:p w14:paraId="4AE96E44" w14:textId="5CABA2BF" w:rsidR="00487EF0" w:rsidRPr="009720B4" w:rsidRDefault="00487EF0" w:rsidP="0051273B">
      <w:pPr>
        <w:rPr>
          <w:rFonts w:eastAsia="Calibri"/>
          <w:szCs w:val="24"/>
        </w:rPr>
      </w:pPr>
      <w:r w:rsidRPr="009720B4">
        <w:rPr>
          <w:rFonts w:eastAsia="Calibri"/>
          <w:i/>
          <w:iCs/>
          <w:szCs w:val="24"/>
        </w:rPr>
        <w:t>k)</w:t>
      </w:r>
      <w:r w:rsidRPr="009720B4">
        <w:rPr>
          <w:rFonts w:eastAsia="Calibri"/>
          <w:szCs w:val="24"/>
        </w:rPr>
        <w:tab/>
      </w:r>
      <w:r w:rsidR="001323BB" w:rsidRPr="009720B4">
        <w:rPr>
          <w:rFonts w:eastAsia="Calibri"/>
          <w:szCs w:val="24"/>
        </w:rPr>
        <w:t>que l'approche concernant les bandes de fréquences</w:t>
      </w:r>
      <w:r w:rsidR="00F5559F" w:rsidRPr="009720B4">
        <w:rPr>
          <w:rFonts w:eastAsia="Calibri"/>
          <w:szCs w:val="24"/>
        </w:rPr>
        <w:t xml:space="preserve"> des </w:t>
      </w:r>
      <w:r w:rsidR="001323BB" w:rsidRPr="009720B4">
        <w:rPr>
          <w:rFonts w:eastAsia="Calibri"/>
          <w:szCs w:val="24"/>
        </w:rPr>
        <w:t xml:space="preserve">50/40 GHz visée au point </w:t>
      </w:r>
      <w:r w:rsidR="001323BB" w:rsidRPr="009720B4">
        <w:rPr>
          <w:rFonts w:eastAsia="Calibri"/>
          <w:i/>
          <w:szCs w:val="24"/>
        </w:rPr>
        <w:t>n)</w:t>
      </w:r>
      <w:r w:rsidR="001323BB" w:rsidRPr="009720B4">
        <w:rPr>
          <w:rFonts w:eastAsia="Calibri"/>
          <w:szCs w:val="24"/>
        </w:rPr>
        <w:t xml:space="preserve"> du </w:t>
      </w:r>
      <w:r w:rsidR="001323BB" w:rsidRPr="009720B4">
        <w:rPr>
          <w:rFonts w:eastAsia="Calibri"/>
          <w:i/>
          <w:szCs w:val="24"/>
        </w:rPr>
        <w:t>reconnaissant</w:t>
      </w:r>
      <w:r w:rsidR="00F5559F" w:rsidRPr="009720B4">
        <w:rPr>
          <w:rFonts w:eastAsia="Calibri"/>
          <w:szCs w:val="24"/>
        </w:rPr>
        <w:t xml:space="preserve">, </w:t>
      </w:r>
      <w:r w:rsidR="001323BB" w:rsidRPr="009720B4">
        <w:rPr>
          <w:rFonts w:eastAsia="Calibri"/>
          <w:szCs w:val="24"/>
        </w:rPr>
        <w:t>ou d'autres approches visant à résoudre</w:t>
      </w:r>
      <w:r w:rsidR="00F5559F" w:rsidRPr="009720B4">
        <w:rPr>
          <w:rFonts w:eastAsia="Calibri"/>
          <w:szCs w:val="24"/>
        </w:rPr>
        <w:t xml:space="preserve"> certains </w:t>
      </w:r>
      <w:r w:rsidR="001323BB" w:rsidRPr="009720B4">
        <w:rPr>
          <w:rFonts w:eastAsia="Calibri"/>
          <w:szCs w:val="24"/>
        </w:rPr>
        <w:t xml:space="preserve">problèmes identifiés avec les limites d'epfd actuelles, y compris la modification des limites d'epfd existantes pourraient être envisagées dans le cadre des études visant à assurer la protection des réseaux </w:t>
      </w:r>
      <w:r w:rsidR="00F5559F" w:rsidRPr="009720B4">
        <w:rPr>
          <w:rFonts w:eastAsia="Calibri"/>
          <w:szCs w:val="24"/>
        </w:rPr>
        <w:t xml:space="preserve">OSG </w:t>
      </w:r>
      <w:r w:rsidR="001323BB" w:rsidRPr="009720B4">
        <w:rPr>
          <w:rFonts w:eastAsia="Calibri"/>
          <w:szCs w:val="24"/>
        </w:rPr>
        <w:t>du SFS et du SRS contre les brouillages inacceptables, conformément au numéro</w:t>
      </w:r>
      <w:r w:rsidR="001323BB" w:rsidRPr="009720B4">
        <w:rPr>
          <w:rFonts w:eastAsia="Calibri"/>
          <w:b/>
          <w:szCs w:val="24"/>
        </w:rPr>
        <w:t xml:space="preserve"> </w:t>
      </w:r>
      <w:r w:rsidR="00B47C51" w:rsidRPr="009720B4">
        <w:rPr>
          <w:rFonts w:eastAsia="Calibri"/>
          <w:b/>
          <w:szCs w:val="24"/>
        </w:rPr>
        <w:t>22.2</w:t>
      </w:r>
      <w:r w:rsidRPr="009720B4">
        <w:rPr>
          <w:rFonts w:eastAsia="Calibri"/>
          <w:szCs w:val="24"/>
        </w:rPr>
        <w:t>;</w:t>
      </w:r>
    </w:p>
    <w:p w14:paraId="45E72DE3" w14:textId="087C8125" w:rsidR="00487EF0" w:rsidRPr="009720B4" w:rsidRDefault="00487EF0" w:rsidP="0051273B">
      <w:pPr>
        <w:rPr>
          <w:rFonts w:eastAsia="Calibri"/>
          <w:szCs w:val="24"/>
        </w:rPr>
      </w:pPr>
      <w:r w:rsidRPr="009720B4">
        <w:rPr>
          <w:rFonts w:eastAsia="Calibri"/>
          <w:i/>
          <w:iCs/>
          <w:szCs w:val="24"/>
        </w:rPr>
        <w:t>l)</w:t>
      </w:r>
      <w:r w:rsidRPr="009720B4">
        <w:rPr>
          <w:rFonts w:eastAsia="Calibri"/>
          <w:szCs w:val="24"/>
        </w:rPr>
        <w:tab/>
      </w:r>
      <w:r w:rsidR="001323BB" w:rsidRPr="009720B4">
        <w:rPr>
          <w:rFonts w:eastAsia="Calibri"/>
          <w:szCs w:val="24"/>
        </w:rPr>
        <w:t xml:space="preserve">qu'il existe actuellement des réseaux </w:t>
      </w:r>
      <w:r w:rsidR="00F5559F" w:rsidRPr="009720B4">
        <w:rPr>
          <w:rFonts w:eastAsia="Calibri"/>
          <w:szCs w:val="24"/>
        </w:rPr>
        <w:t xml:space="preserve">OSG </w:t>
      </w:r>
      <w:r w:rsidR="001323BB" w:rsidRPr="009720B4">
        <w:rPr>
          <w:rFonts w:eastAsia="Calibri"/>
          <w:szCs w:val="24"/>
        </w:rPr>
        <w:t xml:space="preserve">du SFS et du SRS et des systèmes </w:t>
      </w:r>
      <w:r w:rsidR="00F5559F" w:rsidRPr="009720B4">
        <w:rPr>
          <w:rFonts w:eastAsia="Calibri"/>
          <w:szCs w:val="24"/>
        </w:rPr>
        <w:t xml:space="preserve">non OSG </w:t>
      </w:r>
      <w:r w:rsidR="001323BB" w:rsidRPr="009720B4">
        <w:rPr>
          <w:rFonts w:eastAsia="Calibri"/>
          <w:szCs w:val="24"/>
        </w:rPr>
        <w:t xml:space="preserve">du SFS qui ont été notifiés et sont exploités dans les bandes de fréquences assujetties aux limites d'epfd de l'Article </w:t>
      </w:r>
      <w:r w:rsidR="001323BB" w:rsidRPr="009720B4">
        <w:rPr>
          <w:rFonts w:eastAsia="Calibri"/>
          <w:b/>
          <w:szCs w:val="24"/>
        </w:rPr>
        <w:t>22</w:t>
      </w:r>
      <w:r w:rsidR="001323BB" w:rsidRPr="009720B4">
        <w:rPr>
          <w:rFonts w:eastAsia="Calibri"/>
          <w:szCs w:val="24"/>
        </w:rPr>
        <w:t xml:space="preserve"> et que toute modification apportée à ce cadre risque de nécessiter des mesures transitoires</w:t>
      </w:r>
      <w:r w:rsidR="00F5559F" w:rsidRPr="009720B4">
        <w:rPr>
          <w:rFonts w:eastAsia="Calibri"/>
          <w:szCs w:val="24"/>
        </w:rPr>
        <w:t xml:space="preserve">, </w:t>
      </w:r>
      <w:r w:rsidR="001323BB" w:rsidRPr="009720B4">
        <w:rPr>
          <w:rFonts w:eastAsia="Calibri"/>
          <w:szCs w:val="24"/>
        </w:rPr>
        <w:t>afin de ne pas perturber ces services et de tenir dûment compte des besoins de ces réseaux OSG existants ou en projet</w:t>
      </w:r>
      <w:r w:rsidRPr="009720B4">
        <w:rPr>
          <w:rFonts w:eastAsia="Calibri"/>
          <w:szCs w:val="24"/>
        </w:rPr>
        <w:t>;</w:t>
      </w:r>
    </w:p>
    <w:p w14:paraId="5A643C04" w14:textId="1D36191B" w:rsidR="00487EF0" w:rsidRPr="009720B4" w:rsidRDefault="00487EF0" w:rsidP="0051273B">
      <w:pPr>
        <w:rPr>
          <w:rFonts w:eastAsia="Calibri"/>
          <w:szCs w:val="24"/>
        </w:rPr>
      </w:pPr>
      <w:r w:rsidRPr="009720B4">
        <w:rPr>
          <w:rFonts w:eastAsia="Calibri"/>
          <w:i/>
          <w:iCs/>
          <w:szCs w:val="24"/>
        </w:rPr>
        <w:t>m)</w:t>
      </w:r>
      <w:r w:rsidRPr="009720B4">
        <w:rPr>
          <w:rFonts w:eastAsia="Calibri"/>
          <w:szCs w:val="24"/>
        </w:rPr>
        <w:tab/>
      </w:r>
      <w:r w:rsidR="001323BB" w:rsidRPr="009720B4">
        <w:rPr>
          <w:rFonts w:eastAsia="Calibri"/>
          <w:szCs w:val="24"/>
        </w:rPr>
        <w:t xml:space="preserve">que la Résolution </w:t>
      </w:r>
      <w:r w:rsidR="001323BB" w:rsidRPr="009720B4">
        <w:rPr>
          <w:rFonts w:eastAsia="Calibri"/>
          <w:b/>
          <w:szCs w:val="24"/>
        </w:rPr>
        <w:t>76 (Rév.CMR-15)</w:t>
      </w:r>
      <w:r w:rsidR="001323BB" w:rsidRPr="009720B4">
        <w:rPr>
          <w:rFonts w:eastAsia="Calibri"/>
          <w:szCs w:val="24"/>
        </w:rPr>
        <w:t xml:space="preserve"> contient des limites d'epfd cumulative </w:t>
      </w:r>
      <w:r w:rsidR="00F5559F" w:rsidRPr="009720B4">
        <w:rPr>
          <w:rFonts w:eastAsia="Calibri"/>
          <w:szCs w:val="24"/>
        </w:rPr>
        <w:t xml:space="preserve">que </w:t>
      </w:r>
      <w:r w:rsidR="001323BB" w:rsidRPr="009720B4">
        <w:rPr>
          <w:rFonts w:eastAsia="Calibri"/>
          <w:szCs w:val="24"/>
        </w:rPr>
        <w:t xml:space="preserve">ne </w:t>
      </w:r>
      <w:r w:rsidR="00F5559F" w:rsidRPr="009720B4">
        <w:rPr>
          <w:rFonts w:eastAsia="Calibri"/>
          <w:szCs w:val="24"/>
        </w:rPr>
        <w:t xml:space="preserve">doivent </w:t>
      </w:r>
      <w:r w:rsidR="001323BB" w:rsidRPr="009720B4">
        <w:rPr>
          <w:rFonts w:eastAsia="Calibri"/>
          <w:szCs w:val="24"/>
        </w:rPr>
        <w:t xml:space="preserve">pas </w:t>
      </w:r>
      <w:r w:rsidR="00F5559F" w:rsidRPr="009720B4">
        <w:rPr>
          <w:rFonts w:eastAsia="Calibri"/>
          <w:szCs w:val="24"/>
        </w:rPr>
        <w:t xml:space="preserve">dépasser </w:t>
      </w:r>
      <w:r w:rsidR="001323BB" w:rsidRPr="009720B4">
        <w:rPr>
          <w:rFonts w:eastAsia="Calibri"/>
          <w:szCs w:val="24"/>
        </w:rPr>
        <w:t xml:space="preserve">les systèmes </w:t>
      </w:r>
      <w:r w:rsidR="00F5559F" w:rsidRPr="009720B4">
        <w:rPr>
          <w:rFonts w:eastAsia="Calibri"/>
          <w:szCs w:val="24"/>
        </w:rPr>
        <w:t xml:space="preserve">non OSG </w:t>
      </w:r>
      <w:r w:rsidR="001323BB" w:rsidRPr="009720B4">
        <w:rPr>
          <w:rFonts w:eastAsia="Calibri"/>
          <w:szCs w:val="24"/>
        </w:rPr>
        <w:t>du SFS</w:t>
      </w:r>
      <w:r w:rsidR="00F5559F" w:rsidRPr="009720B4">
        <w:rPr>
          <w:rFonts w:eastAsia="Calibri"/>
          <w:szCs w:val="24"/>
        </w:rPr>
        <w:t xml:space="preserve">, </w:t>
      </w:r>
      <w:r w:rsidR="001323BB" w:rsidRPr="009720B4">
        <w:rPr>
          <w:rFonts w:eastAsia="Calibri"/>
          <w:szCs w:val="24"/>
        </w:rPr>
        <w:t xml:space="preserve">qui s'appliquent aux systèmes </w:t>
      </w:r>
      <w:r w:rsidR="00F5559F" w:rsidRPr="009720B4">
        <w:rPr>
          <w:rFonts w:eastAsia="Calibri"/>
          <w:szCs w:val="24"/>
        </w:rPr>
        <w:t xml:space="preserve">non OSG </w:t>
      </w:r>
      <w:r w:rsidR="001323BB" w:rsidRPr="009720B4">
        <w:rPr>
          <w:rFonts w:eastAsia="Calibri"/>
          <w:szCs w:val="24"/>
        </w:rPr>
        <w:t>du SFS opérationnels afin de protéger les réseaux à satellite du SFS et du SRS OSG contre les brouillages inacceptables causés par tous les systèmes</w:t>
      </w:r>
      <w:r w:rsidR="00F5559F" w:rsidRPr="009720B4">
        <w:rPr>
          <w:rFonts w:eastAsia="Calibri"/>
          <w:szCs w:val="24"/>
        </w:rPr>
        <w:t xml:space="preserve"> non OSG</w:t>
      </w:r>
      <w:r w:rsidR="001323BB" w:rsidRPr="009720B4">
        <w:rPr>
          <w:rFonts w:eastAsia="Calibri"/>
          <w:szCs w:val="24"/>
        </w:rPr>
        <w:t xml:space="preserve"> du SFS opérationnels fonctionnant sur la même </w:t>
      </w:r>
      <w:r w:rsidR="00F5559F" w:rsidRPr="009720B4">
        <w:rPr>
          <w:rFonts w:eastAsia="Calibri"/>
          <w:szCs w:val="24"/>
        </w:rPr>
        <w:t>fréquence</w:t>
      </w:r>
      <w:r w:rsidRPr="009720B4">
        <w:rPr>
          <w:rFonts w:eastAsia="Calibri"/>
          <w:szCs w:val="24"/>
        </w:rPr>
        <w:t>;</w:t>
      </w:r>
    </w:p>
    <w:p w14:paraId="41F389F4" w14:textId="03ACD0A9" w:rsidR="00487EF0" w:rsidRPr="009720B4" w:rsidRDefault="00487EF0" w:rsidP="0051273B">
      <w:pPr>
        <w:rPr>
          <w:rFonts w:eastAsia="Calibri"/>
          <w:szCs w:val="24"/>
        </w:rPr>
      </w:pPr>
      <w:r w:rsidRPr="009720B4">
        <w:rPr>
          <w:rFonts w:eastAsia="Calibri"/>
          <w:i/>
          <w:iCs/>
          <w:szCs w:val="24"/>
        </w:rPr>
        <w:t>n)</w:t>
      </w:r>
      <w:r w:rsidRPr="009720B4">
        <w:rPr>
          <w:rFonts w:eastAsia="Calibri"/>
          <w:szCs w:val="24"/>
        </w:rPr>
        <w:tab/>
      </w:r>
      <w:r w:rsidR="001323BB" w:rsidRPr="009720B4">
        <w:rPr>
          <w:rFonts w:eastAsia="Calibri"/>
          <w:szCs w:val="24"/>
        </w:rPr>
        <w:t xml:space="preserve">que les limites d'epfd cumulative de la Résolution </w:t>
      </w:r>
      <w:r w:rsidR="001323BB" w:rsidRPr="009720B4">
        <w:rPr>
          <w:rFonts w:eastAsia="Calibri"/>
          <w:b/>
          <w:szCs w:val="24"/>
        </w:rPr>
        <w:t>76 (Rév.CMR-15)</w:t>
      </w:r>
      <w:r w:rsidR="001323BB" w:rsidRPr="009720B4">
        <w:rPr>
          <w:rFonts w:eastAsia="Calibri"/>
          <w:szCs w:val="24"/>
        </w:rPr>
        <w:t xml:space="preserve"> ne sont pas examinées par le Bureau, car elles sont considérées comme des limites opérationnelles, mais qu'il n'existe </w:t>
      </w:r>
      <w:r w:rsidR="00F5559F" w:rsidRPr="009720B4">
        <w:rPr>
          <w:rFonts w:eastAsia="Calibri"/>
          <w:szCs w:val="24"/>
        </w:rPr>
        <w:t>aucune</w:t>
      </w:r>
      <w:r w:rsidR="001323BB" w:rsidRPr="009720B4">
        <w:rPr>
          <w:rFonts w:eastAsia="Calibri"/>
          <w:szCs w:val="24"/>
        </w:rPr>
        <w:t xml:space="preserve"> </w:t>
      </w:r>
      <w:r w:rsidR="00F5559F" w:rsidRPr="009720B4">
        <w:rPr>
          <w:rFonts w:eastAsia="Calibri"/>
          <w:szCs w:val="24"/>
        </w:rPr>
        <w:t xml:space="preserve">méthode convenue permettant de </w:t>
      </w:r>
      <w:r w:rsidR="001323BB" w:rsidRPr="009720B4">
        <w:rPr>
          <w:rFonts w:eastAsia="Calibri"/>
          <w:szCs w:val="24"/>
        </w:rPr>
        <w:t>calculer le</w:t>
      </w:r>
      <w:r w:rsidR="00F5559F" w:rsidRPr="009720B4">
        <w:rPr>
          <w:rFonts w:eastAsia="Calibri"/>
          <w:szCs w:val="24"/>
        </w:rPr>
        <w:t>s</w:t>
      </w:r>
      <w:r w:rsidR="001323BB" w:rsidRPr="009720B4">
        <w:rPr>
          <w:rFonts w:eastAsia="Calibri"/>
          <w:szCs w:val="24"/>
        </w:rPr>
        <w:t xml:space="preserve"> brouillage</w:t>
      </w:r>
      <w:r w:rsidR="00F5559F" w:rsidRPr="009720B4">
        <w:rPr>
          <w:rFonts w:eastAsia="Calibri"/>
          <w:szCs w:val="24"/>
        </w:rPr>
        <w:t>s</w:t>
      </w:r>
      <w:r w:rsidR="001323BB" w:rsidRPr="009720B4">
        <w:rPr>
          <w:rFonts w:eastAsia="Calibri"/>
          <w:szCs w:val="24"/>
        </w:rPr>
        <w:t xml:space="preserve"> cumulatif</w:t>
      </w:r>
      <w:r w:rsidR="00F5559F" w:rsidRPr="009720B4">
        <w:rPr>
          <w:rFonts w:eastAsia="Calibri"/>
          <w:szCs w:val="24"/>
        </w:rPr>
        <w:t>s</w:t>
      </w:r>
      <w:r w:rsidR="001323BB" w:rsidRPr="009720B4">
        <w:rPr>
          <w:rFonts w:eastAsia="Calibri"/>
          <w:szCs w:val="24"/>
        </w:rPr>
        <w:t xml:space="preserve"> ou </w:t>
      </w:r>
      <w:r w:rsidR="00F5559F" w:rsidRPr="009720B4">
        <w:rPr>
          <w:rFonts w:eastAsia="Calibri"/>
          <w:szCs w:val="24"/>
        </w:rPr>
        <w:t xml:space="preserve">de </w:t>
      </w:r>
      <w:r w:rsidR="001323BB" w:rsidRPr="009720B4">
        <w:rPr>
          <w:rFonts w:eastAsia="Calibri"/>
          <w:szCs w:val="24"/>
        </w:rPr>
        <w:t xml:space="preserve">traiter les cas </w:t>
      </w:r>
      <w:r w:rsidR="00F5559F" w:rsidRPr="009720B4">
        <w:rPr>
          <w:rFonts w:eastAsia="Calibri"/>
          <w:szCs w:val="24"/>
        </w:rPr>
        <w:t>dans lesquels les</w:t>
      </w:r>
      <w:r w:rsidR="001323BB" w:rsidRPr="009720B4">
        <w:rPr>
          <w:rFonts w:eastAsia="Calibri"/>
          <w:szCs w:val="24"/>
        </w:rPr>
        <w:t xml:space="preserve"> limites d'epfd cumulative</w:t>
      </w:r>
      <w:r w:rsidR="00F5559F" w:rsidRPr="009720B4">
        <w:rPr>
          <w:rFonts w:eastAsia="Calibri"/>
          <w:szCs w:val="24"/>
        </w:rPr>
        <w:t xml:space="preserve"> sont dépassées</w:t>
      </w:r>
      <w:r w:rsidR="001323BB" w:rsidRPr="009720B4">
        <w:rPr>
          <w:rFonts w:eastAsia="Calibri"/>
          <w:szCs w:val="24"/>
        </w:rPr>
        <w:t>, ce qui est source d'incertitude pour les réseaux OSG</w:t>
      </w:r>
      <w:r w:rsidRPr="009720B4">
        <w:rPr>
          <w:rFonts w:eastAsia="Calibri"/>
          <w:szCs w:val="24"/>
        </w:rPr>
        <w:t>;</w:t>
      </w:r>
    </w:p>
    <w:p w14:paraId="6E604392" w14:textId="58422C66" w:rsidR="00487EF0" w:rsidRPr="009720B4" w:rsidRDefault="00487EF0" w:rsidP="0051273B">
      <w:pPr>
        <w:rPr>
          <w:rFonts w:eastAsia="Calibri"/>
          <w:szCs w:val="24"/>
        </w:rPr>
      </w:pPr>
      <w:r w:rsidRPr="009720B4">
        <w:rPr>
          <w:rFonts w:eastAsia="Calibri"/>
          <w:i/>
          <w:iCs/>
          <w:szCs w:val="24"/>
        </w:rPr>
        <w:lastRenderedPageBreak/>
        <w:t>o)</w:t>
      </w:r>
      <w:r w:rsidRPr="009720B4">
        <w:rPr>
          <w:rFonts w:eastAsia="Calibri"/>
          <w:szCs w:val="24"/>
        </w:rPr>
        <w:tab/>
      </w:r>
      <w:r w:rsidR="001323BB" w:rsidRPr="009720B4">
        <w:rPr>
          <w:rFonts w:eastAsia="Calibri"/>
          <w:szCs w:val="24"/>
        </w:rPr>
        <w:t xml:space="preserve">qu'il </w:t>
      </w:r>
      <w:r w:rsidR="00F5559F" w:rsidRPr="009720B4">
        <w:rPr>
          <w:rFonts w:eastAsia="Calibri"/>
          <w:szCs w:val="24"/>
        </w:rPr>
        <w:t xml:space="preserve">faudra </w:t>
      </w:r>
      <w:r w:rsidR="001323BB" w:rsidRPr="009720B4">
        <w:rPr>
          <w:rFonts w:eastAsia="Calibri"/>
          <w:szCs w:val="24"/>
        </w:rPr>
        <w:t>peut</w:t>
      </w:r>
      <w:r w:rsidR="00F5559F" w:rsidRPr="009720B4">
        <w:rPr>
          <w:rFonts w:eastAsia="Calibri"/>
          <w:szCs w:val="24"/>
        </w:rPr>
        <w:t>-</w:t>
      </w:r>
      <w:r w:rsidR="001323BB" w:rsidRPr="009720B4">
        <w:rPr>
          <w:rFonts w:eastAsia="Calibri"/>
          <w:szCs w:val="24"/>
        </w:rPr>
        <w:t>être</w:t>
      </w:r>
      <w:r w:rsidR="00F5559F" w:rsidRPr="009720B4">
        <w:rPr>
          <w:rFonts w:eastAsia="Calibri"/>
          <w:szCs w:val="24"/>
        </w:rPr>
        <w:t xml:space="preserve"> </w:t>
      </w:r>
      <w:r w:rsidR="001323BB" w:rsidRPr="009720B4">
        <w:rPr>
          <w:rFonts w:eastAsia="Calibri"/>
          <w:szCs w:val="24"/>
        </w:rPr>
        <w:t>améliorer la capacité de mesure</w:t>
      </w:r>
      <w:r w:rsidR="00F5559F" w:rsidRPr="009720B4">
        <w:rPr>
          <w:rFonts w:eastAsia="Calibri"/>
          <w:szCs w:val="24"/>
        </w:rPr>
        <w:t>r</w:t>
      </w:r>
      <w:r w:rsidR="001323BB" w:rsidRPr="009720B4">
        <w:rPr>
          <w:rFonts w:eastAsia="Calibri"/>
          <w:szCs w:val="24"/>
        </w:rPr>
        <w:t xml:space="preserve"> </w:t>
      </w:r>
      <w:r w:rsidR="00F5559F" w:rsidRPr="009720B4">
        <w:rPr>
          <w:rFonts w:eastAsia="Calibri"/>
          <w:szCs w:val="24"/>
        </w:rPr>
        <w:t xml:space="preserve">les </w:t>
      </w:r>
      <w:r w:rsidR="001323BB" w:rsidRPr="009720B4">
        <w:rPr>
          <w:rFonts w:eastAsia="Calibri"/>
          <w:szCs w:val="24"/>
        </w:rPr>
        <w:t>paramètres opérationnels des</w:t>
      </w:r>
      <w:r w:rsidR="00AF55A2" w:rsidRPr="009720B4">
        <w:rPr>
          <w:rFonts w:eastAsia="Calibri"/>
          <w:szCs w:val="24"/>
        </w:rPr>
        <w:t xml:space="preserve"> systèmes </w:t>
      </w:r>
      <w:r w:rsidR="001323BB" w:rsidRPr="009720B4">
        <w:rPr>
          <w:rFonts w:eastAsia="Calibri"/>
          <w:szCs w:val="24"/>
        </w:rPr>
        <w:t>non OSG qui assurent la protection des réseaux OSG</w:t>
      </w:r>
      <w:r w:rsidRPr="009720B4">
        <w:rPr>
          <w:rFonts w:eastAsia="Calibri"/>
          <w:szCs w:val="24"/>
        </w:rPr>
        <w:t>;</w:t>
      </w:r>
    </w:p>
    <w:p w14:paraId="2AFAABE2" w14:textId="0193E0D8" w:rsidR="00487EF0" w:rsidRPr="009720B4" w:rsidRDefault="00487EF0" w:rsidP="0051273B">
      <w:pPr>
        <w:rPr>
          <w:rFonts w:eastAsia="Calibri"/>
          <w:szCs w:val="24"/>
        </w:rPr>
      </w:pPr>
      <w:r w:rsidRPr="009720B4">
        <w:rPr>
          <w:rFonts w:eastAsia="Calibri"/>
          <w:i/>
          <w:iCs/>
          <w:szCs w:val="24"/>
        </w:rPr>
        <w:t>p)</w:t>
      </w:r>
      <w:r w:rsidRPr="009720B4">
        <w:rPr>
          <w:rFonts w:eastAsia="Calibri"/>
          <w:szCs w:val="24"/>
        </w:rPr>
        <w:tab/>
      </w:r>
      <w:r w:rsidR="001323BB" w:rsidRPr="009720B4">
        <w:rPr>
          <w:rFonts w:eastAsia="Calibri"/>
          <w:szCs w:val="24"/>
        </w:rPr>
        <w:t xml:space="preserve">que l'Article </w:t>
      </w:r>
      <w:r w:rsidR="001323BB" w:rsidRPr="009720B4">
        <w:rPr>
          <w:rFonts w:eastAsia="Calibri"/>
          <w:b/>
          <w:szCs w:val="24"/>
        </w:rPr>
        <w:t>22</w:t>
      </w:r>
      <w:r w:rsidR="001323BB" w:rsidRPr="009720B4">
        <w:rPr>
          <w:rFonts w:eastAsia="Calibri"/>
          <w:szCs w:val="24"/>
        </w:rPr>
        <w:t xml:space="preserve"> </w:t>
      </w:r>
      <w:r w:rsidR="00AF55A2" w:rsidRPr="009720B4">
        <w:rPr>
          <w:rFonts w:eastAsia="Calibri"/>
          <w:szCs w:val="24"/>
        </w:rPr>
        <w:t xml:space="preserve">renferme </w:t>
      </w:r>
      <w:r w:rsidR="001323BB" w:rsidRPr="009720B4">
        <w:rPr>
          <w:rFonts w:eastAsia="Calibri"/>
          <w:szCs w:val="24"/>
        </w:rPr>
        <w:t>des dispositions</w:t>
      </w:r>
      <w:r w:rsidR="00AF55A2" w:rsidRPr="009720B4">
        <w:rPr>
          <w:rFonts w:eastAsia="Calibri"/>
          <w:szCs w:val="24"/>
        </w:rPr>
        <w:t xml:space="preserve"> relatives à</w:t>
      </w:r>
      <w:r w:rsidR="001323BB" w:rsidRPr="009720B4">
        <w:rPr>
          <w:rFonts w:eastAsia="Calibri"/>
          <w:szCs w:val="24"/>
        </w:rPr>
        <w:t xml:space="preserve"> la protection des réseaux </w:t>
      </w:r>
      <w:r w:rsidR="00AF55A2" w:rsidRPr="009720B4">
        <w:rPr>
          <w:rFonts w:eastAsia="Calibri"/>
          <w:szCs w:val="24"/>
        </w:rPr>
        <w:t xml:space="preserve">OSG </w:t>
      </w:r>
      <w:r w:rsidR="001323BB" w:rsidRPr="009720B4">
        <w:rPr>
          <w:rFonts w:eastAsia="Calibri"/>
          <w:szCs w:val="24"/>
        </w:rPr>
        <w:t xml:space="preserve">du SRS et du SFS vis-à-vis des systèmes </w:t>
      </w:r>
      <w:r w:rsidR="00AF55A2" w:rsidRPr="009720B4">
        <w:rPr>
          <w:rFonts w:eastAsia="Calibri"/>
          <w:szCs w:val="24"/>
        </w:rPr>
        <w:t xml:space="preserve">non OSG </w:t>
      </w:r>
      <w:r w:rsidR="001323BB" w:rsidRPr="009720B4">
        <w:rPr>
          <w:rFonts w:eastAsia="Calibri"/>
          <w:szCs w:val="24"/>
        </w:rPr>
        <w:t xml:space="preserve">du SFS </w:t>
      </w:r>
      <w:r w:rsidR="00AF55A2" w:rsidRPr="009720B4">
        <w:rPr>
          <w:rFonts w:eastAsia="Calibri"/>
          <w:szCs w:val="24"/>
        </w:rPr>
        <w:t xml:space="preserve">tant </w:t>
      </w:r>
      <w:r w:rsidR="001323BB" w:rsidRPr="009720B4">
        <w:rPr>
          <w:rFonts w:eastAsia="Calibri"/>
          <w:szCs w:val="24"/>
        </w:rPr>
        <w:t xml:space="preserve">à court terme </w:t>
      </w:r>
      <w:r w:rsidR="00AF55A2" w:rsidRPr="009720B4">
        <w:rPr>
          <w:rFonts w:eastAsia="Calibri"/>
          <w:szCs w:val="24"/>
        </w:rPr>
        <w:t>qu'</w:t>
      </w:r>
      <w:r w:rsidR="001323BB" w:rsidRPr="009720B4">
        <w:rPr>
          <w:rFonts w:eastAsia="Calibri"/>
          <w:szCs w:val="24"/>
        </w:rPr>
        <w:t>à long terme</w:t>
      </w:r>
      <w:r w:rsidRPr="009720B4">
        <w:rPr>
          <w:rFonts w:eastAsia="Calibri"/>
          <w:szCs w:val="24"/>
        </w:rPr>
        <w:t>,</w:t>
      </w:r>
    </w:p>
    <w:p w14:paraId="04AEEF30" w14:textId="502637CD" w:rsidR="00487EF0" w:rsidRPr="009720B4" w:rsidRDefault="00487EF0" w:rsidP="0051273B">
      <w:pPr>
        <w:pStyle w:val="Call"/>
      </w:pPr>
      <w:r w:rsidRPr="009720B4">
        <w:t>reconnaissant en outre</w:t>
      </w:r>
    </w:p>
    <w:p w14:paraId="73529418" w14:textId="57EF194F" w:rsidR="00487EF0" w:rsidRPr="009720B4" w:rsidRDefault="00487EF0" w:rsidP="0051273B">
      <w:r w:rsidRPr="009720B4">
        <w:rPr>
          <w:i/>
          <w:iCs/>
        </w:rPr>
        <w:t>a)</w:t>
      </w:r>
      <w:r w:rsidRPr="009720B4">
        <w:tab/>
      </w:r>
      <w:r w:rsidR="009D5130" w:rsidRPr="009720B4">
        <w:t xml:space="preserve">que les limites </w:t>
      </w:r>
      <w:r w:rsidR="00AF6F15" w:rsidRPr="009720B4">
        <w:t>de</w:t>
      </w:r>
      <w:r w:rsidR="009D5130" w:rsidRPr="009720B4">
        <w:t xml:space="preserve"> l'Article </w:t>
      </w:r>
      <w:r w:rsidR="009D5130" w:rsidRPr="009720B4">
        <w:rPr>
          <w:b/>
        </w:rPr>
        <w:t>21</w:t>
      </w:r>
      <w:r w:rsidR="009D5130" w:rsidRPr="009720B4">
        <w:t xml:space="preserve"> s'ap</w:t>
      </w:r>
      <w:r w:rsidR="00AF6F15" w:rsidRPr="009720B4">
        <w:t>pliquent pour</w:t>
      </w:r>
      <w:r w:rsidR="009D5130" w:rsidRPr="009720B4">
        <w:t xml:space="preserve"> la protection des services de Terre</w:t>
      </w:r>
      <w:r w:rsidRPr="009720B4">
        <w:t>;</w:t>
      </w:r>
    </w:p>
    <w:p w14:paraId="6CC18B7D" w14:textId="007F6445" w:rsidR="00487EF0" w:rsidRPr="009720B4" w:rsidRDefault="00487EF0" w:rsidP="0051273B">
      <w:r w:rsidRPr="009720B4">
        <w:rPr>
          <w:i/>
          <w:iCs/>
        </w:rPr>
        <w:t>b)</w:t>
      </w:r>
      <w:r w:rsidRPr="009720B4">
        <w:tab/>
      </w:r>
      <w:r w:rsidR="00AF6F15" w:rsidRPr="009720B4">
        <w:t>que des difficultés ont été rencontrées concernant l'examen de la conformité aux limites d'epfd pour une seule source de brouillage, en raison de problèmes liés à la modélisation de constellations complexes de satellites non OSG et de la soumission de plusieurs fiches de notification auprès de l'UIT pour un seul système non OSG</w:t>
      </w:r>
      <w:r w:rsidR="00073C5F" w:rsidRPr="009720B4">
        <w:t>,</w:t>
      </w:r>
    </w:p>
    <w:p w14:paraId="0B7C7CA1" w14:textId="263452DF" w:rsidR="00487EF0" w:rsidRPr="009720B4" w:rsidRDefault="00817D39" w:rsidP="0051273B">
      <w:pPr>
        <w:pStyle w:val="Call"/>
      </w:pPr>
      <w:r w:rsidRPr="009720B4">
        <w:t>décide d'inviter l'UIT-R</w:t>
      </w:r>
    </w:p>
    <w:p w14:paraId="213145CC" w14:textId="17773DF2" w:rsidR="00487EF0" w:rsidRPr="009720B4" w:rsidRDefault="00487EF0" w:rsidP="0051273B">
      <w:r w:rsidRPr="009720B4">
        <w:t>1</w:t>
      </w:r>
      <w:r w:rsidRPr="009720B4">
        <w:tab/>
      </w:r>
      <w:r w:rsidR="00AF6F15" w:rsidRPr="009720B4">
        <w:t xml:space="preserve">à mener et à achever, à temps pour la CMR-27, des études sur les dispositions réglementaires actuelles, y compris les limites d'epfd, applicables aux systèmes </w:t>
      </w:r>
      <w:r w:rsidR="00AF55A2" w:rsidRPr="009720B4">
        <w:t xml:space="preserve">non OSG </w:t>
      </w:r>
      <w:r w:rsidR="00AF6F15" w:rsidRPr="009720B4">
        <w:t>du SFS afin de protéger les réseaux</w:t>
      </w:r>
      <w:r w:rsidR="00AF55A2" w:rsidRPr="009720B4">
        <w:t xml:space="preserve"> OSG</w:t>
      </w:r>
      <w:r w:rsidR="00AF6F15" w:rsidRPr="009720B4">
        <w:t xml:space="preserve"> du SFS et du SRS contre les brouillages inacceptables dans les parties des bandes de fréquences 3 700-4 200 MHz, 5 925-6 725 MHz, 10,7-14,5 GHz, 17,3</w:t>
      </w:r>
      <w:r w:rsidR="009720B4" w:rsidRPr="009720B4">
        <w:noBreakHyphen/>
      </w:r>
      <w:r w:rsidR="00AF6F15" w:rsidRPr="009720B4">
        <w:t xml:space="preserve">20,2 GHz et 27,5-30 GHz dans lesquelles les limites d'epfd de l'Article </w:t>
      </w:r>
      <w:r w:rsidR="00AF6F15" w:rsidRPr="009720B4">
        <w:rPr>
          <w:b/>
        </w:rPr>
        <w:t>22</w:t>
      </w:r>
      <w:r w:rsidR="00AF6F15" w:rsidRPr="009720B4">
        <w:t xml:space="preserve"> s'appliquent, </w:t>
      </w:r>
      <w:r w:rsidR="00AF55A2" w:rsidRPr="009720B4">
        <w:rPr>
          <w:iCs/>
        </w:rPr>
        <w:t xml:space="preserve">prévoyant une </w:t>
      </w:r>
      <w:r w:rsidR="00AF6F15" w:rsidRPr="009720B4">
        <w:t>évaluation, par les administrations, des limites d'epfd cumulative indiquées dans la Résolution </w:t>
      </w:r>
      <w:r w:rsidR="00AF6F15" w:rsidRPr="009720B4">
        <w:rPr>
          <w:b/>
        </w:rPr>
        <w:t>76 (Rév.CMR-15)</w:t>
      </w:r>
      <w:r w:rsidR="00AF6F15" w:rsidRPr="009720B4">
        <w:t xml:space="preserve"> et la mise en œuvre de ces dispositions réglementaires, sans modifier les exigences ou les conditions régissant la coordination au titre des numéros </w:t>
      </w:r>
      <w:r w:rsidR="00AF6F15" w:rsidRPr="009720B4">
        <w:rPr>
          <w:b/>
        </w:rPr>
        <w:t>9.7A</w:t>
      </w:r>
      <w:r w:rsidR="00AF6F15" w:rsidRPr="009720B4">
        <w:t xml:space="preserve"> et </w:t>
      </w:r>
      <w:r w:rsidR="00AF6F15" w:rsidRPr="009720B4">
        <w:rPr>
          <w:b/>
        </w:rPr>
        <w:t>9.7B</w:t>
      </w:r>
      <w:r w:rsidR="00AF6F15" w:rsidRPr="009720B4">
        <w:t xml:space="preserve">, l'objectif étant de protéger les réseaux OSG conformément au numéro </w:t>
      </w:r>
      <w:r w:rsidR="00AF6F15" w:rsidRPr="009720B4">
        <w:rPr>
          <w:b/>
        </w:rPr>
        <w:t>22.2</w:t>
      </w:r>
      <w:r w:rsidR="00AF6F15" w:rsidRPr="009720B4">
        <w:t xml:space="preserve"> et d'améliorer l'efficacité d'utilisation des ressources spectrales</w:t>
      </w:r>
      <w:r w:rsidRPr="009720B4">
        <w:t>;</w:t>
      </w:r>
    </w:p>
    <w:p w14:paraId="767EB26C" w14:textId="70887C01" w:rsidR="00487EF0" w:rsidRPr="009720B4" w:rsidRDefault="00487EF0" w:rsidP="0051273B">
      <w:r w:rsidRPr="009720B4">
        <w:t>2</w:t>
      </w:r>
      <w:r w:rsidRPr="009720B4">
        <w:tab/>
      </w:r>
      <w:r w:rsidR="00CD1035" w:rsidRPr="009720B4">
        <w:t xml:space="preserve">à </w:t>
      </w:r>
      <w:r w:rsidR="0027137B" w:rsidRPr="009720B4">
        <w:t>définir</w:t>
      </w:r>
      <w:r w:rsidR="00CD1035" w:rsidRPr="009720B4">
        <w:t xml:space="preserve">, sur la base des résultats des études visées au point 1 du </w:t>
      </w:r>
      <w:r w:rsidR="00CD1035" w:rsidRPr="009720B4">
        <w:rPr>
          <w:i/>
        </w:rPr>
        <w:t>décide</w:t>
      </w:r>
      <w:r w:rsidR="00AF55A2" w:rsidRPr="009720B4">
        <w:rPr>
          <w:i/>
        </w:rPr>
        <w:t xml:space="preserve"> ci-dessus</w:t>
      </w:r>
      <w:r w:rsidR="00CD1035" w:rsidRPr="009720B4">
        <w:t xml:space="preserve"> et</w:t>
      </w:r>
      <w:r w:rsidR="00AF55A2" w:rsidRPr="009720B4">
        <w:t xml:space="preserve">, </w:t>
      </w:r>
      <w:r w:rsidR="00CD1035" w:rsidRPr="009720B4">
        <w:t xml:space="preserve">s'il y a lieu, </w:t>
      </w:r>
      <w:r w:rsidR="0027137B" w:rsidRPr="009720B4">
        <w:t xml:space="preserve">les </w:t>
      </w:r>
      <w:r w:rsidR="00CD1035" w:rsidRPr="009720B4">
        <w:t xml:space="preserve">modifications éventuelles à apporter aux dispositions réglementaires, y compris </w:t>
      </w:r>
      <w:r w:rsidR="00AF55A2" w:rsidRPr="009720B4">
        <w:t xml:space="preserve">des </w:t>
      </w:r>
      <w:r w:rsidR="00CD1035" w:rsidRPr="009720B4">
        <w:t>limites d'epfd,</w:t>
      </w:r>
      <w:r w:rsidR="0027137B" w:rsidRPr="009720B4">
        <w:t xml:space="preserve"> pour les</w:t>
      </w:r>
      <w:r w:rsidR="00CD1035" w:rsidRPr="009720B4">
        <w:t xml:space="preserve"> systèmes </w:t>
      </w:r>
      <w:r w:rsidR="0027137B" w:rsidRPr="009720B4">
        <w:t xml:space="preserve">non OSG </w:t>
      </w:r>
      <w:r w:rsidR="00CD1035" w:rsidRPr="009720B4">
        <w:t>du SFS</w:t>
      </w:r>
      <w:r w:rsidR="0027137B" w:rsidRPr="009720B4">
        <w:t>,</w:t>
      </w:r>
      <w:r w:rsidR="00CD1035" w:rsidRPr="009720B4">
        <w:t xml:space="preserve"> afin de protéger les réseaux </w:t>
      </w:r>
      <w:r w:rsidR="0027137B" w:rsidRPr="009720B4">
        <w:t xml:space="preserve">OSG </w:t>
      </w:r>
      <w:r w:rsidR="00CD1035" w:rsidRPr="009720B4">
        <w:t>du SFS et du SRS contre les brouillages inacceptables causés dans les parties des bandes de fréquences 3 700</w:t>
      </w:r>
      <w:r w:rsidR="009720B4" w:rsidRPr="009720B4">
        <w:noBreakHyphen/>
      </w:r>
      <w:r w:rsidR="00CD1035" w:rsidRPr="009720B4">
        <w:t>4</w:t>
      </w:r>
      <w:r w:rsidR="009720B4" w:rsidRPr="009720B4">
        <w:t> </w:t>
      </w:r>
      <w:r w:rsidR="00CD1035" w:rsidRPr="009720B4">
        <w:t xml:space="preserve">200 MHz, 5 925-6 725 MHz, 10,7-14,5 GHz, 17,3-20,2 GHz et 27,5-30 GHz dans lesquelles les limites d'epfd de l'Article </w:t>
      </w:r>
      <w:r w:rsidR="00CD1035" w:rsidRPr="009720B4">
        <w:rPr>
          <w:b/>
        </w:rPr>
        <w:t>22</w:t>
      </w:r>
      <w:r w:rsidR="00CD1035" w:rsidRPr="009720B4">
        <w:t xml:space="preserve"> s'appliquent</w:t>
      </w:r>
      <w:r w:rsidR="0027137B" w:rsidRPr="009720B4">
        <w:t>,</w:t>
      </w:r>
      <w:r w:rsidR="00CD1035" w:rsidRPr="009720B4">
        <w:t xml:space="preserve"> ou à remplacer le cadre relatif aux limites d'epfd par une autre approche et à élaborer </w:t>
      </w:r>
      <w:r w:rsidR="0027137B" w:rsidRPr="009720B4">
        <w:t xml:space="preserve">les </w:t>
      </w:r>
      <w:r w:rsidR="00CD1035" w:rsidRPr="009720B4">
        <w:t>limites associées, sans modifier le numéro</w:t>
      </w:r>
      <w:r w:rsidR="00966864" w:rsidRPr="009720B4">
        <w:rPr>
          <w:rFonts w:eastAsia="BatangChe"/>
          <w:lang w:eastAsia="en-CA"/>
        </w:rPr>
        <w:t xml:space="preserve"> </w:t>
      </w:r>
      <w:r w:rsidR="00966864" w:rsidRPr="009720B4">
        <w:rPr>
          <w:rFonts w:eastAsia="BatangChe"/>
          <w:b/>
          <w:lang w:eastAsia="en-CA"/>
        </w:rPr>
        <w:t>22.2</w:t>
      </w:r>
      <w:r w:rsidRPr="009720B4">
        <w:t>;</w:t>
      </w:r>
    </w:p>
    <w:p w14:paraId="1E3DADAE" w14:textId="35A60997" w:rsidR="00487EF0" w:rsidRPr="009720B4" w:rsidRDefault="00487EF0" w:rsidP="0051273B">
      <w:r w:rsidRPr="009720B4">
        <w:t>3</w:t>
      </w:r>
      <w:r w:rsidRPr="009720B4">
        <w:tab/>
      </w:r>
      <w:r w:rsidR="00CD1035" w:rsidRPr="009720B4">
        <w:t>à</w:t>
      </w:r>
      <w:r w:rsidR="0027137B" w:rsidRPr="009720B4">
        <w:t xml:space="preserve"> déterminer les </w:t>
      </w:r>
      <w:r w:rsidR="00CD1035" w:rsidRPr="009720B4">
        <w:t xml:space="preserve">autres modifications éventuelles à apporter en conséquence au Règlement des radiocommunications par suite d'éventuelles modifications apportées au titre du point 2 du </w:t>
      </w:r>
      <w:r w:rsidR="00CD1035" w:rsidRPr="009720B4">
        <w:rPr>
          <w:i/>
        </w:rPr>
        <w:t>décide d'inviter l'UIT-R</w:t>
      </w:r>
      <w:r w:rsidR="00CD1035" w:rsidRPr="009720B4">
        <w:t>, afin de faire en sorte que la continuité d'exploitation des réseaux OSG et des systèmes non OSG existants ou en projet ne soit pas interrompue, conformément au numéro </w:t>
      </w:r>
      <w:r w:rsidR="00CD1035" w:rsidRPr="009720B4">
        <w:rPr>
          <w:b/>
        </w:rPr>
        <w:t>22.2</w:t>
      </w:r>
      <w:r w:rsidR="00CD1035" w:rsidRPr="009720B4">
        <w:t xml:space="preserve">, en </w:t>
      </w:r>
      <w:r w:rsidR="0027137B" w:rsidRPr="009720B4">
        <w:t xml:space="preserve">concevant </w:t>
      </w:r>
      <w:r w:rsidR="00CD1035" w:rsidRPr="009720B4">
        <w:t>des mesures transitoires</w:t>
      </w:r>
      <w:r w:rsidR="0027137B" w:rsidRPr="009720B4">
        <w:t>,</w:t>
      </w:r>
      <w:r w:rsidR="00CD1035" w:rsidRPr="009720B4">
        <w:t xml:space="preserve"> le cas échéant</w:t>
      </w:r>
      <w:r w:rsidRPr="009720B4">
        <w:t>;</w:t>
      </w:r>
    </w:p>
    <w:p w14:paraId="3EA082EE" w14:textId="1C243C80" w:rsidR="00487EF0" w:rsidRPr="009720B4" w:rsidRDefault="00487EF0" w:rsidP="0051273B">
      <w:r w:rsidRPr="009720B4">
        <w:t>4</w:t>
      </w:r>
      <w:r w:rsidRPr="009720B4">
        <w:tab/>
      </w:r>
      <w:r w:rsidR="006F12EC" w:rsidRPr="009720B4">
        <w:t>à assurer la protection des réseau</w:t>
      </w:r>
      <w:r w:rsidR="00A503E6" w:rsidRPr="009720B4">
        <w:t>x</w:t>
      </w:r>
      <w:r w:rsidR="006F12EC" w:rsidRPr="009720B4">
        <w:t xml:space="preserve"> OSG, conformément au Règlement des radiocommunications de l'UIT</w:t>
      </w:r>
      <w:r w:rsidRPr="009720B4">
        <w:t>;</w:t>
      </w:r>
    </w:p>
    <w:p w14:paraId="765BA68F" w14:textId="5CD07A0A" w:rsidR="00487EF0" w:rsidRPr="009720B4" w:rsidRDefault="00487EF0" w:rsidP="0051273B">
      <w:r w:rsidRPr="009720B4">
        <w:t>5</w:t>
      </w:r>
      <w:r w:rsidRPr="009720B4">
        <w:tab/>
      </w:r>
      <w:r w:rsidR="00B57F17" w:rsidRPr="009720B4">
        <w:t xml:space="preserve">à </w:t>
      </w:r>
      <w:r w:rsidR="009F0257" w:rsidRPr="009720B4">
        <w:t xml:space="preserve">achever, d'ici à la CMR-27, l'élaboration d'une méthode appropriée permettant de modéliser avec précision les systèmes non OSG et de calculer les limites </w:t>
      </w:r>
      <w:r w:rsidR="0027137B" w:rsidRPr="009720B4">
        <w:t xml:space="preserve">de puissance cumulative </w:t>
      </w:r>
      <w:r w:rsidR="009F0257" w:rsidRPr="009720B4">
        <w:t>produite par tous les systèmes</w:t>
      </w:r>
      <w:r w:rsidR="0027137B" w:rsidRPr="009720B4">
        <w:t xml:space="preserve"> non OSG</w:t>
      </w:r>
      <w:r w:rsidR="009F0257" w:rsidRPr="009720B4">
        <w:t xml:space="preserve"> du SFS exploités</w:t>
      </w:r>
      <w:r w:rsidR="0027137B" w:rsidRPr="009720B4">
        <w:t>,</w:t>
      </w:r>
      <w:r w:rsidR="00A503E6" w:rsidRPr="009720B4">
        <w:t xml:space="preserve"> </w:t>
      </w:r>
      <w:r w:rsidR="009F0257" w:rsidRPr="009720B4">
        <w:t>ou qu'il est prévu d'exploiter</w:t>
      </w:r>
      <w:r w:rsidR="0027137B" w:rsidRPr="009720B4">
        <w:t xml:space="preserve">, </w:t>
      </w:r>
      <w:r w:rsidR="009F0257" w:rsidRPr="009720B4">
        <w:t xml:space="preserve">sur les mêmes fréquences que celles utilisées par </w:t>
      </w:r>
      <w:r w:rsidR="0027137B" w:rsidRPr="009720B4">
        <w:t xml:space="preserve">les </w:t>
      </w:r>
      <w:r w:rsidR="009F0257" w:rsidRPr="009720B4">
        <w:t xml:space="preserve">réseaux </w:t>
      </w:r>
      <w:r w:rsidR="0027137B" w:rsidRPr="009720B4">
        <w:t xml:space="preserve">OSG </w:t>
      </w:r>
      <w:r w:rsidR="009F0257" w:rsidRPr="009720B4">
        <w:t xml:space="preserve">du SFS et du SRS, ainsi que </w:t>
      </w:r>
      <w:r w:rsidR="0027137B" w:rsidRPr="009720B4">
        <w:t xml:space="preserve">des </w:t>
      </w:r>
      <w:r w:rsidR="009F0257" w:rsidRPr="009720B4">
        <w:t xml:space="preserve">autres éléments nécessaires pour permettre aux administrations de tenir des réunions de consultation </w:t>
      </w:r>
      <w:r w:rsidR="0027137B" w:rsidRPr="009720B4">
        <w:t xml:space="preserve">destinées à </w:t>
      </w:r>
      <w:r w:rsidR="009F0257" w:rsidRPr="009720B4">
        <w:t xml:space="preserve">confirmer le respect des limites </w:t>
      </w:r>
      <w:r w:rsidR="0027137B" w:rsidRPr="009720B4">
        <w:t xml:space="preserve">de puissance </w:t>
      </w:r>
      <w:r w:rsidR="009F0257" w:rsidRPr="009720B4">
        <w:t>cumulative applicables</w:t>
      </w:r>
      <w:r w:rsidRPr="009720B4">
        <w:t>;</w:t>
      </w:r>
    </w:p>
    <w:p w14:paraId="133FAFAD" w14:textId="5334F610" w:rsidR="00487EF0" w:rsidRPr="009720B4" w:rsidRDefault="00487EF0" w:rsidP="0051273B">
      <w:r w:rsidRPr="009720B4">
        <w:t>6</w:t>
      </w:r>
      <w:r w:rsidRPr="009720B4">
        <w:tab/>
      </w:r>
      <w:r w:rsidR="00D56635" w:rsidRPr="009720B4">
        <w:t xml:space="preserve">à élaborer, </w:t>
      </w:r>
      <w:r w:rsidR="009F0257" w:rsidRPr="009720B4">
        <w:t xml:space="preserve">sur la base des résultats des études visées aux points 1 et 2 du </w:t>
      </w:r>
      <w:r w:rsidR="009F0257" w:rsidRPr="009720B4">
        <w:rPr>
          <w:i/>
        </w:rPr>
        <w:t>décide d'inviter l'UIT-R</w:t>
      </w:r>
      <w:r w:rsidR="0027137B" w:rsidRPr="009720B4">
        <w:rPr>
          <w:i/>
        </w:rPr>
        <w:t xml:space="preserve"> ci-dessus</w:t>
      </w:r>
      <w:r w:rsidR="009F0257" w:rsidRPr="009720B4">
        <w:t>, les procédures que doivent suivre les administrations pour confirmer le respect des limites</w:t>
      </w:r>
      <w:r w:rsidR="0027137B" w:rsidRPr="009720B4">
        <w:t xml:space="preserve"> de puissance </w:t>
      </w:r>
      <w:r w:rsidR="009F0257" w:rsidRPr="009720B4">
        <w:t>cumulative applicables</w:t>
      </w:r>
      <w:r w:rsidRPr="009720B4">
        <w:t>;</w:t>
      </w:r>
    </w:p>
    <w:p w14:paraId="52B96222" w14:textId="31D0ABF7" w:rsidR="00487EF0" w:rsidRPr="009720B4" w:rsidRDefault="00487EF0" w:rsidP="0051273B">
      <w:r w:rsidRPr="009720B4">
        <w:lastRenderedPageBreak/>
        <w:t>7</w:t>
      </w:r>
      <w:r w:rsidRPr="009720B4">
        <w:tab/>
      </w:r>
      <w:r w:rsidR="009556F6" w:rsidRPr="009720B4">
        <w:t xml:space="preserve">à élaborer une méthode appropriée pour garantir le respect des limites </w:t>
      </w:r>
      <w:r w:rsidR="0027137B" w:rsidRPr="009720B4">
        <w:t xml:space="preserve">de puissance </w:t>
      </w:r>
      <w:r w:rsidR="009556F6" w:rsidRPr="009720B4">
        <w:t>cumulative applicables, en cas de dépassement de ces limites</w:t>
      </w:r>
      <w:r w:rsidRPr="009720B4">
        <w:t>;</w:t>
      </w:r>
    </w:p>
    <w:p w14:paraId="1A41D3AF" w14:textId="6C28BC5A" w:rsidR="00487EF0" w:rsidRPr="009720B4" w:rsidRDefault="00487EF0" w:rsidP="0051273B">
      <w:r w:rsidRPr="009720B4">
        <w:t>8</w:t>
      </w:r>
      <w:r w:rsidRPr="009720B4">
        <w:tab/>
      </w:r>
      <w:r w:rsidR="009F0257" w:rsidRPr="009720B4">
        <w:t>à élaborer dès que possible, sur la base des résultats des études</w:t>
      </w:r>
      <w:r w:rsidR="0027137B" w:rsidRPr="009720B4">
        <w:t xml:space="preserve"> dont il est question aux </w:t>
      </w:r>
      <w:r w:rsidR="009F0257" w:rsidRPr="009720B4">
        <w:t xml:space="preserve">points 1 et 2 du </w:t>
      </w:r>
      <w:r w:rsidR="009F0257" w:rsidRPr="009720B4">
        <w:rPr>
          <w:i/>
        </w:rPr>
        <w:t>décide d'inviter l'UIT-R</w:t>
      </w:r>
      <w:r w:rsidR="009F0257" w:rsidRPr="009720B4">
        <w:t>, les méthodes ou outils supplémentaires dont le Bureau pourrait avoir besoin pour examiner les fiches de notification de</w:t>
      </w:r>
      <w:r w:rsidR="0027137B" w:rsidRPr="009720B4">
        <w:t>s</w:t>
      </w:r>
      <w:r w:rsidR="009F0257" w:rsidRPr="009720B4">
        <w:t xml:space="preserve"> systèmes non OSG</w:t>
      </w:r>
      <w:r w:rsidR="0027137B" w:rsidRPr="009720B4">
        <w:t xml:space="preserve">, </w:t>
      </w:r>
      <w:r w:rsidR="009F0257" w:rsidRPr="009720B4">
        <w:t xml:space="preserve">afin de vérifier leur conformité </w:t>
      </w:r>
      <w:r w:rsidR="0027137B" w:rsidRPr="009720B4">
        <w:t xml:space="preserve">aux </w:t>
      </w:r>
      <w:r w:rsidR="009F0257" w:rsidRPr="009720B4">
        <w:t>limites d'epfd pour une seule source de brouillage</w:t>
      </w:r>
      <w:r w:rsidRPr="009720B4">
        <w:t>;</w:t>
      </w:r>
    </w:p>
    <w:p w14:paraId="7886E36F" w14:textId="515F5AED" w:rsidR="00487EF0" w:rsidRPr="009720B4" w:rsidRDefault="00487EF0" w:rsidP="0051273B">
      <w:r w:rsidRPr="009720B4">
        <w:t>9</w:t>
      </w:r>
      <w:r w:rsidRPr="009720B4">
        <w:tab/>
      </w:r>
      <w:r w:rsidR="009F0257" w:rsidRPr="009720B4">
        <w:t>à étudier et à déterminer les moyens permettant de faire en sorte que les limites pour une seule source de brouillage destinées à protéger les réseaux OSG soient appliquées pour un système complet</w:t>
      </w:r>
      <w:r w:rsidR="0027137B" w:rsidRPr="009720B4">
        <w:t>,</w:t>
      </w:r>
      <w:r w:rsidR="009F0257" w:rsidRPr="009720B4">
        <w:t xml:space="preserve"> et non </w:t>
      </w:r>
      <w:r w:rsidR="0027137B" w:rsidRPr="009720B4">
        <w:t xml:space="preserve">pour chaque </w:t>
      </w:r>
      <w:r w:rsidR="009F0257" w:rsidRPr="009720B4">
        <w:t>fiche de notification</w:t>
      </w:r>
      <w:r w:rsidRPr="009720B4">
        <w:t>,</w:t>
      </w:r>
    </w:p>
    <w:p w14:paraId="74F1092D" w14:textId="77777777" w:rsidR="00073C5F" w:rsidRPr="009720B4" w:rsidRDefault="00073C5F" w:rsidP="0051273B">
      <w:pPr>
        <w:pStyle w:val="Call"/>
      </w:pPr>
      <w:r w:rsidRPr="009720B4">
        <w:t>invite la Conférence mondiale des radiocommunications de 2027</w:t>
      </w:r>
    </w:p>
    <w:p w14:paraId="2F55B2E5" w14:textId="7931A704" w:rsidR="00073C5F" w:rsidRPr="009720B4" w:rsidRDefault="00073C5F" w:rsidP="0051273B">
      <w:r w:rsidRPr="009720B4">
        <w:t xml:space="preserve">à examiner les résultats des études susmentionnées et à prendre les mesures réglementaires nécessaires, </w:t>
      </w:r>
      <w:r w:rsidR="00A503E6" w:rsidRPr="009720B4">
        <w:t>s</w:t>
      </w:r>
      <w:r w:rsidR="0027137B" w:rsidRPr="009720B4">
        <w:t>elon qu'il conviendra</w:t>
      </w:r>
      <w:r w:rsidR="00A503E6" w:rsidRPr="009720B4">
        <w:t>.</w:t>
      </w:r>
    </w:p>
    <w:p w14:paraId="36FA4CEB" w14:textId="3F0A19FD" w:rsidR="00073C5F" w:rsidRPr="009720B4" w:rsidRDefault="00073C5F" w:rsidP="0051273B">
      <w:pPr>
        <w:pStyle w:val="Reasons"/>
      </w:pPr>
      <w:r w:rsidRPr="009720B4">
        <w:rPr>
          <w:b/>
          <w:bCs/>
        </w:rPr>
        <w:t>Motifs:</w:t>
      </w:r>
      <w:r w:rsidR="00707B58" w:rsidRPr="009720B4">
        <w:tab/>
      </w:r>
      <w:r w:rsidR="0027137B" w:rsidRPr="009720B4">
        <w:t xml:space="preserve">Mener </w:t>
      </w:r>
      <w:r w:rsidR="009F0257" w:rsidRPr="009720B4">
        <w:t xml:space="preserve">des études, dans les bandes de fréquences au-dessous de 30 GHz dans lesquelles les limites d'epfd de l'Article </w:t>
      </w:r>
      <w:r w:rsidR="009F0257" w:rsidRPr="009720B4">
        <w:rPr>
          <w:b/>
        </w:rPr>
        <w:t>22</w:t>
      </w:r>
      <w:r w:rsidR="009F0257" w:rsidRPr="009720B4">
        <w:t xml:space="preserve"> du RR s'appliquent, concernant les dispositions réglementaires, </w:t>
      </w:r>
      <w:r w:rsidR="007F77C7" w:rsidRPr="009720B4">
        <w:t xml:space="preserve">y compris </w:t>
      </w:r>
      <w:r w:rsidR="009F0257" w:rsidRPr="009720B4">
        <w:t xml:space="preserve">les limites d'epfd, applicables aux systèmes </w:t>
      </w:r>
      <w:r w:rsidR="007F77C7" w:rsidRPr="009720B4">
        <w:t xml:space="preserve">non OSG </w:t>
      </w:r>
      <w:r w:rsidR="009F0257" w:rsidRPr="009720B4">
        <w:t xml:space="preserve">du SFS pour la protection des réseaux </w:t>
      </w:r>
      <w:r w:rsidR="007F77C7" w:rsidRPr="009720B4">
        <w:t xml:space="preserve">OSG </w:t>
      </w:r>
      <w:r w:rsidR="009F0257" w:rsidRPr="009720B4">
        <w:t>du SFS et du SRS contre les brouillages inacceptables et pour la modification éventuelle de ces dispositions, tout en assurant la protection contre les brouillages inacceptables des réseaux OSG existants ou en projet, conformément au Règlement des radiocommunications de l'UIT, et</w:t>
      </w:r>
      <w:r w:rsidR="006E5874" w:rsidRPr="009720B4">
        <w:t xml:space="preserve"> </w:t>
      </w:r>
      <w:r w:rsidR="007F77C7" w:rsidRPr="009720B4">
        <w:t xml:space="preserve">définir </w:t>
      </w:r>
      <w:r w:rsidR="009F0257" w:rsidRPr="009720B4">
        <w:t>au besoin des mesures transitoires pour assurer la continuité de fonctionnement des réseaux OSG existants ou en projet et pour que les systèmes non OSG ne subissent pas de perturbations</w:t>
      </w:r>
      <w:r w:rsidR="00707B58" w:rsidRPr="009720B4">
        <w:t>.</w:t>
      </w:r>
    </w:p>
    <w:p w14:paraId="3B659E13" w14:textId="77777777" w:rsidR="00073C5F" w:rsidRPr="009720B4" w:rsidRDefault="00073C5F" w:rsidP="0051273B">
      <w:pPr>
        <w:jc w:val="center"/>
      </w:pPr>
      <w:r w:rsidRPr="009720B4">
        <w:t>______________</w:t>
      </w:r>
    </w:p>
    <w:sectPr w:rsidR="00073C5F" w:rsidRPr="009720B4">
      <w:headerReference w:type="default" r:id="rId24"/>
      <w:footerReference w:type="even" r:id="rId25"/>
      <w:footerReference w:type="default" r:id="rId26"/>
      <w:footerReference w:type="first" r:id="rId27"/>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75CAB" w14:textId="77777777" w:rsidR="00323E7B" w:rsidRDefault="00323E7B">
      <w:r>
        <w:separator/>
      </w:r>
    </w:p>
  </w:endnote>
  <w:endnote w:type="continuationSeparator" w:id="0">
    <w:p w14:paraId="136BFE37" w14:textId="77777777" w:rsidR="00323E7B" w:rsidRDefault="00323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6BE4" w14:textId="2BD2210F" w:rsidR="00323E7B" w:rsidRDefault="00323E7B">
    <w:pPr>
      <w:rPr>
        <w:lang w:val="en-US"/>
      </w:rPr>
    </w:pPr>
    <w:r>
      <w:fldChar w:fldCharType="begin"/>
    </w:r>
    <w:r>
      <w:rPr>
        <w:lang w:val="en-US"/>
      </w:rPr>
      <w:instrText xml:space="preserve"> FILENAME \p  \* MERGEFORMAT </w:instrText>
    </w:r>
    <w:r>
      <w:fldChar w:fldCharType="separate"/>
    </w:r>
    <w:r>
      <w:rPr>
        <w:noProof/>
        <w:lang w:val="en-US"/>
      </w:rPr>
      <w:t>Document1</w:t>
    </w:r>
    <w:r>
      <w:fldChar w:fldCharType="end"/>
    </w:r>
    <w:r>
      <w:rPr>
        <w:lang w:val="en-US"/>
      </w:rPr>
      <w:tab/>
    </w:r>
    <w:r>
      <w:fldChar w:fldCharType="begin"/>
    </w:r>
    <w:r>
      <w:instrText xml:space="preserve"> SAVEDATE \@ DD.MM.YY </w:instrText>
    </w:r>
    <w:r>
      <w:fldChar w:fldCharType="separate"/>
    </w:r>
    <w:r w:rsidR="00487B17">
      <w:rPr>
        <w:noProof/>
      </w:rPr>
      <w:t>14.11.23</w:t>
    </w:r>
    <w:r>
      <w:fldChar w:fldCharType="end"/>
    </w:r>
    <w:r>
      <w:rPr>
        <w:lang w:val="en-US"/>
      </w:rPr>
      <w:tab/>
    </w:r>
    <w:r>
      <w:fldChar w:fldCharType="begin"/>
    </w:r>
    <w:r>
      <w:instrText xml:space="preserve"> PRINTDATE \@ DD.MM.YY </w:instrText>
    </w:r>
    <w:r>
      <w:fldChar w:fldCharType="separate"/>
    </w:r>
    <w:r>
      <w:rPr>
        <w:noProof/>
      </w:rPr>
      <w:t>05.06.03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DB3A" w14:textId="1A256262" w:rsidR="00323E7B" w:rsidRDefault="00323E7B" w:rsidP="007B2C34">
    <w:pPr>
      <w:pStyle w:val="Footer"/>
      <w:rPr>
        <w:lang w:val="en-US"/>
      </w:rPr>
    </w:pPr>
    <w:r>
      <w:fldChar w:fldCharType="begin"/>
    </w:r>
    <w:r>
      <w:rPr>
        <w:lang w:val="en-US"/>
      </w:rPr>
      <w:instrText xml:space="preserve"> FILENAME \p  \* MERGEFORMAT </w:instrText>
    </w:r>
    <w:r>
      <w:fldChar w:fldCharType="separate"/>
    </w:r>
    <w:r w:rsidR="005B4390">
      <w:rPr>
        <w:lang w:val="en-US"/>
      </w:rPr>
      <w:t>P:\FRA\ITU-R\CONF-R\CMR23\100\121F.docx</w:t>
    </w:r>
    <w:r>
      <w:fldChar w:fldCharType="end"/>
    </w:r>
    <w:r w:rsidR="005B4390">
      <w:t xml:space="preserve"> (530265)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16DC" w14:textId="5AF0E146" w:rsidR="00323E7B" w:rsidRDefault="00323E7B" w:rsidP="001A11F6">
    <w:pPr>
      <w:pStyle w:val="Footer"/>
      <w:rPr>
        <w:lang w:val="en-US"/>
      </w:rPr>
    </w:pPr>
    <w:r>
      <w:fldChar w:fldCharType="begin"/>
    </w:r>
    <w:r>
      <w:rPr>
        <w:lang w:val="en-US"/>
      </w:rPr>
      <w:instrText xml:space="preserve"> FILENAME \p  \* MERGEFORMAT </w:instrText>
    </w:r>
    <w:r>
      <w:fldChar w:fldCharType="separate"/>
    </w:r>
    <w:r w:rsidR="005B4390">
      <w:rPr>
        <w:lang w:val="en-US"/>
      </w:rPr>
      <w:t>P:\FRA\ITU-R\CONF-R\CMR23\100\121F.docx</w:t>
    </w:r>
    <w:r>
      <w:fldChar w:fldCharType="end"/>
    </w:r>
    <w:r w:rsidR="005B4390">
      <w:t xml:space="preserve"> (530265)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B295" w14:textId="77777777" w:rsidR="00323E7B" w:rsidRDefault="00323E7B">
      <w:r>
        <w:rPr>
          <w:b/>
        </w:rPr>
        <w:t>_______________</w:t>
      </w:r>
    </w:p>
  </w:footnote>
  <w:footnote w:type="continuationSeparator" w:id="0">
    <w:p w14:paraId="6448459F" w14:textId="77777777" w:rsidR="00323E7B" w:rsidRDefault="00323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609E" w14:textId="170B289A" w:rsidR="00323E7B" w:rsidRDefault="00323E7B" w:rsidP="004F1F8E">
    <w:pPr>
      <w:pStyle w:val="Header"/>
    </w:pPr>
    <w:r>
      <w:fldChar w:fldCharType="begin"/>
    </w:r>
    <w:r>
      <w:instrText xml:space="preserve"> PAGE </w:instrText>
    </w:r>
    <w:r>
      <w:fldChar w:fldCharType="separate"/>
    </w:r>
    <w:r w:rsidR="00E70B11">
      <w:rPr>
        <w:noProof/>
      </w:rPr>
      <w:t>16</w:t>
    </w:r>
    <w:r>
      <w:fldChar w:fldCharType="end"/>
    </w:r>
  </w:p>
  <w:p w14:paraId="161C3D5B" w14:textId="77777777" w:rsidR="00323E7B" w:rsidRDefault="00323E7B" w:rsidP="00FD7AA3">
    <w:pPr>
      <w:pStyle w:val="Header"/>
    </w:pPr>
    <w:r>
      <w:t>WRC23/121-</w:t>
    </w:r>
    <w:r w:rsidRPr="00010B43">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16cid:durableId="1929919722">
    <w:abstractNumId w:val="0"/>
  </w:num>
  <w:num w:numId="2" w16cid:durableId="37848028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turche-Nazer, Anne-Marie">
    <w15:presenceInfo w15:providerId="AD" w15:userId="S::anne-marie.deturche@itu.int::40845eb8-3c04-4326-9bb8-01038e27fb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activeWritingStyle w:appName="MSWord" w:lang="fr-CH" w:vendorID="64" w:dllVersion="6" w:nlCheck="1" w:checkStyle="0"/>
  <w:activeWritingStyle w:appName="MSWord" w:lang="fr-FR"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82"/>
    <w:rsid w:val="000013E6"/>
    <w:rsid w:val="00003BBA"/>
    <w:rsid w:val="00007EC7"/>
    <w:rsid w:val="00007F99"/>
    <w:rsid w:val="00010B43"/>
    <w:rsid w:val="000112C7"/>
    <w:rsid w:val="00016648"/>
    <w:rsid w:val="00016946"/>
    <w:rsid w:val="0003522F"/>
    <w:rsid w:val="00035B43"/>
    <w:rsid w:val="00036372"/>
    <w:rsid w:val="000367FA"/>
    <w:rsid w:val="00046F37"/>
    <w:rsid w:val="00051D5B"/>
    <w:rsid w:val="000618B7"/>
    <w:rsid w:val="000620C2"/>
    <w:rsid w:val="00063A1F"/>
    <w:rsid w:val="00073C5F"/>
    <w:rsid w:val="00080E2C"/>
    <w:rsid w:val="00081366"/>
    <w:rsid w:val="000863B3"/>
    <w:rsid w:val="000A0F93"/>
    <w:rsid w:val="000A4755"/>
    <w:rsid w:val="000A4A93"/>
    <w:rsid w:val="000A55AE"/>
    <w:rsid w:val="000B2E0C"/>
    <w:rsid w:val="000B3D0C"/>
    <w:rsid w:val="000B6F53"/>
    <w:rsid w:val="000E2DD1"/>
    <w:rsid w:val="000F3281"/>
    <w:rsid w:val="001167B9"/>
    <w:rsid w:val="001267A0"/>
    <w:rsid w:val="001323BB"/>
    <w:rsid w:val="00136C13"/>
    <w:rsid w:val="0013763A"/>
    <w:rsid w:val="0015203F"/>
    <w:rsid w:val="00160C64"/>
    <w:rsid w:val="00175B11"/>
    <w:rsid w:val="0018169B"/>
    <w:rsid w:val="0018666A"/>
    <w:rsid w:val="0019352B"/>
    <w:rsid w:val="001960D0"/>
    <w:rsid w:val="001A11F6"/>
    <w:rsid w:val="001D5AD2"/>
    <w:rsid w:val="001E33FC"/>
    <w:rsid w:val="001F17E8"/>
    <w:rsid w:val="00204306"/>
    <w:rsid w:val="00225CF2"/>
    <w:rsid w:val="00232FD2"/>
    <w:rsid w:val="002469EF"/>
    <w:rsid w:val="00252DA9"/>
    <w:rsid w:val="0026554E"/>
    <w:rsid w:val="002660AE"/>
    <w:rsid w:val="0027137B"/>
    <w:rsid w:val="002842E8"/>
    <w:rsid w:val="002A1007"/>
    <w:rsid w:val="002A4622"/>
    <w:rsid w:val="002A6F8F"/>
    <w:rsid w:val="002B17E5"/>
    <w:rsid w:val="002B7019"/>
    <w:rsid w:val="002C0EBF"/>
    <w:rsid w:val="002C28A4"/>
    <w:rsid w:val="002D43D5"/>
    <w:rsid w:val="002D7E0A"/>
    <w:rsid w:val="002E5EC4"/>
    <w:rsid w:val="002F6448"/>
    <w:rsid w:val="00302556"/>
    <w:rsid w:val="003079AF"/>
    <w:rsid w:val="003106CF"/>
    <w:rsid w:val="00315AFE"/>
    <w:rsid w:val="00323E7B"/>
    <w:rsid w:val="00334CFE"/>
    <w:rsid w:val="00335776"/>
    <w:rsid w:val="00340CF9"/>
    <w:rsid w:val="003411F6"/>
    <w:rsid w:val="00353BC9"/>
    <w:rsid w:val="003606A6"/>
    <w:rsid w:val="0036650C"/>
    <w:rsid w:val="0038214D"/>
    <w:rsid w:val="00393ACD"/>
    <w:rsid w:val="003A583E"/>
    <w:rsid w:val="003A6596"/>
    <w:rsid w:val="003B0AC1"/>
    <w:rsid w:val="003B3B22"/>
    <w:rsid w:val="003C1E4F"/>
    <w:rsid w:val="003E112B"/>
    <w:rsid w:val="003E191B"/>
    <w:rsid w:val="003E1D1C"/>
    <w:rsid w:val="003E5A6D"/>
    <w:rsid w:val="003E7B05"/>
    <w:rsid w:val="003F3719"/>
    <w:rsid w:val="003F696F"/>
    <w:rsid w:val="003F6F2D"/>
    <w:rsid w:val="003F7FF4"/>
    <w:rsid w:val="0041062D"/>
    <w:rsid w:val="00415712"/>
    <w:rsid w:val="00420EAE"/>
    <w:rsid w:val="00441FED"/>
    <w:rsid w:val="0045005E"/>
    <w:rsid w:val="00466211"/>
    <w:rsid w:val="0048152F"/>
    <w:rsid w:val="00483196"/>
    <w:rsid w:val="004834A9"/>
    <w:rsid w:val="00487B17"/>
    <w:rsid w:val="00487EF0"/>
    <w:rsid w:val="004B491B"/>
    <w:rsid w:val="004B5727"/>
    <w:rsid w:val="004D01FC"/>
    <w:rsid w:val="004D3A3D"/>
    <w:rsid w:val="004D6A6A"/>
    <w:rsid w:val="004E1BA1"/>
    <w:rsid w:val="004E28C3"/>
    <w:rsid w:val="004E3700"/>
    <w:rsid w:val="004F1F8E"/>
    <w:rsid w:val="005046E5"/>
    <w:rsid w:val="0051273B"/>
    <w:rsid w:val="00512A32"/>
    <w:rsid w:val="005134AE"/>
    <w:rsid w:val="005343DA"/>
    <w:rsid w:val="005553ED"/>
    <w:rsid w:val="00560874"/>
    <w:rsid w:val="00566ADC"/>
    <w:rsid w:val="005700D7"/>
    <w:rsid w:val="00577E5D"/>
    <w:rsid w:val="00585AEE"/>
    <w:rsid w:val="00585B21"/>
    <w:rsid w:val="00586CF2"/>
    <w:rsid w:val="005A7C75"/>
    <w:rsid w:val="005B4390"/>
    <w:rsid w:val="005B4906"/>
    <w:rsid w:val="005B72D8"/>
    <w:rsid w:val="005C3768"/>
    <w:rsid w:val="005C6C3F"/>
    <w:rsid w:val="005D35BB"/>
    <w:rsid w:val="005E5C82"/>
    <w:rsid w:val="005F1CF9"/>
    <w:rsid w:val="005F7258"/>
    <w:rsid w:val="00600786"/>
    <w:rsid w:val="00613635"/>
    <w:rsid w:val="0062093D"/>
    <w:rsid w:val="00624D6B"/>
    <w:rsid w:val="00637C64"/>
    <w:rsid w:val="00637ECF"/>
    <w:rsid w:val="00645B87"/>
    <w:rsid w:val="00647B59"/>
    <w:rsid w:val="0067106B"/>
    <w:rsid w:val="006817D6"/>
    <w:rsid w:val="00683D4B"/>
    <w:rsid w:val="00690C7B"/>
    <w:rsid w:val="006A38F0"/>
    <w:rsid w:val="006A4B45"/>
    <w:rsid w:val="006D4724"/>
    <w:rsid w:val="006D79AC"/>
    <w:rsid w:val="006E5874"/>
    <w:rsid w:val="006F12EC"/>
    <w:rsid w:val="006F5FA2"/>
    <w:rsid w:val="0070076C"/>
    <w:rsid w:val="00701BAE"/>
    <w:rsid w:val="00707B58"/>
    <w:rsid w:val="0071473E"/>
    <w:rsid w:val="00721F04"/>
    <w:rsid w:val="00726AE0"/>
    <w:rsid w:val="00730E95"/>
    <w:rsid w:val="007426B9"/>
    <w:rsid w:val="007455F8"/>
    <w:rsid w:val="007529A5"/>
    <w:rsid w:val="00762147"/>
    <w:rsid w:val="007623E2"/>
    <w:rsid w:val="00764342"/>
    <w:rsid w:val="00771057"/>
    <w:rsid w:val="00774362"/>
    <w:rsid w:val="0078160A"/>
    <w:rsid w:val="00786598"/>
    <w:rsid w:val="00786ECD"/>
    <w:rsid w:val="0078741D"/>
    <w:rsid w:val="00790C74"/>
    <w:rsid w:val="007A04E8"/>
    <w:rsid w:val="007B1D72"/>
    <w:rsid w:val="007B2C34"/>
    <w:rsid w:val="007B714F"/>
    <w:rsid w:val="007C6767"/>
    <w:rsid w:val="007F282B"/>
    <w:rsid w:val="007F77C7"/>
    <w:rsid w:val="0080026D"/>
    <w:rsid w:val="00805A75"/>
    <w:rsid w:val="00806D14"/>
    <w:rsid w:val="00817D39"/>
    <w:rsid w:val="00830086"/>
    <w:rsid w:val="00845FDC"/>
    <w:rsid w:val="00851625"/>
    <w:rsid w:val="00863C0A"/>
    <w:rsid w:val="00873774"/>
    <w:rsid w:val="00887F87"/>
    <w:rsid w:val="00891ED3"/>
    <w:rsid w:val="008A3120"/>
    <w:rsid w:val="008A4B97"/>
    <w:rsid w:val="008B34F8"/>
    <w:rsid w:val="008C5B8E"/>
    <w:rsid w:val="008C5DD5"/>
    <w:rsid w:val="008C7123"/>
    <w:rsid w:val="008D41BE"/>
    <w:rsid w:val="008D58D3"/>
    <w:rsid w:val="008E3BC9"/>
    <w:rsid w:val="00914E7F"/>
    <w:rsid w:val="00923064"/>
    <w:rsid w:val="00930FFD"/>
    <w:rsid w:val="00934DE2"/>
    <w:rsid w:val="00935E5F"/>
    <w:rsid w:val="00936D25"/>
    <w:rsid w:val="00941EA5"/>
    <w:rsid w:val="00944595"/>
    <w:rsid w:val="00944D4D"/>
    <w:rsid w:val="009556F6"/>
    <w:rsid w:val="00963E40"/>
    <w:rsid w:val="00964700"/>
    <w:rsid w:val="00966864"/>
    <w:rsid w:val="00966C16"/>
    <w:rsid w:val="009720B4"/>
    <w:rsid w:val="00982A62"/>
    <w:rsid w:val="0098732F"/>
    <w:rsid w:val="009A045F"/>
    <w:rsid w:val="009A67D3"/>
    <w:rsid w:val="009A6A2B"/>
    <w:rsid w:val="009B5FBC"/>
    <w:rsid w:val="009C31FB"/>
    <w:rsid w:val="009C7E7C"/>
    <w:rsid w:val="009D5130"/>
    <w:rsid w:val="009F0257"/>
    <w:rsid w:val="00A00473"/>
    <w:rsid w:val="00A03C9B"/>
    <w:rsid w:val="00A36217"/>
    <w:rsid w:val="00A37105"/>
    <w:rsid w:val="00A503E6"/>
    <w:rsid w:val="00A507AF"/>
    <w:rsid w:val="00A55A11"/>
    <w:rsid w:val="00A606C3"/>
    <w:rsid w:val="00A70445"/>
    <w:rsid w:val="00A83B09"/>
    <w:rsid w:val="00A84541"/>
    <w:rsid w:val="00A907DC"/>
    <w:rsid w:val="00A918E8"/>
    <w:rsid w:val="00AA31D2"/>
    <w:rsid w:val="00AA6B88"/>
    <w:rsid w:val="00AB2BD9"/>
    <w:rsid w:val="00AD7198"/>
    <w:rsid w:val="00AE36A0"/>
    <w:rsid w:val="00AE5FAE"/>
    <w:rsid w:val="00AF55A2"/>
    <w:rsid w:val="00AF6F15"/>
    <w:rsid w:val="00B00294"/>
    <w:rsid w:val="00B00B91"/>
    <w:rsid w:val="00B10BA2"/>
    <w:rsid w:val="00B15F1D"/>
    <w:rsid w:val="00B1795A"/>
    <w:rsid w:val="00B2492B"/>
    <w:rsid w:val="00B3749C"/>
    <w:rsid w:val="00B47C51"/>
    <w:rsid w:val="00B47FC0"/>
    <w:rsid w:val="00B57F17"/>
    <w:rsid w:val="00B64FD0"/>
    <w:rsid w:val="00B86D3C"/>
    <w:rsid w:val="00B91C27"/>
    <w:rsid w:val="00BA56C5"/>
    <w:rsid w:val="00BA5BD0"/>
    <w:rsid w:val="00BB1D82"/>
    <w:rsid w:val="00BB4F09"/>
    <w:rsid w:val="00BC217E"/>
    <w:rsid w:val="00BC442E"/>
    <w:rsid w:val="00BD51C5"/>
    <w:rsid w:val="00BF26E7"/>
    <w:rsid w:val="00BF7E02"/>
    <w:rsid w:val="00C028FF"/>
    <w:rsid w:val="00C1305F"/>
    <w:rsid w:val="00C13CFB"/>
    <w:rsid w:val="00C164EC"/>
    <w:rsid w:val="00C220BC"/>
    <w:rsid w:val="00C44230"/>
    <w:rsid w:val="00C53FCA"/>
    <w:rsid w:val="00C54F4C"/>
    <w:rsid w:val="00C64919"/>
    <w:rsid w:val="00C717E6"/>
    <w:rsid w:val="00C71DEB"/>
    <w:rsid w:val="00C76BAF"/>
    <w:rsid w:val="00C814B9"/>
    <w:rsid w:val="00C86A53"/>
    <w:rsid w:val="00C90584"/>
    <w:rsid w:val="00CA1135"/>
    <w:rsid w:val="00CA7477"/>
    <w:rsid w:val="00CB28E3"/>
    <w:rsid w:val="00CB685A"/>
    <w:rsid w:val="00CC00C5"/>
    <w:rsid w:val="00CC04FE"/>
    <w:rsid w:val="00CD1035"/>
    <w:rsid w:val="00CD2896"/>
    <w:rsid w:val="00CD460C"/>
    <w:rsid w:val="00CD516F"/>
    <w:rsid w:val="00D01AB0"/>
    <w:rsid w:val="00D119A7"/>
    <w:rsid w:val="00D25FBA"/>
    <w:rsid w:val="00D32B28"/>
    <w:rsid w:val="00D3426F"/>
    <w:rsid w:val="00D42954"/>
    <w:rsid w:val="00D56635"/>
    <w:rsid w:val="00D60234"/>
    <w:rsid w:val="00D66EAC"/>
    <w:rsid w:val="00D7015D"/>
    <w:rsid w:val="00D730DF"/>
    <w:rsid w:val="00D772F0"/>
    <w:rsid w:val="00D77BDC"/>
    <w:rsid w:val="00DA69CD"/>
    <w:rsid w:val="00DC2D48"/>
    <w:rsid w:val="00DC402B"/>
    <w:rsid w:val="00DC7B3A"/>
    <w:rsid w:val="00DE0932"/>
    <w:rsid w:val="00DE171E"/>
    <w:rsid w:val="00DF15E8"/>
    <w:rsid w:val="00E03A27"/>
    <w:rsid w:val="00E0437A"/>
    <w:rsid w:val="00E049F1"/>
    <w:rsid w:val="00E1465B"/>
    <w:rsid w:val="00E37A25"/>
    <w:rsid w:val="00E45B9D"/>
    <w:rsid w:val="00E50EF2"/>
    <w:rsid w:val="00E537FF"/>
    <w:rsid w:val="00E60CB2"/>
    <w:rsid w:val="00E6539B"/>
    <w:rsid w:val="00E70A31"/>
    <w:rsid w:val="00E70B11"/>
    <w:rsid w:val="00E723A7"/>
    <w:rsid w:val="00E8782F"/>
    <w:rsid w:val="00EA3F38"/>
    <w:rsid w:val="00EA5AB6"/>
    <w:rsid w:val="00EB4FD0"/>
    <w:rsid w:val="00EC5FCB"/>
    <w:rsid w:val="00EC7615"/>
    <w:rsid w:val="00ED0E05"/>
    <w:rsid w:val="00ED16AA"/>
    <w:rsid w:val="00ED6B8D"/>
    <w:rsid w:val="00EE3D7B"/>
    <w:rsid w:val="00EE405D"/>
    <w:rsid w:val="00EF480B"/>
    <w:rsid w:val="00EF662E"/>
    <w:rsid w:val="00F04D27"/>
    <w:rsid w:val="00F05569"/>
    <w:rsid w:val="00F05CCA"/>
    <w:rsid w:val="00F10064"/>
    <w:rsid w:val="00F148F1"/>
    <w:rsid w:val="00F44138"/>
    <w:rsid w:val="00F5559F"/>
    <w:rsid w:val="00F711A7"/>
    <w:rsid w:val="00F75938"/>
    <w:rsid w:val="00FA0510"/>
    <w:rsid w:val="00FA3BBF"/>
    <w:rsid w:val="00FA61EF"/>
    <w:rsid w:val="00FC1A8A"/>
    <w:rsid w:val="00FC41F8"/>
    <w:rsid w:val="00FC7C7E"/>
    <w:rsid w:val="00FD7AA3"/>
    <w:rsid w:val="00FF1C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2612F6D"/>
  <w15:docId w15:val="{E64EFC77-0A4D-4241-A40B-28A73453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FF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link w:val="CallChar"/>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C814B9"/>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qFormat/>
    <w:rsid w:val="000B2E0C"/>
    <w:pPr>
      <w:keepNext/>
      <w:spacing w:before="160"/>
    </w:pPr>
    <w:rPr>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link w:val="NormalaftertitleChar"/>
    <w:qFormat/>
    <w:pPr>
      <w:spacing w:before="280"/>
    </w:pPr>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character" w:customStyle="1" w:styleId="Artref">
    <w:name w:val="Art_ref"/>
    <w:basedOn w:val="DefaultParagraphFont"/>
  </w:style>
  <w:style w:type="paragraph" w:customStyle="1" w:styleId="Border">
    <w:name w:val="Border"/>
    <w:basedOn w:val="Normal"/>
    <w:rsid w:val="004E28C3"/>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4E28C3"/>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B00294"/>
  </w:style>
  <w:style w:type="paragraph" w:customStyle="1" w:styleId="ApptoAnnex">
    <w:name w:val="App_to_Annex"/>
    <w:basedOn w:val="AppendixNo"/>
    <w:qFormat/>
    <w:rsid w:val="00B00294"/>
  </w:style>
  <w:style w:type="paragraph" w:customStyle="1" w:styleId="Note">
    <w:name w:val="Note"/>
    <w:basedOn w:val="Normal"/>
    <w:rsid w:val="00E37A25"/>
    <w:pPr>
      <w:tabs>
        <w:tab w:val="left" w:pos="284"/>
      </w:tabs>
      <w:spacing w:before="80"/>
    </w:pPr>
  </w:style>
  <w:style w:type="character" w:styleId="PageNumber">
    <w:name w:val="page number"/>
    <w:basedOn w:val="DefaultParagraphFont"/>
    <w:rsid w:val="00E37A25"/>
  </w:style>
  <w:style w:type="paragraph" w:customStyle="1" w:styleId="Proposal">
    <w:name w:val="Proposal"/>
    <w:basedOn w:val="Normal"/>
    <w:next w:val="Normal"/>
    <w:rsid w:val="007426B9"/>
    <w:pPr>
      <w:keepNext/>
      <w:spacing w:before="240"/>
    </w:pPr>
    <w:rPr>
      <w:rFonts w:hAnsi="Times New Roman Bold"/>
      <w:b/>
    </w:rPr>
  </w:style>
  <w:style w:type="paragraph" w:customStyle="1" w:styleId="Part1">
    <w:name w:val="Part_1"/>
    <w:basedOn w:val="Normal"/>
    <w:next w:val="Normal"/>
    <w:qFormat/>
    <w:rsid w:val="00466211"/>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466211"/>
  </w:style>
  <w:style w:type="paragraph" w:customStyle="1" w:styleId="Parttitle">
    <w:name w:val="Part_title"/>
    <w:basedOn w:val="Annextitle"/>
    <w:next w:val="Normalaftertitle"/>
    <w:rsid w:val="00466211"/>
  </w:style>
  <w:style w:type="paragraph" w:styleId="TOC1">
    <w:name w:val="toc 1"/>
    <w:basedOn w:val="Normal"/>
    <w:rsid w:val="00D25FB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25FBA"/>
    <w:pPr>
      <w:spacing w:before="120"/>
    </w:pPr>
  </w:style>
  <w:style w:type="paragraph" w:styleId="TOC3">
    <w:name w:val="toc 3"/>
    <w:basedOn w:val="TOC2"/>
    <w:rsid w:val="00D25FBA"/>
  </w:style>
  <w:style w:type="paragraph" w:styleId="TOC4">
    <w:name w:val="toc 4"/>
    <w:basedOn w:val="TOC3"/>
    <w:rsid w:val="00D25FBA"/>
  </w:style>
  <w:style w:type="paragraph" w:styleId="TOC5">
    <w:name w:val="toc 5"/>
    <w:basedOn w:val="TOC4"/>
    <w:rsid w:val="00D25FBA"/>
  </w:style>
  <w:style w:type="paragraph" w:styleId="TOC6">
    <w:name w:val="toc 6"/>
    <w:basedOn w:val="TOC4"/>
    <w:rsid w:val="00D25FBA"/>
  </w:style>
  <w:style w:type="paragraph" w:styleId="TOC7">
    <w:name w:val="toc 7"/>
    <w:basedOn w:val="TOC4"/>
    <w:rsid w:val="00D25FBA"/>
  </w:style>
  <w:style w:type="paragraph" w:styleId="TOC8">
    <w:name w:val="toc 8"/>
    <w:basedOn w:val="TOC4"/>
    <w:rsid w:val="00D25FBA"/>
  </w:style>
  <w:style w:type="paragraph" w:customStyle="1" w:styleId="Title1">
    <w:name w:val="Title 1"/>
    <w:basedOn w:val="Normal"/>
    <w:next w:val="Normal"/>
    <w:rsid w:val="00D25FBA"/>
    <w:pPr>
      <w:tabs>
        <w:tab w:val="left" w:pos="567"/>
        <w:tab w:val="left" w:pos="1701"/>
        <w:tab w:val="left" w:pos="2835"/>
      </w:tabs>
      <w:spacing w:before="240"/>
      <w:jc w:val="center"/>
    </w:pPr>
    <w:rPr>
      <w:caps/>
      <w:sz w:val="28"/>
    </w:rPr>
  </w:style>
  <w:style w:type="paragraph" w:customStyle="1" w:styleId="Title2">
    <w:name w:val="Title 2"/>
    <w:basedOn w:val="Normal"/>
    <w:next w:val="Normal"/>
    <w:rsid w:val="00D25FBA"/>
    <w:pPr>
      <w:overflowPunct/>
      <w:autoSpaceDE/>
      <w:autoSpaceDN/>
      <w:adjustRightInd/>
      <w:spacing w:before="480"/>
      <w:jc w:val="center"/>
      <w:textAlignment w:val="auto"/>
    </w:pPr>
    <w:rPr>
      <w:caps/>
      <w:sz w:val="28"/>
    </w:rPr>
  </w:style>
  <w:style w:type="paragraph" w:customStyle="1" w:styleId="Title3">
    <w:name w:val="Title 3"/>
    <w:basedOn w:val="Title2"/>
    <w:next w:val="Normal"/>
    <w:rsid w:val="00D25FBA"/>
    <w:pPr>
      <w:spacing w:before="240"/>
    </w:pPr>
    <w:rPr>
      <w:caps w:val="0"/>
    </w:rPr>
  </w:style>
  <w:style w:type="paragraph" w:customStyle="1" w:styleId="Title4">
    <w:name w:val="Title 4"/>
    <w:basedOn w:val="Title3"/>
    <w:next w:val="Heading1"/>
    <w:rsid w:val="00D25FBA"/>
    <w:rPr>
      <w:b/>
    </w:rPr>
  </w:style>
  <w:style w:type="paragraph" w:customStyle="1" w:styleId="toc0">
    <w:name w:val="toc 0"/>
    <w:basedOn w:val="Normal"/>
    <w:next w:val="TOC1"/>
    <w:rsid w:val="00D25FBA"/>
    <w:pPr>
      <w:tabs>
        <w:tab w:val="clear" w:pos="1134"/>
        <w:tab w:val="clear" w:pos="1871"/>
        <w:tab w:val="clear" w:pos="2268"/>
        <w:tab w:val="right" w:pos="9781"/>
      </w:tabs>
    </w:pPr>
    <w:rPr>
      <w:b/>
    </w:rPr>
  </w:style>
  <w:style w:type="paragraph" w:customStyle="1" w:styleId="RecNo">
    <w:name w:val="Rec_No"/>
    <w:basedOn w:val="Normal"/>
    <w:next w:val="Normal"/>
    <w:rsid w:val="00D25FBA"/>
    <w:pPr>
      <w:keepNext/>
      <w:keepLines/>
      <w:spacing w:before="480"/>
      <w:jc w:val="center"/>
    </w:pPr>
    <w:rPr>
      <w:caps/>
      <w:sz w:val="28"/>
    </w:rPr>
  </w:style>
  <w:style w:type="paragraph" w:customStyle="1" w:styleId="Rectitle">
    <w:name w:val="Rec_title"/>
    <w:basedOn w:val="RecNo"/>
    <w:next w:val="Normal"/>
    <w:rsid w:val="00D25FBA"/>
    <w:pPr>
      <w:spacing w:before="240"/>
    </w:pPr>
    <w:rPr>
      <w:rFonts w:ascii="Times New Roman Bold" w:hAnsi="Times New Roman Bold"/>
      <w:b/>
      <w:caps w:val="0"/>
    </w:rPr>
  </w:style>
  <w:style w:type="paragraph" w:customStyle="1" w:styleId="Recdate">
    <w:name w:val="Rec_date"/>
    <w:basedOn w:val="Normal"/>
    <w:next w:val="Normalaftertitle"/>
    <w:rsid w:val="0098732F"/>
    <w:pPr>
      <w:keepNext/>
      <w:keepLines/>
      <w:jc w:val="right"/>
    </w:pPr>
    <w:rPr>
      <w:sz w:val="22"/>
    </w:rPr>
  </w:style>
  <w:style w:type="paragraph" w:customStyle="1" w:styleId="Questiondate">
    <w:name w:val="Question_date"/>
    <w:basedOn w:val="Recdate"/>
    <w:next w:val="Normalaftertitle"/>
    <w:rsid w:val="00D25FBA"/>
  </w:style>
  <w:style w:type="paragraph" w:customStyle="1" w:styleId="QuestionNo">
    <w:name w:val="Question_No"/>
    <w:basedOn w:val="RecNo"/>
    <w:next w:val="Normal"/>
    <w:rsid w:val="00D25FBA"/>
  </w:style>
  <w:style w:type="paragraph" w:customStyle="1" w:styleId="Questiontitle">
    <w:name w:val="Question_title"/>
    <w:basedOn w:val="Rectitle"/>
    <w:next w:val="Normal"/>
    <w:rsid w:val="00D25FBA"/>
  </w:style>
  <w:style w:type="paragraph" w:customStyle="1" w:styleId="Reasons">
    <w:name w:val="Reasons"/>
    <w:basedOn w:val="Normal"/>
    <w:qFormat/>
    <w:rsid w:val="00D25FBA"/>
    <w:pPr>
      <w:tabs>
        <w:tab w:val="clear" w:pos="1871"/>
        <w:tab w:val="clear" w:pos="2268"/>
        <w:tab w:val="left" w:pos="1588"/>
        <w:tab w:val="left" w:pos="1985"/>
      </w:tabs>
    </w:pPr>
  </w:style>
  <w:style w:type="character" w:customStyle="1" w:styleId="Recdef">
    <w:name w:val="Rec_def"/>
    <w:rsid w:val="00D25FBA"/>
    <w:rPr>
      <w:b/>
    </w:rPr>
  </w:style>
  <w:style w:type="paragraph" w:customStyle="1" w:styleId="Reftext">
    <w:name w:val="Ref_text"/>
    <w:basedOn w:val="Normal"/>
    <w:rsid w:val="00D25FBA"/>
    <w:pPr>
      <w:ind w:left="1134" w:hanging="1134"/>
    </w:pPr>
  </w:style>
  <w:style w:type="paragraph" w:customStyle="1" w:styleId="Reftitle">
    <w:name w:val="Ref_title"/>
    <w:basedOn w:val="Normal"/>
    <w:next w:val="Reftext"/>
    <w:rsid w:val="00D25FBA"/>
    <w:pPr>
      <w:spacing w:before="480"/>
      <w:jc w:val="center"/>
    </w:pPr>
    <w:rPr>
      <w:caps/>
    </w:rPr>
  </w:style>
  <w:style w:type="paragraph" w:customStyle="1" w:styleId="Repdate">
    <w:name w:val="Rep_date"/>
    <w:basedOn w:val="Recdate"/>
    <w:next w:val="Normalaftertitle"/>
    <w:rsid w:val="00D25FBA"/>
  </w:style>
  <w:style w:type="paragraph" w:customStyle="1" w:styleId="RepNo">
    <w:name w:val="Rep_No"/>
    <w:basedOn w:val="RecNo"/>
    <w:next w:val="Normal"/>
    <w:rsid w:val="00D25FBA"/>
  </w:style>
  <w:style w:type="paragraph" w:customStyle="1" w:styleId="Repref">
    <w:name w:val="Rep_ref"/>
    <w:basedOn w:val="Normal"/>
    <w:next w:val="Repdate"/>
    <w:rsid w:val="0098732F"/>
    <w:pPr>
      <w:keepNext/>
      <w:keepLines/>
      <w:jc w:val="center"/>
    </w:pPr>
  </w:style>
  <w:style w:type="paragraph" w:customStyle="1" w:styleId="Reptitle">
    <w:name w:val="Rep_title"/>
    <w:basedOn w:val="Rectitle"/>
    <w:next w:val="Repref"/>
    <w:rsid w:val="00D25FBA"/>
  </w:style>
  <w:style w:type="paragraph" w:customStyle="1" w:styleId="Resdate">
    <w:name w:val="Res_date"/>
    <w:basedOn w:val="Recdate"/>
    <w:next w:val="Normalaftertitle"/>
    <w:rsid w:val="00D25FBA"/>
  </w:style>
  <w:style w:type="character" w:customStyle="1" w:styleId="Resdef">
    <w:name w:val="Res_def"/>
    <w:rsid w:val="00D25FBA"/>
    <w:rPr>
      <w:rFonts w:ascii="Times New Roman" w:hAnsi="Times New Roman"/>
      <w:b/>
    </w:rPr>
  </w:style>
  <w:style w:type="paragraph" w:customStyle="1" w:styleId="ResNo">
    <w:name w:val="Res_No"/>
    <w:basedOn w:val="RecNo"/>
    <w:next w:val="Normal"/>
    <w:link w:val="ResNoChar"/>
    <w:rsid w:val="00D25FBA"/>
  </w:style>
  <w:style w:type="paragraph" w:customStyle="1" w:styleId="Restitle">
    <w:name w:val="Res_title"/>
    <w:basedOn w:val="Rectitle"/>
    <w:next w:val="Normal"/>
    <w:link w:val="RestitleChar"/>
    <w:rsid w:val="00D25FBA"/>
  </w:style>
  <w:style w:type="paragraph" w:customStyle="1" w:styleId="Section1">
    <w:name w:val="Section_1"/>
    <w:basedOn w:val="Normal"/>
    <w:rsid w:val="00D25FB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25FBA"/>
    <w:rPr>
      <w:b w:val="0"/>
      <w:i/>
    </w:rPr>
  </w:style>
  <w:style w:type="paragraph" w:customStyle="1" w:styleId="Section3">
    <w:name w:val="Section_3"/>
    <w:basedOn w:val="Section1"/>
    <w:rsid w:val="00D25FBA"/>
    <w:rPr>
      <w:b w:val="0"/>
    </w:rPr>
  </w:style>
  <w:style w:type="paragraph" w:customStyle="1" w:styleId="SectionNo">
    <w:name w:val="Section_No"/>
    <w:basedOn w:val="AnnexNo"/>
    <w:next w:val="Normal"/>
    <w:rsid w:val="00D25FBA"/>
  </w:style>
  <w:style w:type="paragraph" w:customStyle="1" w:styleId="Sectiontitle">
    <w:name w:val="Section_title"/>
    <w:basedOn w:val="Annextitle"/>
    <w:next w:val="Normalaftertitle"/>
    <w:rsid w:val="00D25FBA"/>
  </w:style>
  <w:style w:type="paragraph" w:customStyle="1" w:styleId="Source">
    <w:name w:val="Source"/>
    <w:basedOn w:val="Normal"/>
    <w:next w:val="Normal"/>
    <w:rsid w:val="00D25FBA"/>
    <w:pPr>
      <w:spacing w:before="840"/>
      <w:jc w:val="center"/>
    </w:pPr>
    <w:rPr>
      <w:b/>
      <w:sz w:val="28"/>
    </w:rPr>
  </w:style>
  <w:style w:type="paragraph" w:customStyle="1" w:styleId="SpecialFooter">
    <w:name w:val="Special Footer"/>
    <w:basedOn w:val="Footer"/>
    <w:rsid w:val="00D25FBA"/>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25FBA"/>
  </w:style>
  <w:style w:type="character" w:customStyle="1" w:styleId="Tablefreq">
    <w:name w:val="Table_freq"/>
    <w:rsid w:val="00D25FBA"/>
    <w:rPr>
      <w:b/>
      <w:color w:val="auto"/>
      <w:sz w:val="20"/>
    </w:rPr>
  </w:style>
  <w:style w:type="paragraph" w:customStyle="1" w:styleId="Tabletext">
    <w:name w:val="Table_text"/>
    <w:basedOn w:val="Normal"/>
    <w:rsid w:val="00D25F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D25FBA"/>
    <w:pPr>
      <w:keepNext/>
      <w:spacing w:before="80" w:after="80"/>
      <w:jc w:val="center"/>
    </w:pPr>
    <w:rPr>
      <w:b/>
    </w:rPr>
  </w:style>
  <w:style w:type="paragraph" w:customStyle="1" w:styleId="Tablelegend">
    <w:name w:val="Table_legend"/>
    <w:basedOn w:val="Tabletext"/>
    <w:rsid w:val="00D25FBA"/>
    <w:pPr>
      <w:tabs>
        <w:tab w:val="clear" w:pos="284"/>
      </w:tabs>
      <w:spacing w:before="120"/>
    </w:pPr>
  </w:style>
  <w:style w:type="paragraph" w:customStyle="1" w:styleId="TableNo">
    <w:name w:val="Table_No"/>
    <w:basedOn w:val="Normal"/>
    <w:next w:val="Normal"/>
    <w:rsid w:val="00D25FBA"/>
    <w:pPr>
      <w:keepNext/>
      <w:spacing w:before="560" w:after="120"/>
      <w:jc w:val="center"/>
    </w:pPr>
    <w:rPr>
      <w:caps/>
      <w:sz w:val="20"/>
    </w:rPr>
  </w:style>
  <w:style w:type="paragraph" w:customStyle="1" w:styleId="TableTextS5">
    <w:name w:val="Table_TextS5"/>
    <w:basedOn w:val="Normal"/>
    <w:rsid w:val="00560874"/>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D25FBA"/>
    <w:pPr>
      <w:keepNext/>
      <w:keepLines/>
      <w:spacing w:before="0" w:after="120"/>
      <w:jc w:val="center"/>
    </w:pPr>
    <w:rPr>
      <w:rFonts w:ascii="Times New Roman Bold" w:hAnsi="Times New Roman Bold"/>
      <w:b/>
      <w:sz w:val="20"/>
    </w:rPr>
  </w:style>
  <w:style w:type="table" w:styleId="TableGrid">
    <w:name w:val="Table Grid"/>
    <w:basedOn w:val="TableNormal"/>
    <w:rsid w:val="00315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F1F8E"/>
    <w:rPr>
      <w:rFonts w:ascii="Times New Roman" w:hAnsi="Times New Roman"/>
      <w:sz w:val="18"/>
      <w:lang w:val="fr-FR" w:eastAsia="en-US"/>
    </w:rPr>
  </w:style>
  <w:style w:type="paragraph" w:customStyle="1" w:styleId="AppArttitle">
    <w:name w:val="App_Art_title"/>
    <w:basedOn w:val="Arttitle"/>
    <w:next w:val="Normalaftertitle"/>
    <w:qFormat/>
    <w:rsid w:val="00CD516F"/>
    <w:rPr>
      <w:lang w:val="fr-CH"/>
    </w:rPr>
  </w:style>
  <w:style w:type="paragraph" w:customStyle="1" w:styleId="AppArtNo">
    <w:name w:val="App_Art_No"/>
    <w:basedOn w:val="ArtNo"/>
    <w:next w:val="AppArttitle"/>
    <w:qFormat/>
    <w:rsid w:val="00CD516F"/>
  </w:style>
  <w:style w:type="paragraph" w:customStyle="1" w:styleId="Volumetitle">
    <w:name w:val="Volume_title"/>
    <w:basedOn w:val="ArtNo"/>
    <w:qFormat/>
    <w:rsid w:val="008C5DD5"/>
    <w:rPr>
      <w:b/>
      <w:lang w:val="fr-CH"/>
    </w:rPr>
  </w:style>
  <w:style w:type="paragraph" w:customStyle="1" w:styleId="Committee">
    <w:name w:val="Committee"/>
    <w:basedOn w:val="Normal"/>
    <w:qFormat/>
    <w:rsid w:val="00721F04"/>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Headingsplit">
    <w:name w:val="Heading_split"/>
    <w:basedOn w:val="Headingi"/>
    <w:qFormat/>
    <w:rsid w:val="00ED6B8D"/>
  </w:style>
  <w:style w:type="paragraph" w:customStyle="1" w:styleId="Normalsplit">
    <w:name w:val="Normal_split"/>
    <w:basedOn w:val="Normal"/>
    <w:next w:val="Normal"/>
    <w:qFormat/>
    <w:rsid w:val="00ED6B8D"/>
  </w:style>
  <w:style w:type="character" w:customStyle="1" w:styleId="Provsplit">
    <w:name w:val="Prov_split"/>
    <w:basedOn w:val="DefaultParagraphFont"/>
    <w:uiPriority w:val="1"/>
    <w:qFormat/>
    <w:rsid w:val="00ED6B8D"/>
  </w:style>
  <w:style w:type="paragraph" w:customStyle="1" w:styleId="Tablesplit">
    <w:name w:val="Table_split"/>
    <w:basedOn w:val="Normal"/>
    <w:qFormat/>
    <w:rsid w:val="00ED6B8D"/>
    <w:pPr>
      <w:tabs>
        <w:tab w:val="clear" w:pos="1134"/>
        <w:tab w:val="clear" w:pos="1871"/>
        <w:tab w:val="clear" w:pos="2268"/>
        <w:tab w:val="left" w:pos="7825"/>
      </w:tabs>
      <w:spacing w:before="40" w:after="40"/>
    </w:pPr>
    <w:rPr>
      <w:b/>
      <w:sz w:val="20"/>
      <w:lang w:val="en-GB"/>
    </w:rPr>
  </w:style>
  <w:style w:type="paragraph" w:customStyle="1" w:styleId="MethodHeadingb">
    <w:name w:val="Method_Headingb"/>
    <w:basedOn w:val="Headingb"/>
    <w:qFormat/>
    <w:rsid w:val="009A6A2B"/>
  </w:style>
  <w:style w:type="paragraph" w:customStyle="1" w:styleId="Methodheading1">
    <w:name w:val="Method_heading1"/>
    <w:basedOn w:val="Heading1"/>
    <w:next w:val="Normal"/>
    <w:qFormat/>
    <w:rsid w:val="005A7C75"/>
  </w:style>
  <w:style w:type="paragraph" w:customStyle="1" w:styleId="Methodheading2">
    <w:name w:val="Method_heading2"/>
    <w:basedOn w:val="Heading2"/>
    <w:next w:val="Normal"/>
    <w:qFormat/>
    <w:rsid w:val="005A7C75"/>
  </w:style>
  <w:style w:type="paragraph" w:customStyle="1" w:styleId="Methodheading3">
    <w:name w:val="Method_heading3"/>
    <w:basedOn w:val="Heading3"/>
    <w:next w:val="Normal"/>
    <w:qFormat/>
    <w:rsid w:val="005A7C75"/>
  </w:style>
  <w:style w:type="paragraph" w:customStyle="1" w:styleId="Methodheading4">
    <w:name w:val="Method_heading4"/>
    <w:basedOn w:val="Heading4"/>
    <w:next w:val="Normal"/>
    <w:qFormat/>
    <w:rsid w:val="005A7C75"/>
  </w:style>
  <w:style w:type="character" w:styleId="Hyperlink">
    <w:name w:val="Hyperlink"/>
    <w:basedOn w:val="DefaultParagraphFont"/>
    <w:uiPriority w:val="99"/>
    <w:unhideWhenUsed/>
    <w:rPr>
      <w:color w:val="0000FF" w:themeColor="hyperlink"/>
      <w:u w:val="single"/>
    </w:rPr>
  </w:style>
  <w:style w:type="character" w:customStyle="1" w:styleId="ResNoChar">
    <w:name w:val="Res_No Char"/>
    <w:basedOn w:val="DefaultParagraphFont"/>
    <w:link w:val="ResNo"/>
    <w:rsid w:val="00036372"/>
    <w:rPr>
      <w:rFonts w:ascii="Times New Roman" w:hAnsi="Times New Roman"/>
      <w:caps/>
      <w:sz w:val="28"/>
      <w:lang w:val="fr-FR" w:eastAsia="en-US"/>
    </w:rPr>
  </w:style>
  <w:style w:type="character" w:customStyle="1" w:styleId="RestitleChar">
    <w:name w:val="Res_title Char"/>
    <w:basedOn w:val="DefaultParagraphFont"/>
    <w:link w:val="Restitle"/>
    <w:rsid w:val="00036372"/>
    <w:rPr>
      <w:rFonts w:ascii="Times New Roman Bold" w:hAnsi="Times New Roman Bold"/>
      <w:b/>
      <w:sz w:val="28"/>
      <w:lang w:val="fr-FR" w:eastAsia="en-US"/>
    </w:rPr>
  </w:style>
  <w:style w:type="character" w:customStyle="1" w:styleId="NormalaftertitleChar">
    <w:name w:val="Normal after title Char"/>
    <w:basedOn w:val="DefaultParagraphFont"/>
    <w:link w:val="Normalaftertitle"/>
    <w:rsid w:val="00036372"/>
    <w:rPr>
      <w:rFonts w:ascii="Times New Roman" w:hAnsi="Times New Roman"/>
      <w:sz w:val="24"/>
      <w:lang w:val="fr-FR" w:eastAsia="en-US"/>
    </w:rPr>
  </w:style>
  <w:style w:type="character" w:customStyle="1" w:styleId="CallChar">
    <w:name w:val="Call Char"/>
    <w:basedOn w:val="DefaultParagraphFont"/>
    <w:link w:val="Call"/>
    <w:locked/>
    <w:rsid w:val="00036372"/>
    <w:rPr>
      <w:rFonts w:ascii="Times New Roman" w:hAnsi="Times New Roman"/>
      <w:i/>
      <w:sz w:val="24"/>
      <w:lang w:val="fr-FR" w:eastAsia="en-US"/>
    </w:rPr>
  </w:style>
  <w:style w:type="paragraph" w:customStyle="1" w:styleId="ResN">
    <w:name w:val="Res_N"/>
    <w:basedOn w:val="Restitle"/>
    <w:rsid w:val="007529A5"/>
  </w:style>
  <w:style w:type="character" w:styleId="FollowedHyperlink">
    <w:name w:val="FollowedHyperlink"/>
    <w:basedOn w:val="DefaultParagraphFont"/>
    <w:semiHidden/>
    <w:unhideWhenUsed/>
    <w:rsid w:val="00AA31D2"/>
    <w:rPr>
      <w:color w:val="800080" w:themeColor="followedHyperlink"/>
      <w:u w:val="single"/>
    </w:rPr>
  </w:style>
  <w:style w:type="character" w:styleId="CommentReference">
    <w:name w:val="annotation reference"/>
    <w:basedOn w:val="DefaultParagraphFont"/>
    <w:semiHidden/>
    <w:unhideWhenUsed/>
    <w:rsid w:val="00136C13"/>
    <w:rPr>
      <w:sz w:val="16"/>
      <w:szCs w:val="16"/>
    </w:rPr>
  </w:style>
  <w:style w:type="paragraph" w:styleId="CommentText">
    <w:name w:val="annotation text"/>
    <w:basedOn w:val="Normal"/>
    <w:link w:val="CommentTextChar"/>
    <w:semiHidden/>
    <w:unhideWhenUsed/>
    <w:rsid w:val="00136C13"/>
    <w:rPr>
      <w:sz w:val="20"/>
    </w:rPr>
  </w:style>
  <w:style w:type="character" w:customStyle="1" w:styleId="CommentTextChar">
    <w:name w:val="Comment Text Char"/>
    <w:basedOn w:val="DefaultParagraphFont"/>
    <w:link w:val="CommentText"/>
    <w:semiHidden/>
    <w:rsid w:val="00136C13"/>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136C13"/>
    <w:rPr>
      <w:b/>
      <w:bCs/>
    </w:rPr>
  </w:style>
  <w:style w:type="character" w:customStyle="1" w:styleId="CommentSubjectChar">
    <w:name w:val="Comment Subject Char"/>
    <w:basedOn w:val="CommentTextChar"/>
    <w:link w:val="CommentSubject"/>
    <w:semiHidden/>
    <w:rsid w:val="00136C13"/>
    <w:rPr>
      <w:rFonts w:ascii="Times New Roman" w:hAnsi="Times New Roman"/>
      <w:b/>
      <w:bCs/>
      <w:lang w:val="fr-FR" w:eastAsia="en-US"/>
    </w:rPr>
  </w:style>
  <w:style w:type="paragraph" w:styleId="Revision">
    <w:name w:val="Revision"/>
    <w:hidden/>
    <w:uiPriority w:val="99"/>
    <w:semiHidden/>
    <w:rsid w:val="00136C13"/>
    <w:rPr>
      <w:rFonts w:ascii="Times New Roman" w:hAnsi="Times New Roman"/>
      <w:sz w:val="24"/>
      <w:lang w:val="fr-FR" w:eastAsia="en-US"/>
    </w:rPr>
  </w:style>
  <w:style w:type="paragraph" w:styleId="BalloonText">
    <w:name w:val="Balloon Text"/>
    <w:basedOn w:val="Normal"/>
    <w:link w:val="BalloonTextChar"/>
    <w:semiHidden/>
    <w:unhideWhenUsed/>
    <w:rsid w:val="00136C1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36C1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51511">
      <w:bodyDiv w:val="1"/>
      <w:marLeft w:val="0"/>
      <w:marRight w:val="0"/>
      <w:marTop w:val="0"/>
      <w:marBottom w:val="0"/>
      <w:divBdr>
        <w:top w:val="none" w:sz="0" w:space="0" w:color="auto"/>
        <w:left w:val="none" w:sz="0" w:space="0" w:color="auto"/>
        <w:bottom w:val="none" w:sz="0" w:space="0" w:color="auto"/>
        <w:right w:val="none" w:sz="0" w:space="0" w:color="auto"/>
      </w:divBdr>
    </w:div>
    <w:div w:id="2038655349">
      <w:bodyDiv w:val="1"/>
      <w:marLeft w:val="60"/>
      <w:marRight w:val="60"/>
      <w:marTop w:val="60"/>
      <w:marBottom w:val="60"/>
      <w:divBdr>
        <w:top w:val="none" w:sz="0" w:space="0" w:color="auto"/>
        <w:left w:val="none" w:sz="0" w:space="0" w:color="auto"/>
        <w:bottom w:val="none" w:sz="0" w:space="0" w:color="auto"/>
        <w:right w:val="none" w:sz="0" w:space="0" w:color="auto"/>
      </w:divBdr>
      <w:divsChild>
        <w:div w:id="570694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dms_pub/itu-r/opb/rep/R-REP-S.2462-2019-PDF-E.pdf" TargetMode="External"/><Relationship Id="rId18" Type="http://schemas.openxmlformats.org/officeDocument/2006/relationships/hyperlink" Target="https://www.itu.int/md/meetingdoc.asp?lang=en&amp;parent=R19-WP4A-C-0971"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R23-WRC23-C-0121!!MSW-F</DPM_x0020_File_x0020_name>
    <DPM_x0020_Author xmlns="32a1a8c5-2265-4ebc-b7a0-2071e2c5c9bb" xsi:nil="false">DPM</DPM_x0020_Author>
    <DPM_x0020_Version xmlns="32a1a8c5-2265-4ebc-b7a0-2071e2c5c9bb" xsi:nil="false">DPM_2022.05.12.01</DPM_x0020_Version>
    <_dlc_DocId xmlns="996b2e75-67fd-4955-a3b0-5ab9934cb50b">CJDSJNEQ73FR-44-24</_dlc_DocId>
    <_dlc_DocIdUrl xmlns="996b2e75-67fd-4955-a3b0-5ab9934cb50b">
      <Url>http://spdev11/en/gmpcs/_layouts/DocIdRedir.aspx?ID=CJDSJNEQ73FR-44-24</Url>
      <Description>CJDSJNEQ73FR-44-24</Description>
    </_dlc_DocIdUrl>
  </documentManagement>
</p:properties>
</file>

<file path=customXml/itemProps1.xml><?xml version="1.0" encoding="utf-8"?>
<ds:datastoreItem xmlns:ds="http://schemas.openxmlformats.org/officeDocument/2006/customXml" ds:itemID="{3FB65110-A6C8-4D90-87A5-46A4C8ABB89B}">
  <ds:schemaRefs>
    <ds:schemaRef ds:uri="http://schemas.microsoft.com/sharepoint/v3/contenttype/forms"/>
  </ds:schemaRefs>
</ds:datastoreItem>
</file>

<file path=customXml/itemProps2.xml><?xml version="1.0" encoding="utf-8"?>
<ds:datastoreItem xmlns:ds="http://schemas.openxmlformats.org/officeDocument/2006/customXml" ds:itemID="{D2562E86-EF35-4690-9CD7-9B7635FF2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539432-01B8-4E28-9991-25CC63885A28}">
  <ds:schemaRefs>
    <ds:schemaRef ds:uri="http://schemas.microsoft.com/sharepoint/events"/>
  </ds:schemaRefs>
</ds:datastoreItem>
</file>

<file path=customXml/itemProps4.xml><?xml version="1.0" encoding="utf-8"?>
<ds:datastoreItem xmlns:ds="http://schemas.openxmlformats.org/officeDocument/2006/customXml" ds:itemID="{9C4C7CE0-44C9-4E0E-ADAE-BE74755D5D86}">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996b2e75-67fd-4955-a3b0-5ab9934cb50b"/>
    <ds:schemaRef ds:uri="http://schemas.microsoft.com/office/2006/metadata/properties"/>
    <ds:schemaRef ds:uri="32a1a8c5-2265-4ebc-b7a0-2071e2c5c9b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6128</Words>
  <Characters>32437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R23-WRC23-C-0121!!MSW-F</vt:lpstr>
    </vt:vector>
  </TitlesOfParts>
  <Manager>Secrétariat général - Pool</Manager>
  <Company>Union internationale des télécommunications (UIT)</Company>
  <LinksUpToDate>false</LinksUpToDate>
  <CharactersWithSpaces>38489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R23-WRC23-C-0121!!MSW-F</dc:title>
  <dc:subject>Conférence mondiale des radiocommunications - 2019</dc:subject>
  <dc:creator>Documents Proposals Manager (DPM)</dc:creator>
  <cp:keywords>DPM_v2023.8.1.1_prod</cp:keywords>
  <dc:description/>
  <cp:lastModifiedBy>French</cp:lastModifiedBy>
  <cp:revision>2</cp:revision>
  <cp:lastPrinted>2003-06-05T19:34:00Z</cp:lastPrinted>
  <dcterms:created xsi:type="dcterms:W3CDTF">2023-11-14T08:20:00Z</dcterms:created>
  <dcterms:modified xsi:type="dcterms:W3CDTF">2023-11-14T08:20:00Z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889c9587-f7fc-4c6b-a752-d9054d3c46eb</vt:lpwstr>
  </property>
</Properties>
</file>