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20D1132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45D819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56A95BE" wp14:editId="54FF718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24065AC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B897B0F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442C6CA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6B39AF7" wp14:editId="134CDBC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31EC5B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FD82B2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2FCB0F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F4658E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E947F76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1EA944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A78FE0C" w14:textId="77777777" w:rsidTr="00752552">
        <w:trPr>
          <w:cantSplit/>
        </w:trPr>
        <w:tc>
          <w:tcPr>
            <w:tcW w:w="6696" w:type="dxa"/>
            <w:gridSpan w:val="2"/>
          </w:tcPr>
          <w:p w14:paraId="78CD8735" w14:textId="77777777" w:rsidR="000D1EE4" w:rsidRPr="002B515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B515D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FC8EEAA" w14:textId="77777777" w:rsidR="000D1EE4" w:rsidRPr="002B515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B515D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2B515D">
              <w:rPr>
                <w:rFonts w:eastAsia="SimSun"/>
                <w:b/>
                <w:bCs/>
              </w:rPr>
              <w:t>120-A</w:t>
            </w:r>
          </w:p>
        </w:tc>
      </w:tr>
      <w:tr w:rsidR="000D1EE4" w:rsidRPr="000D1EE4" w14:paraId="40156B91" w14:textId="77777777" w:rsidTr="00752552">
        <w:trPr>
          <w:cantSplit/>
        </w:trPr>
        <w:tc>
          <w:tcPr>
            <w:tcW w:w="6696" w:type="dxa"/>
            <w:gridSpan w:val="2"/>
          </w:tcPr>
          <w:p w14:paraId="6EB6E9CC" w14:textId="77777777" w:rsidR="000D1EE4" w:rsidRPr="002B515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A343656" w14:textId="77777777" w:rsidR="000D1EE4" w:rsidRPr="002B515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B515D">
              <w:rPr>
                <w:rFonts w:eastAsia="SimSun"/>
                <w:b/>
                <w:bCs/>
              </w:rPr>
              <w:t>29</w:t>
            </w:r>
            <w:r w:rsidRPr="002B515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B515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7EAC183" w14:textId="77777777" w:rsidTr="00752552">
        <w:trPr>
          <w:cantSplit/>
        </w:trPr>
        <w:tc>
          <w:tcPr>
            <w:tcW w:w="6696" w:type="dxa"/>
            <w:gridSpan w:val="2"/>
          </w:tcPr>
          <w:p w14:paraId="10CC69ED" w14:textId="77777777" w:rsidR="000D1EE4" w:rsidRPr="002B515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D08712F" w14:textId="77777777" w:rsidR="000D1EE4" w:rsidRPr="002B515D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2B515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BCD0A3B" w14:textId="77777777" w:rsidTr="00752552">
        <w:trPr>
          <w:cantSplit/>
        </w:trPr>
        <w:tc>
          <w:tcPr>
            <w:tcW w:w="9666" w:type="dxa"/>
            <w:gridSpan w:val="4"/>
          </w:tcPr>
          <w:p w14:paraId="240E833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6D97C5E" w14:textId="77777777" w:rsidTr="00752552">
        <w:trPr>
          <w:cantSplit/>
        </w:trPr>
        <w:tc>
          <w:tcPr>
            <w:tcW w:w="9666" w:type="dxa"/>
            <w:gridSpan w:val="4"/>
          </w:tcPr>
          <w:p w14:paraId="640E622E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مملكة تونغا</w:t>
            </w:r>
          </w:p>
        </w:tc>
      </w:tr>
      <w:tr w:rsidR="000D1EE4" w:rsidRPr="000D1EE4" w14:paraId="7687E451" w14:textId="77777777" w:rsidTr="00752552">
        <w:trPr>
          <w:cantSplit/>
        </w:trPr>
        <w:tc>
          <w:tcPr>
            <w:tcW w:w="9666" w:type="dxa"/>
            <w:gridSpan w:val="4"/>
          </w:tcPr>
          <w:p w14:paraId="3084ED14" w14:textId="77777777" w:rsidR="000D1EE4" w:rsidRPr="000D1EE4" w:rsidRDefault="002B515D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AD87758" w14:textId="77777777" w:rsidTr="00752552">
        <w:trPr>
          <w:cantSplit/>
        </w:trPr>
        <w:tc>
          <w:tcPr>
            <w:tcW w:w="9666" w:type="dxa"/>
            <w:gridSpan w:val="4"/>
          </w:tcPr>
          <w:p w14:paraId="564EDF4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98BDBA1" w14:textId="77777777" w:rsidTr="00752552">
        <w:trPr>
          <w:cantSplit/>
        </w:trPr>
        <w:tc>
          <w:tcPr>
            <w:tcW w:w="9666" w:type="dxa"/>
            <w:gridSpan w:val="4"/>
          </w:tcPr>
          <w:p w14:paraId="4D67288F" w14:textId="77777777" w:rsidR="00E50850" w:rsidRPr="002B515D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‎‎‎‎‎‎بند جدول الأعمال</w:t>
            </w:r>
            <w:r w:rsidR="002B515D">
              <w:rPr>
                <w:rFonts w:hint="cs"/>
                <w:rtl/>
              </w:rPr>
              <w:t xml:space="preserve"> </w:t>
            </w:r>
            <w:r w:rsidR="002B515D">
              <w:rPr>
                <w:lang w:val="en-US"/>
              </w:rPr>
              <w:t>7(B)</w:t>
            </w:r>
          </w:p>
        </w:tc>
      </w:tr>
    </w:tbl>
    <w:p w14:paraId="5575759F" w14:textId="77777777" w:rsidR="00C262CC" w:rsidRPr="00EF1E29" w:rsidRDefault="00C262CC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307C98">
        <w:rPr>
          <w:b/>
          <w:bCs/>
        </w:rPr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</w:r>
      <w:proofErr w:type="gramStart"/>
      <w:r w:rsidRPr="00A01660">
        <w:rPr>
          <w:b/>
          <w:bCs/>
          <w:lang w:val="en-GB"/>
        </w:rPr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proofErr w:type="gramEnd"/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162E2F34" w14:textId="7444C47A" w:rsidR="00C262CC" w:rsidRDefault="00C262CC" w:rsidP="0046084B">
      <w:pPr>
        <w:rPr>
          <w:rtl/>
          <w:lang w:bidi="ar-EG"/>
        </w:rPr>
      </w:pPr>
      <w:r>
        <w:rPr>
          <w:lang w:bidi="ar-EG"/>
        </w:rPr>
        <w:t>7(B)</w:t>
      </w:r>
      <w:r>
        <w:rPr>
          <w:rtl/>
          <w:lang w:bidi="ar-EG"/>
        </w:rPr>
        <w:tab/>
      </w:r>
      <w:r w:rsidRPr="00BE72AA">
        <w:rPr>
          <w:rFonts w:hint="cs"/>
          <w:rtl/>
          <w:lang w:bidi="ar-EG"/>
        </w:rPr>
        <w:t xml:space="preserve">الموضوع </w:t>
      </w:r>
      <w:r w:rsidRPr="00BE72AA">
        <w:rPr>
          <w:lang w:bidi="ar-EG"/>
        </w:rPr>
        <w:t>B</w:t>
      </w:r>
      <w:r w:rsidRPr="00BE72AA">
        <w:rPr>
          <w:rFonts w:hint="cs"/>
          <w:rtl/>
          <w:lang w:bidi="ar-EG"/>
        </w:rPr>
        <w:t xml:space="preserve"> - إجراء المتعلق بما بعد المراحل فيما يخص وضع الأنظمة غير المستقرة بالنسبة إلى الأرض في</w:t>
      </w:r>
      <w:r w:rsidR="00307C98">
        <w:rPr>
          <w:rFonts w:hint="eastAsia"/>
          <w:lang w:bidi="ar-EG"/>
        </w:rPr>
        <w:t> </w:t>
      </w:r>
      <w:r w:rsidRPr="00BE72AA">
        <w:rPr>
          <w:rFonts w:hint="cs"/>
          <w:rtl/>
          <w:lang w:bidi="ar-EG"/>
        </w:rPr>
        <w:t>الخدمة</w:t>
      </w:r>
      <w:r>
        <w:rPr>
          <w:lang w:bidi="ar-EG"/>
        </w:rPr>
        <w:t xml:space="preserve"> </w:t>
      </w:r>
    </w:p>
    <w:p w14:paraId="04D59A96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19824EB" w14:textId="77777777" w:rsidR="0095579A" w:rsidRDefault="00C262CC">
      <w:pPr>
        <w:pStyle w:val="Proposal"/>
      </w:pPr>
      <w:r>
        <w:rPr>
          <w:u w:val="single"/>
        </w:rPr>
        <w:lastRenderedPageBreak/>
        <w:t>NOC</w:t>
      </w:r>
      <w:r>
        <w:tab/>
        <w:t>TON/120/1</w:t>
      </w:r>
      <w:r>
        <w:rPr>
          <w:vanish/>
          <w:color w:val="7F7F7F" w:themeColor="text1" w:themeTint="80"/>
          <w:vertAlign w:val="superscript"/>
        </w:rPr>
        <w:t>#1990</w:t>
      </w:r>
    </w:p>
    <w:p w14:paraId="14CCF63C" w14:textId="77777777" w:rsidR="00C262CC" w:rsidRPr="00B231B1" w:rsidRDefault="00C262CC" w:rsidP="00F91337">
      <w:pPr>
        <w:pStyle w:val="VolumeTitle0"/>
        <w:rPr>
          <w:rtl/>
          <w:lang w:val="en-US"/>
        </w:rPr>
      </w:pPr>
      <w:r w:rsidRPr="00B231B1">
        <w:rPr>
          <w:rtl/>
          <w:lang w:val="en-US"/>
        </w:rPr>
        <w:t>المواد</w:t>
      </w:r>
    </w:p>
    <w:p w14:paraId="160F0B61" w14:textId="77777777" w:rsidR="0095579A" w:rsidRDefault="0095579A">
      <w:pPr>
        <w:pStyle w:val="Reasons"/>
      </w:pPr>
    </w:p>
    <w:p w14:paraId="5A3448D3" w14:textId="77777777" w:rsidR="0095579A" w:rsidRDefault="00C262CC">
      <w:pPr>
        <w:pStyle w:val="Proposal"/>
      </w:pPr>
      <w:r>
        <w:rPr>
          <w:u w:val="single"/>
        </w:rPr>
        <w:t>NOC</w:t>
      </w:r>
      <w:r>
        <w:tab/>
        <w:t>TON/120/2</w:t>
      </w:r>
      <w:r>
        <w:rPr>
          <w:vanish/>
          <w:color w:val="7F7F7F" w:themeColor="text1" w:themeTint="80"/>
          <w:vertAlign w:val="superscript"/>
        </w:rPr>
        <w:t>#1991</w:t>
      </w:r>
    </w:p>
    <w:p w14:paraId="22DAB686" w14:textId="77777777" w:rsidR="00C262CC" w:rsidRPr="00B231B1" w:rsidRDefault="00C262CC" w:rsidP="00F91337">
      <w:pPr>
        <w:pStyle w:val="VolumeTitle0"/>
        <w:rPr>
          <w:rtl/>
          <w:lang w:val="en-US"/>
        </w:rPr>
      </w:pPr>
      <w:r w:rsidRPr="00B231B1">
        <w:rPr>
          <w:rtl/>
          <w:lang w:val="en-US"/>
        </w:rPr>
        <w:t>التذييلات</w:t>
      </w:r>
    </w:p>
    <w:p w14:paraId="3B98ED6D" w14:textId="77777777" w:rsidR="0095579A" w:rsidRDefault="0095579A">
      <w:pPr>
        <w:pStyle w:val="Reasons"/>
      </w:pPr>
    </w:p>
    <w:p w14:paraId="74D931A8" w14:textId="77777777" w:rsidR="0095579A" w:rsidRDefault="00C262CC">
      <w:pPr>
        <w:pStyle w:val="Proposal"/>
      </w:pPr>
      <w:r>
        <w:rPr>
          <w:u w:val="single"/>
        </w:rPr>
        <w:t>NOC</w:t>
      </w:r>
      <w:r>
        <w:tab/>
        <w:t>TON/120/3</w:t>
      </w:r>
      <w:r>
        <w:rPr>
          <w:vanish/>
          <w:color w:val="7F7F7F" w:themeColor="text1" w:themeTint="80"/>
          <w:vertAlign w:val="superscript"/>
        </w:rPr>
        <w:t>#1992</w:t>
      </w:r>
    </w:p>
    <w:p w14:paraId="4B52E9AD" w14:textId="77777777" w:rsidR="00C262CC" w:rsidRPr="00B231B1" w:rsidRDefault="00C262CC" w:rsidP="00F91337">
      <w:pPr>
        <w:pStyle w:val="VolumeTitle0"/>
        <w:rPr>
          <w:rtl/>
        </w:rPr>
      </w:pPr>
      <w:r w:rsidRPr="00B231B1">
        <w:rPr>
          <w:rtl/>
        </w:rPr>
        <w:t>القرارات</w:t>
      </w:r>
    </w:p>
    <w:p w14:paraId="5601316E" w14:textId="796D925D" w:rsidR="009F1F42" w:rsidRPr="00307C98" w:rsidRDefault="00C262CC" w:rsidP="00307C98">
      <w:pPr>
        <w:pStyle w:val="Reasons"/>
        <w:rPr>
          <w:b w:val="0"/>
          <w:bCs w:val="0"/>
          <w:rtl/>
        </w:rPr>
      </w:pPr>
      <w:r w:rsidRPr="001F53FC">
        <w:rPr>
          <w:rtl/>
        </w:rPr>
        <w:t>الأسباب:</w:t>
      </w:r>
      <w:r w:rsidRPr="001F53FC">
        <w:tab/>
      </w:r>
      <w:r w:rsidR="009F1F42" w:rsidRPr="001F53FC">
        <w:rPr>
          <w:rFonts w:hint="cs"/>
          <w:b w:val="0"/>
          <w:bCs w:val="0"/>
          <w:rtl/>
        </w:rPr>
        <w:t>إن وضع</w:t>
      </w:r>
      <w:r w:rsidR="009F1F42" w:rsidRPr="001F53FC">
        <w:rPr>
          <w:b w:val="0"/>
          <w:bCs w:val="0"/>
          <w:rtl/>
        </w:rPr>
        <w:t xml:space="preserve"> إجراء </w:t>
      </w:r>
      <w:r w:rsidR="009F1F42" w:rsidRPr="001F53FC">
        <w:rPr>
          <w:rFonts w:hint="cs"/>
          <w:b w:val="0"/>
          <w:bCs w:val="0"/>
          <w:rtl/>
        </w:rPr>
        <w:t>ي</w:t>
      </w:r>
      <w:r w:rsidR="009F1F42" w:rsidRPr="001F53FC">
        <w:rPr>
          <w:b w:val="0"/>
          <w:bCs w:val="0"/>
          <w:rtl/>
        </w:rPr>
        <w:t>تعلق بما بعد المراحل غير ناضج في هذه المرحلة نظرا</w:t>
      </w:r>
      <w:r w:rsidR="00307C98">
        <w:rPr>
          <w:rFonts w:hint="cs"/>
          <w:b w:val="0"/>
          <w:bCs w:val="0"/>
          <w:rtl/>
        </w:rPr>
        <w:t>ً</w:t>
      </w:r>
      <w:r w:rsidR="009F1F42" w:rsidRPr="001F53FC">
        <w:rPr>
          <w:b w:val="0"/>
          <w:bCs w:val="0"/>
          <w:rtl/>
        </w:rPr>
        <w:t xml:space="preserve"> لعدم تقديم بيانات تشغيلية إلى المكتب بموجب </w:t>
      </w:r>
      <w:r w:rsidR="002B515D" w:rsidRPr="001F53FC">
        <w:rPr>
          <w:rFonts w:hint="cs"/>
          <w:b w:val="0"/>
          <w:bCs w:val="0"/>
          <w:rtl/>
        </w:rPr>
        <w:t>الفقرة 19</w:t>
      </w:r>
      <w:r w:rsidR="002B515D" w:rsidRPr="001F53FC">
        <w:rPr>
          <w:b w:val="0"/>
          <w:bCs w:val="0"/>
        </w:rPr>
        <w:t xml:space="preserve"> </w:t>
      </w:r>
      <w:r w:rsidR="002B515D" w:rsidRPr="001F53FC">
        <w:rPr>
          <w:rFonts w:hint="cs"/>
          <w:b w:val="0"/>
          <w:bCs w:val="0"/>
          <w:rtl/>
        </w:rPr>
        <w:t>من "</w:t>
      </w:r>
      <w:r w:rsidR="002B515D" w:rsidRPr="001F53FC">
        <w:rPr>
          <w:rFonts w:hint="cs"/>
          <w:b w:val="0"/>
          <w:bCs w:val="0"/>
          <w:i/>
          <w:iCs/>
          <w:rtl/>
        </w:rPr>
        <w:t>يقرر</w:t>
      </w:r>
      <w:r w:rsidR="002B515D" w:rsidRPr="001F53FC">
        <w:rPr>
          <w:rFonts w:hint="cs"/>
          <w:b w:val="0"/>
          <w:bCs w:val="0"/>
          <w:rtl/>
        </w:rPr>
        <w:t>"</w:t>
      </w:r>
      <w:r w:rsidR="009F1F42" w:rsidRPr="001F53FC">
        <w:rPr>
          <w:rFonts w:hint="cs"/>
          <w:b w:val="0"/>
          <w:bCs w:val="0"/>
          <w:rtl/>
        </w:rPr>
        <w:t xml:space="preserve"> في </w:t>
      </w:r>
      <w:r w:rsidR="002B515D" w:rsidRPr="001F53FC">
        <w:rPr>
          <w:rFonts w:hint="cs"/>
          <w:b w:val="0"/>
          <w:bCs w:val="0"/>
          <w:rtl/>
        </w:rPr>
        <w:t xml:space="preserve">القرار </w:t>
      </w:r>
      <w:r w:rsidR="002B515D" w:rsidRPr="00307C98">
        <w:t>35 (WRC-19)</w:t>
      </w:r>
      <w:r w:rsidR="002B515D" w:rsidRPr="00307C98">
        <w:rPr>
          <w:rFonts w:hint="cs"/>
          <w:b w:val="0"/>
          <w:bCs w:val="0"/>
          <w:rtl/>
        </w:rPr>
        <w:t>.</w:t>
      </w:r>
      <w:r w:rsidR="009F1F42" w:rsidRPr="00307C98">
        <w:rPr>
          <w:rFonts w:hint="cs"/>
          <w:b w:val="0"/>
          <w:bCs w:val="0"/>
          <w:rtl/>
        </w:rPr>
        <w:t xml:space="preserve"> </w:t>
      </w:r>
      <w:r w:rsidR="001F53FC" w:rsidRPr="001F53FC">
        <w:rPr>
          <w:b w:val="0"/>
          <w:bCs w:val="0"/>
          <w:rtl/>
        </w:rPr>
        <w:t>وفي حين أن الضرور</w:t>
      </w:r>
      <w:r w:rsidR="001F53FC" w:rsidRPr="001F53FC">
        <w:rPr>
          <w:rFonts w:hint="cs"/>
          <w:b w:val="0"/>
          <w:bCs w:val="0"/>
          <w:rtl/>
        </w:rPr>
        <w:t>ة</w:t>
      </w:r>
      <w:r w:rsidR="001F53FC" w:rsidRPr="001F53FC">
        <w:rPr>
          <w:b w:val="0"/>
          <w:bCs w:val="0"/>
          <w:rtl/>
        </w:rPr>
        <w:t xml:space="preserve"> </w:t>
      </w:r>
      <w:r w:rsidR="001F53FC" w:rsidRPr="001F53FC">
        <w:rPr>
          <w:rFonts w:hint="cs"/>
          <w:b w:val="0"/>
          <w:bCs w:val="0"/>
          <w:rtl/>
        </w:rPr>
        <w:t>تقتضي إعداد</w:t>
      </w:r>
      <w:r w:rsidR="001F53FC" w:rsidRPr="001F53FC">
        <w:rPr>
          <w:b w:val="0"/>
          <w:bCs w:val="0"/>
          <w:rtl/>
        </w:rPr>
        <w:t xml:space="preserve"> إجراء تنظيمي لمعالجة خفض عدد السواتل المنشورة ما بعد المراحل</w:t>
      </w:r>
      <w:r w:rsidR="001F53FC" w:rsidRPr="001F53FC">
        <w:rPr>
          <w:rFonts w:hint="cs"/>
          <w:b w:val="0"/>
          <w:bCs w:val="0"/>
          <w:rtl/>
        </w:rPr>
        <w:t>،</w:t>
      </w:r>
      <w:r w:rsidR="001F53FC" w:rsidRPr="001F53FC">
        <w:rPr>
          <w:b w:val="0"/>
          <w:bCs w:val="0"/>
          <w:rtl/>
        </w:rPr>
        <w:t xml:space="preserve"> من الأنسب تناول هذا الموضوع في المستقبل عندما ت</w:t>
      </w:r>
      <w:r w:rsidR="001F53FC" w:rsidRPr="001F53FC">
        <w:rPr>
          <w:rFonts w:hint="cs"/>
          <w:b w:val="0"/>
          <w:bCs w:val="0"/>
          <w:rtl/>
        </w:rPr>
        <w:t>ُ</w:t>
      </w:r>
      <w:r w:rsidR="001F53FC" w:rsidRPr="001F53FC">
        <w:rPr>
          <w:b w:val="0"/>
          <w:bCs w:val="0"/>
          <w:rtl/>
        </w:rPr>
        <w:t xml:space="preserve">جمع بيانات تشغيلية كافية وذات مغزى بموجب الفقرة </w:t>
      </w:r>
      <w:r w:rsidR="001F53FC" w:rsidRPr="001F53FC">
        <w:rPr>
          <w:b w:val="0"/>
          <w:bCs w:val="0"/>
          <w:cs/>
        </w:rPr>
        <w:t>‎</w:t>
      </w:r>
      <w:r w:rsidR="001F53FC" w:rsidRPr="001F53FC">
        <w:rPr>
          <w:rFonts w:hint="cs"/>
          <w:b w:val="0"/>
          <w:bCs w:val="0"/>
          <w:rtl/>
        </w:rPr>
        <w:t>19</w:t>
      </w:r>
      <w:r w:rsidR="001F53FC" w:rsidRPr="001F53FC">
        <w:rPr>
          <w:b w:val="0"/>
          <w:bCs w:val="0"/>
        </w:rPr>
        <w:t xml:space="preserve"> </w:t>
      </w:r>
      <w:r w:rsidR="001F53FC" w:rsidRPr="001F53FC">
        <w:rPr>
          <w:rFonts w:hint="cs"/>
          <w:b w:val="0"/>
          <w:bCs w:val="0"/>
          <w:rtl/>
        </w:rPr>
        <w:t>من "</w:t>
      </w:r>
      <w:r w:rsidR="001F53FC" w:rsidRPr="001F53FC">
        <w:rPr>
          <w:rFonts w:hint="cs"/>
          <w:b w:val="0"/>
          <w:bCs w:val="0"/>
          <w:i/>
          <w:iCs/>
          <w:rtl/>
        </w:rPr>
        <w:t>يقرر</w:t>
      </w:r>
      <w:r w:rsidR="001F53FC" w:rsidRPr="001F53FC">
        <w:rPr>
          <w:rFonts w:hint="cs"/>
          <w:b w:val="0"/>
          <w:bCs w:val="0"/>
          <w:rtl/>
        </w:rPr>
        <w:t xml:space="preserve">" في القرار </w:t>
      </w:r>
      <w:r w:rsidR="001F53FC" w:rsidRPr="00307C98">
        <w:rPr>
          <w:rFonts w:hint="cs"/>
          <w:rtl/>
        </w:rPr>
        <w:t>35</w:t>
      </w:r>
      <w:r w:rsidR="001F53FC" w:rsidRPr="001F53FC">
        <w:rPr>
          <w:rFonts w:hint="cs"/>
          <w:b w:val="0"/>
          <w:bCs w:val="0"/>
          <w:rtl/>
        </w:rPr>
        <w:t>.</w:t>
      </w:r>
    </w:p>
    <w:p w14:paraId="68B9A7E3" w14:textId="77777777" w:rsidR="002B515D" w:rsidRPr="002B515D" w:rsidRDefault="002B515D" w:rsidP="002B515D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B515D" w:rsidRPr="002B515D">
      <w:headerReference w:type="even" r:id="rId15"/>
      <w:footerReference w:type="even" r:id="rId16"/>
      <w:footerReference w:type="first" r:id="rId17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4DFC" w14:textId="77777777" w:rsidR="00F6171E" w:rsidRDefault="00F6171E" w:rsidP="002919E1">
      <w:r>
        <w:separator/>
      </w:r>
    </w:p>
    <w:p w14:paraId="1B588634" w14:textId="77777777" w:rsidR="00F6171E" w:rsidRDefault="00F6171E" w:rsidP="002919E1"/>
    <w:p w14:paraId="2E214193" w14:textId="77777777" w:rsidR="00F6171E" w:rsidRDefault="00F6171E" w:rsidP="002919E1"/>
    <w:p w14:paraId="4CDD5F38" w14:textId="77777777" w:rsidR="00F6171E" w:rsidRDefault="00F6171E"/>
    <w:p w14:paraId="639AD7BC" w14:textId="77777777" w:rsidR="00F6171E" w:rsidRDefault="00F6171E"/>
  </w:endnote>
  <w:endnote w:type="continuationSeparator" w:id="0">
    <w:p w14:paraId="00D16EDF" w14:textId="77777777" w:rsidR="00F6171E" w:rsidRDefault="00F6171E" w:rsidP="002919E1">
      <w:r>
        <w:continuationSeparator/>
      </w:r>
    </w:p>
    <w:p w14:paraId="7D97068C" w14:textId="77777777" w:rsidR="00F6171E" w:rsidRDefault="00F6171E" w:rsidP="002919E1"/>
    <w:p w14:paraId="25E32924" w14:textId="77777777" w:rsidR="00F6171E" w:rsidRDefault="00F6171E" w:rsidP="002919E1"/>
    <w:p w14:paraId="16AE07E6" w14:textId="77777777" w:rsidR="00F6171E" w:rsidRDefault="00F6171E"/>
    <w:p w14:paraId="2D71B06A" w14:textId="77777777" w:rsidR="00F6171E" w:rsidRDefault="00F61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E6DC" w14:textId="5C47A37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07C98">
      <w:rPr>
        <w:noProof/>
        <w:sz w:val="16"/>
        <w:szCs w:val="16"/>
        <w:lang w:val="fr-FR"/>
      </w:rPr>
      <w:t>P:\ARA\ITU-R\CONF-R\CMR23\100\120A.docx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2B515D" w:rsidRPr="002B515D">
      <w:rPr>
        <w:sz w:val="16"/>
        <w:szCs w:val="16"/>
        <w:lang w:val="fr-FR"/>
      </w:rPr>
      <w:t>530264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62EC" w14:textId="3C39887E" w:rsidR="002B515D" w:rsidRPr="002B515D" w:rsidRDefault="002B515D" w:rsidP="002B515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07C98">
      <w:rPr>
        <w:noProof/>
        <w:sz w:val="16"/>
        <w:szCs w:val="16"/>
        <w:lang w:val="fr-FR"/>
      </w:rPr>
      <w:t>P:\ARA\ITU-R\CONF-R\CMR23\100\120A.docx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2B515D">
      <w:rPr>
        <w:sz w:val="16"/>
        <w:szCs w:val="16"/>
        <w:lang w:val="fr-FR"/>
      </w:rPr>
      <w:t>530264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BAC3" w14:textId="77777777" w:rsidR="00F6171E" w:rsidRDefault="00F6171E" w:rsidP="00C45930">
      <w:r>
        <w:separator/>
      </w:r>
    </w:p>
  </w:footnote>
  <w:footnote w:type="continuationSeparator" w:id="0">
    <w:p w14:paraId="1E9F8D94" w14:textId="77777777" w:rsidR="00F6171E" w:rsidRDefault="00F6171E" w:rsidP="002919E1">
      <w:r>
        <w:continuationSeparator/>
      </w:r>
    </w:p>
    <w:p w14:paraId="6A0720FC" w14:textId="77777777" w:rsidR="00F6171E" w:rsidRDefault="00F6171E" w:rsidP="002919E1"/>
    <w:p w14:paraId="2E89428F" w14:textId="77777777" w:rsidR="00F6171E" w:rsidRDefault="00F6171E" w:rsidP="002919E1"/>
    <w:p w14:paraId="62CB27B6" w14:textId="77777777" w:rsidR="00F6171E" w:rsidRDefault="00F6171E"/>
    <w:p w14:paraId="26BF6110" w14:textId="77777777" w:rsidR="00F6171E" w:rsidRDefault="00F61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6514" w14:textId="77777777" w:rsidR="00D63A6F" w:rsidRPr="002B515D" w:rsidRDefault="005E5F16" w:rsidP="002B515D">
    <w:pPr>
      <w:bidi w:val="0"/>
      <w:spacing w:after="360" w:line="240" w:lineRule="auto"/>
      <w:jc w:val="center"/>
      <w:rPr>
        <w:sz w:val="20"/>
        <w:szCs w:val="20"/>
      </w:rPr>
    </w:pPr>
    <w:r w:rsidRPr="002B515D">
      <w:rPr>
        <w:rStyle w:val="PageNumber"/>
        <w:rFonts w:ascii="Dubai" w:hAnsi="Dubai" w:cs="Dubai"/>
      </w:rPr>
      <w:fldChar w:fldCharType="begin"/>
    </w:r>
    <w:r w:rsidRPr="002B515D">
      <w:rPr>
        <w:rStyle w:val="PageNumber"/>
        <w:rFonts w:ascii="Dubai" w:hAnsi="Dubai" w:cs="Dubai"/>
      </w:rPr>
      <w:instrText xml:space="preserve"> PAGE </w:instrText>
    </w:r>
    <w:r w:rsidRPr="002B515D">
      <w:rPr>
        <w:rStyle w:val="PageNumber"/>
        <w:rFonts w:ascii="Dubai" w:hAnsi="Dubai" w:cs="Dubai"/>
      </w:rPr>
      <w:fldChar w:fldCharType="separate"/>
    </w:r>
    <w:r w:rsidRPr="002B515D">
      <w:rPr>
        <w:rStyle w:val="PageNumber"/>
        <w:rFonts w:ascii="Dubai" w:hAnsi="Dubai" w:cs="Dubai"/>
      </w:rPr>
      <w:t>2</w:t>
    </w:r>
    <w:r w:rsidRPr="002B515D">
      <w:rPr>
        <w:rStyle w:val="PageNumber"/>
        <w:rFonts w:ascii="Dubai" w:hAnsi="Dubai" w:cs="Dubai"/>
      </w:rPr>
      <w:fldChar w:fldCharType="end"/>
    </w:r>
    <w:r w:rsidRPr="002B515D">
      <w:rPr>
        <w:rStyle w:val="PageNumber"/>
        <w:rFonts w:ascii="Dubai" w:hAnsi="Dubai" w:cs="Dubai"/>
        <w:rtl/>
      </w:rPr>
      <w:br/>
    </w:r>
    <w:r w:rsidR="004F5F29" w:rsidRPr="002B515D">
      <w:rPr>
        <w:rStyle w:val="PageNumber"/>
        <w:rFonts w:ascii="Dubai" w:hAnsi="Dubai" w:cs="Dubai"/>
      </w:rPr>
      <w:t>WRC</w:t>
    </w:r>
    <w:r w:rsidRPr="002B515D">
      <w:rPr>
        <w:rStyle w:val="PageNumber"/>
        <w:rFonts w:ascii="Dubai" w:hAnsi="Dubai" w:cs="Dubai"/>
      </w:rPr>
      <w:t>23/120-A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1166541">
    <w:abstractNumId w:val="9"/>
  </w:num>
  <w:num w:numId="2" w16cid:durableId="1619069406">
    <w:abstractNumId w:val="13"/>
  </w:num>
  <w:num w:numId="3" w16cid:durableId="1154369416">
    <w:abstractNumId w:val="11"/>
  </w:num>
  <w:num w:numId="4" w16cid:durableId="987366592">
    <w:abstractNumId w:val="14"/>
  </w:num>
  <w:num w:numId="5" w16cid:durableId="503205459">
    <w:abstractNumId w:val="7"/>
  </w:num>
  <w:num w:numId="6" w16cid:durableId="585117350">
    <w:abstractNumId w:val="6"/>
  </w:num>
  <w:num w:numId="7" w16cid:durableId="1092818137">
    <w:abstractNumId w:val="5"/>
  </w:num>
  <w:num w:numId="8" w16cid:durableId="1243444544">
    <w:abstractNumId w:val="4"/>
  </w:num>
  <w:num w:numId="9" w16cid:durableId="1736777660">
    <w:abstractNumId w:val="8"/>
  </w:num>
  <w:num w:numId="10" w16cid:durableId="2120446913">
    <w:abstractNumId w:val="3"/>
  </w:num>
  <w:num w:numId="11" w16cid:durableId="1578443076">
    <w:abstractNumId w:val="2"/>
  </w:num>
  <w:num w:numId="12" w16cid:durableId="638148593">
    <w:abstractNumId w:val="1"/>
  </w:num>
  <w:num w:numId="13" w16cid:durableId="164636410">
    <w:abstractNumId w:val="0"/>
  </w:num>
  <w:num w:numId="14" w16cid:durableId="729226485">
    <w:abstractNumId w:val="10"/>
  </w:num>
  <w:num w:numId="15" w16cid:durableId="2083406080">
    <w:abstractNumId w:val="15"/>
  </w:num>
  <w:num w:numId="16" w16cid:durableId="815562306">
    <w:abstractNumId w:val="12"/>
  </w:num>
  <w:num w:numId="17" w16cid:durableId="1851917276">
    <w:abstractNumId w:val="6"/>
  </w:num>
  <w:num w:numId="18" w16cid:durableId="2142914853">
    <w:abstractNumId w:val="5"/>
  </w:num>
  <w:num w:numId="19" w16cid:durableId="627131879">
    <w:abstractNumId w:val="3"/>
  </w:num>
  <w:num w:numId="20" w16cid:durableId="304435427">
    <w:abstractNumId w:val="2"/>
  </w:num>
  <w:num w:numId="21" w16cid:durableId="1995453045">
    <w:abstractNumId w:val="6"/>
  </w:num>
  <w:num w:numId="22" w16cid:durableId="1076591520">
    <w:abstractNumId w:val="5"/>
  </w:num>
  <w:num w:numId="23" w16cid:durableId="1345401098">
    <w:abstractNumId w:val="3"/>
  </w:num>
  <w:num w:numId="24" w16cid:durableId="183344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86E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53F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515D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07C98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6D77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5579A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1F42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262CC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35A09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0D9F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171E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AE02C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f8eef9-20a0-4757-a39f-ecaf0f28ebe7" targetNamespace="http://schemas.microsoft.com/office/2006/metadata/properties" ma:root="true" ma:fieldsID="d41af5c836d734370eb92e7ee5f83852" ns2:_="" ns3:_="">
    <xsd:import namespace="996b2e75-67fd-4955-a3b0-5ab9934cb50b"/>
    <xsd:import namespace="8bf8eef9-20a0-4757-a39f-ecaf0f28eb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eef9-20a0-4757-a39f-ecaf0f28eb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f8eef9-20a0-4757-a39f-ecaf0f28ebe7">DPM</DPM_x0020_Author>
    <DPM_x0020_File_x0020_name xmlns="8bf8eef9-20a0-4757-a39f-ecaf0f28ebe7">R23-WRC23-C-0120!!MSW-A</DPM_x0020_File_x0020_name>
    <DPM_x0020_Version xmlns="8bf8eef9-20a0-4757-a39f-ecaf0f28ebe7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f8eef9-20a0-4757-a39f-ecaf0f28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bf8eef9-20a0-4757-a39f-ecaf0f28ebe7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R23-WRC23-C-0120!!MSW-A</vt:lpstr>
    </vt:vector>
  </TitlesOfParts>
  <Manager>General Secretariat - Pool</Manager>
  <Company>International Telecommunication Union (ITU)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R23-WRC23-C-0120!!MSW-A</dc:title>
  <dc:creator>Documents Proposals Manager (DPM)</dc:creator>
  <cp:keywords>DPM_v2023.8.1.1_prod</cp:keywords>
  <cp:lastModifiedBy>Arabic-EA</cp:lastModifiedBy>
  <cp:revision>3</cp:revision>
  <cp:lastPrinted>2020-08-11T14:28:00Z</cp:lastPrinted>
  <dcterms:created xsi:type="dcterms:W3CDTF">2023-11-17T05:00:00Z</dcterms:created>
  <dcterms:modified xsi:type="dcterms:W3CDTF">2023-11-17T05:06:00Z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