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C7F9B" w14:paraId="144A22D5" w14:textId="77777777" w:rsidTr="00C1305F">
        <w:trPr>
          <w:cantSplit/>
        </w:trPr>
        <w:tc>
          <w:tcPr>
            <w:tcW w:w="1418" w:type="dxa"/>
            <w:vAlign w:val="center"/>
          </w:tcPr>
          <w:p w14:paraId="248BD402" w14:textId="77777777" w:rsidR="00C1305F" w:rsidRPr="00AC7F9B" w:rsidRDefault="00C1305F" w:rsidP="00C1305F">
            <w:pPr>
              <w:spacing w:before="0" w:line="240" w:lineRule="atLeast"/>
              <w:rPr>
                <w:rFonts w:ascii="Verdana" w:hAnsi="Verdana"/>
                <w:b/>
                <w:bCs/>
                <w:sz w:val="20"/>
              </w:rPr>
            </w:pPr>
            <w:r w:rsidRPr="00AC7F9B">
              <w:rPr>
                <w:noProof/>
              </w:rPr>
              <w:drawing>
                <wp:inline distT="0" distB="0" distL="0" distR="0" wp14:anchorId="089FA967" wp14:editId="70329A7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35125B3" w14:textId="77777777" w:rsidR="00C1305F" w:rsidRPr="00AC7F9B" w:rsidRDefault="00C1305F" w:rsidP="00F10064">
            <w:pPr>
              <w:spacing w:before="400" w:after="48" w:line="240" w:lineRule="atLeast"/>
              <w:rPr>
                <w:rFonts w:ascii="Verdana" w:hAnsi="Verdana"/>
                <w:b/>
                <w:bCs/>
                <w:sz w:val="20"/>
              </w:rPr>
            </w:pPr>
            <w:r w:rsidRPr="00AC7F9B">
              <w:rPr>
                <w:rFonts w:ascii="Verdana" w:hAnsi="Verdana"/>
                <w:b/>
                <w:bCs/>
                <w:sz w:val="20"/>
              </w:rPr>
              <w:t>Conférence mondiale des radiocommunications (CMR-23)</w:t>
            </w:r>
            <w:r w:rsidRPr="00AC7F9B">
              <w:rPr>
                <w:rFonts w:ascii="Verdana" w:hAnsi="Verdana"/>
                <w:b/>
                <w:bCs/>
                <w:sz w:val="20"/>
              </w:rPr>
              <w:br/>
            </w:r>
            <w:r w:rsidRPr="00AC7F9B">
              <w:rPr>
                <w:rFonts w:ascii="Verdana" w:hAnsi="Verdana"/>
                <w:b/>
                <w:bCs/>
                <w:sz w:val="18"/>
                <w:szCs w:val="18"/>
              </w:rPr>
              <w:t xml:space="preserve">Dubaï, 20 novembre </w:t>
            </w:r>
            <w:r w:rsidR="008B04C4" w:rsidRPr="00AC7F9B">
              <w:rPr>
                <w:rFonts w:ascii="Verdana" w:hAnsi="Verdana"/>
                <w:b/>
                <w:bCs/>
                <w:sz w:val="18"/>
                <w:szCs w:val="18"/>
              </w:rPr>
              <w:t>–</w:t>
            </w:r>
            <w:r w:rsidRPr="00AC7F9B">
              <w:rPr>
                <w:rFonts w:ascii="Verdana" w:hAnsi="Verdana"/>
                <w:b/>
                <w:bCs/>
                <w:sz w:val="18"/>
                <w:szCs w:val="18"/>
              </w:rPr>
              <w:t xml:space="preserve"> 15 décembre 2023</w:t>
            </w:r>
          </w:p>
        </w:tc>
        <w:tc>
          <w:tcPr>
            <w:tcW w:w="1809" w:type="dxa"/>
            <w:vAlign w:val="center"/>
          </w:tcPr>
          <w:p w14:paraId="7B1FF6C0" w14:textId="77777777" w:rsidR="00C1305F" w:rsidRPr="00AC7F9B" w:rsidRDefault="00C1305F" w:rsidP="00C1305F">
            <w:pPr>
              <w:spacing w:before="0" w:line="240" w:lineRule="atLeast"/>
            </w:pPr>
            <w:r w:rsidRPr="00AC7F9B">
              <w:rPr>
                <w:noProof/>
              </w:rPr>
              <w:drawing>
                <wp:inline distT="0" distB="0" distL="0" distR="0" wp14:anchorId="605D0DCA" wp14:editId="6CE6E5B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C7F9B" w14:paraId="0859DC7A" w14:textId="77777777" w:rsidTr="0050008E">
        <w:trPr>
          <w:cantSplit/>
        </w:trPr>
        <w:tc>
          <w:tcPr>
            <w:tcW w:w="6911" w:type="dxa"/>
            <w:gridSpan w:val="2"/>
            <w:tcBorders>
              <w:bottom w:val="single" w:sz="12" w:space="0" w:color="auto"/>
            </w:tcBorders>
          </w:tcPr>
          <w:p w14:paraId="7B26FB40" w14:textId="77777777" w:rsidR="00BB1D82" w:rsidRPr="00AC7F9B" w:rsidRDefault="00BB1D82" w:rsidP="00BB1D82">
            <w:pPr>
              <w:spacing w:before="0" w:after="48" w:line="240" w:lineRule="atLeast"/>
              <w:rPr>
                <w:b/>
                <w:smallCaps/>
                <w:szCs w:val="24"/>
              </w:rPr>
            </w:pPr>
          </w:p>
        </w:tc>
        <w:tc>
          <w:tcPr>
            <w:tcW w:w="3120" w:type="dxa"/>
            <w:gridSpan w:val="2"/>
            <w:tcBorders>
              <w:bottom w:val="single" w:sz="12" w:space="0" w:color="auto"/>
            </w:tcBorders>
          </w:tcPr>
          <w:p w14:paraId="2181B718" w14:textId="77777777" w:rsidR="00BB1D82" w:rsidRPr="00AC7F9B" w:rsidRDefault="00BB1D82" w:rsidP="00BB1D82">
            <w:pPr>
              <w:spacing w:before="0" w:line="240" w:lineRule="atLeast"/>
              <w:rPr>
                <w:rFonts w:ascii="Verdana" w:hAnsi="Verdana"/>
                <w:szCs w:val="24"/>
              </w:rPr>
            </w:pPr>
          </w:p>
        </w:tc>
      </w:tr>
      <w:tr w:rsidR="00BB1D82" w:rsidRPr="00AC7F9B" w14:paraId="526C293D" w14:textId="77777777" w:rsidTr="00BB1D82">
        <w:trPr>
          <w:cantSplit/>
        </w:trPr>
        <w:tc>
          <w:tcPr>
            <w:tcW w:w="6911" w:type="dxa"/>
            <w:gridSpan w:val="2"/>
            <w:tcBorders>
              <w:top w:val="single" w:sz="12" w:space="0" w:color="auto"/>
            </w:tcBorders>
          </w:tcPr>
          <w:p w14:paraId="7A6BF61B" w14:textId="77777777" w:rsidR="00BB1D82" w:rsidRPr="00AC7F9B"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ACD5615" w14:textId="77777777" w:rsidR="00BB1D82" w:rsidRPr="00AC7F9B" w:rsidRDefault="00BB1D82" w:rsidP="00BB1D82">
            <w:pPr>
              <w:spacing w:before="0" w:line="240" w:lineRule="atLeast"/>
              <w:rPr>
                <w:rFonts w:ascii="Verdana" w:hAnsi="Verdana"/>
                <w:sz w:val="20"/>
              </w:rPr>
            </w:pPr>
          </w:p>
        </w:tc>
      </w:tr>
      <w:tr w:rsidR="00BB1D82" w:rsidRPr="00AC7F9B" w14:paraId="51BB9832" w14:textId="77777777" w:rsidTr="00BB1D82">
        <w:trPr>
          <w:cantSplit/>
        </w:trPr>
        <w:tc>
          <w:tcPr>
            <w:tcW w:w="6911" w:type="dxa"/>
            <w:gridSpan w:val="2"/>
          </w:tcPr>
          <w:p w14:paraId="1A76D930" w14:textId="77777777" w:rsidR="00BB1D82" w:rsidRPr="00AC7F9B" w:rsidRDefault="006D4724" w:rsidP="00BA5BD0">
            <w:pPr>
              <w:spacing w:before="0"/>
              <w:rPr>
                <w:rFonts w:ascii="Verdana" w:hAnsi="Verdana"/>
                <w:b/>
                <w:sz w:val="20"/>
              </w:rPr>
            </w:pPr>
            <w:r w:rsidRPr="00AC7F9B">
              <w:rPr>
                <w:rFonts w:ascii="Verdana" w:hAnsi="Verdana"/>
                <w:b/>
                <w:sz w:val="20"/>
              </w:rPr>
              <w:t>SÉANCE PLÉNIÈRE</w:t>
            </w:r>
          </w:p>
        </w:tc>
        <w:tc>
          <w:tcPr>
            <w:tcW w:w="3120" w:type="dxa"/>
            <w:gridSpan w:val="2"/>
          </w:tcPr>
          <w:p w14:paraId="5C76B99D" w14:textId="77777777" w:rsidR="00BB1D82" w:rsidRPr="00AC7F9B" w:rsidRDefault="006D4724" w:rsidP="00BA5BD0">
            <w:pPr>
              <w:spacing w:before="0"/>
              <w:rPr>
                <w:rFonts w:ascii="Verdana" w:hAnsi="Verdana"/>
                <w:sz w:val="20"/>
              </w:rPr>
            </w:pPr>
            <w:r w:rsidRPr="00AC7F9B">
              <w:rPr>
                <w:rFonts w:ascii="Verdana" w:hAnsi="Verdana"/>
                <w:b/>
                <w:sz w:val="20"/>
              </w:rPr>
              <w:t>Addendum 8 au</w:t>
            </w:r>
            <w:r w:rsidRPr="00AC7F9B">
              <w:rPr>
                <w:rFonts w:ascii="Verdana" w:hAnsi="Verdana"/>
                <w:b/>
                <w:sz w:val="20"/>
              </w:rPr>
              <w:br/>
              <w:t>Document 111</w:t>
            </w:r>
            <w:r w:rsidR="00BB1D82" w:rsidRPr="00AC7F9B">
              <w:rPr>
                <w:rFonts w:ascii="Verdana" w:hAnsi="Verdana"/>
                <w:b/>
                <w:sz w:val="20"/>
              </w:rPr>
              <w:t>-</w:t>
            </w:r>
            <w:r w:rsidRPr="00AC7F9B">
              <w:rPr>
                <w:rFonts w:ascii="Verdana" w:hAnsi="Verdana"/>
                <w:b/>
                <w:sz w:val="20"/>
              </w:rPr>
              <w:t>F</w:t>
            </w:r>
          </w:p>
        </w:tc>
      </w:tr>
      <w:tr w:rsidR="00690C7B" w:rsidRPr="00AC7F9B" w14:paraId="69CBDF42" w14:textId="77777777" w:rsidTr="00BB1D82">
        <w:trPr>
          <w:cantSplit/>
        </w:trPr>
        <w:tc>
          <w:tcPr>
            <w:tcW w:w="6911" w:type="dxa"/>
            <w:gridSpan w:val="2"/>
          </w:tcPr>
          <w:p w14:paraId="24CAA00A" w14:textId="77777777" w:rsidR="00690C7B" w:rsidRPr="00AC7F9B" w:rsidRDefault="00690C7B" w:rsidP="00BA5BD0">
            <w:pPr>
              <w:spacing w:before="0"/>
              <w:rPr>
                <w:rFonts w:ascii="Verdana" w:hAnsi="Verdana"/>
                <w:b/>
                <w:sz w:val="20"/>
              </w:rPr>
            </w:pPr>
          </w:p>
        </w:tc>
        <w:tc>
          <w:tcPr>
            <w:tcW w:w="3120" w:type="dxa"/>
            <w:gridSpan w:val="2"/>
          </w:tcPr>
          <w:p w14:paraId="0C6A6C5D" w14:textId="77777777" w:rsidR="00690C7B" w:rsidRPr="00AC7F9B" w:rsidRDefault="00690C7B" w:rsidP="00BA5BD0">
            <w:pPr>
              <w:spacing w:before="0"/>
              <w:rPr>
                <w:rFonts w:ascii="Verdana" w:hAnsi="Verdana"/>
                <w:b/>
                <w:sz w:val="20"/>
              </w:rPr>
            </w:pPr>
            <w:r w:rsidRPr="00AC7F9B">
              <w:rPr>
                <w:rFonts w:ascii="Verdana" w:hAnsi="Verdana"/>
                <w:b/>
                <w:sz w:val="20"/>
              </w:rPr>
              <w:t>29 octobre 2023</w:t>
            </w:r>
          </w:p>
        </w:tc>
      </w:tr>
      <w:tr w:rsidR="00690C7B" w:rsidRPr="00AC7F9B" w14:paraId="55CDEFE8" w14:textId="77777777" w:rsidTr="00BB1D82">
        <w:trPr>
          <w:cantSplit/>
        </w:trPr>
        <w:tc>
          <w:tcPr>
            <w:tcW w:w="6911" w:type="dxa"/>
            <w:gridSpan w:val="2"/>
          </w:tcPr>
          <w:p w14:paraId="4D40DF03" w14:textId="77777777" w:rsidR="00690C7B" w:rsidRPr="00AC7F9B" w:rsidRDefault="00690C7B" w:rsidP="00BA5BD0">
            <w:pPr>
              <w:spacing w:before="0" w:after="48"/>
              <w:rPr>
                <w:rFonts w:ascii="Verdana" w:hAnsi="Verdana"/>
                <w:b/>
                <w:smallCaps/>
                <w:sz w:val="20"/>
              </w:rPr>
            </w:pPr>
          </w:p>
        </w:tc>
        <w:tc>
          <w:tcPr>
            <w:tcW w:w="3120" w:type="dxa"/>
            <w:gridSpan w:val="2"/>
          </w:tcPr>
          <w:p w14:paraId="4CB84F7B" w14:textId="77777777" w:rsidR="00690C7B" w:rsidRPr="00AC7F9B" w:rsidRDefault="00690C7B" w:rsidP="00BA5BD0">
            <w:pPr>
              <w:spacing w:before="0"/>
              <w:rPr>
                <w:rFonts w:ascii="Verdana" w:hAnsi="Verdana"/>
                <w:b/>
                <w:sz w:val="20"/>
              </w:rPr>
            </w:pPr>
            <w:r w:rsidRPr="00AC7F9B">
              <w:rPr>
                <w:rFonts w:ascii="Verdana" w:hAnsi="Verdana"/>
                <w:b/>
                <w:sz w:val="20"/>
              </w:rPr>
              <w:t>Original: chinois</w:t>
            </w:r>
          </w:p>
        </w:tc>
      </w:tr>
      <w:tr w:rsidR="00690C7B" w:rsidRPr="00AC7F9B" w14:paraId="4998DA08" w14:textId="77777777" w:rsidTr="00C11970">
        <w:trPr>
          <w:cantSplit/>
        </w:trPr>
        <w:tc>
          <w:tcPr>
            <w:tcW w:w="10031" w:type="dxa"/>
            <w:gridSpan w:val="4"/>
          </w:tcPr>
          <w:p w14:paraId="58798965" w14:textId="77777777" w:rsidR="00690C7B" w:rsidRPr="00AC7F9B" w:rsidRDefault="00690C7B" w:rsidP="00BA5BD0">
            <w:pPr>
              <w:spacing w:before="0"/>
              <w:rPr>
                <w:rFonts w:ascii="Verdana" w:hAnsi="Verdana"/>
                <w:b/>
                <w:sz w:val="20"/>
              </w:rPr>
            </w:pPr>
          </w:p>
        </w:tc>
      </w:tr>
      <w:tr w:rsidR="00690C7B" w:rsidRPr="00AC7F9B" w14:paraId="4E0F2AE7" w14:textId="77777777" w:rsidTr="0050008E">
        <w:trPr>
          <w:cantSplit/>
        </w:trPr>
        <w:tc>
          <w:tcPr>
            <w:tcW w:w="10031" w:type="dxa"/>
            <w:gridSpan w:val="4"/>
          </w:tcPr>
          <w:p w14:paraId="07F145CB" w14:textId="77777777" w:rsidR="00690C7B" w:rsidRPr="00AC7F9B" w:rsidRDefault="00690C7B" w:rsidP="00690C7B">
            <w:pPr>
              <w:pStyle w:val="Source"/>
            </w:pPr>
            <w:bookmarkStart w:id="0" w:name="dsource" w:colFirst="0" w:colLast="0"/>
            <w:r w:rsidRPr="00AC7F9B">
              <w:t>Chine (République populaire de)</w:t>
            </w:r>
          </w:p>
        </w:tc>
      </w:tr>
      <w:tr w:rsidR="00690C7B" w:rsidRPr="00AC7F9B" w14:paraId="585B2064" w14:textId="77777777" w:rsidTr="0050008E">
        <w:trPr>
          <w:cantSplit/>
        </w:trPr>
        <w:tc>
          <w:tcPr>
            <w:tcW w:w="10031" w:type="dxa"/>
            <w:gridSpan w:val="4"/>
          </w:tcPr>
          <w:p w14:paraId="36EDB590" w14:textId="77777777" w:rsidR="00690C7B" w:rsidRPr="00AC7F9B" w:rsidRDefault="008B04C4" w:rsidP="00690C7B">
            <w:pPr>
              <w:pStyle w:val="Title1"/>
            </w:pPr>
            <w:bookmarkStart w:id="1" w:name="dtitle1" w:colFirst="0" w:colLast="0"/>
            <w:bookmarkEnd w:id="0"/>
            <w:r w:rsidRPr="00AC7F9B">
              <w:rPr>
                <w:rStyle w:val="ui-provider"/>
              </w:rPr>
              <w:t>Propositions pour les travaux de la Conférence</w:t>
            </w:r>
          </w:p>
        </w:tc>
      </w:tr>
      <w:tr w:rsidR="00690C7B" w:rsidRPr="00AC7F9B" w14:paraId="1C25E109" w14:textId="77777777" w:rsidTr="0050008E">
        <w:trPr>
          <w:cantSplit/>
        </w:trPr>
        <w:tc>
          <w:tcPr>
            <w:tcW w:w="10031" w:type="dxa"/>
            <w:gridSpan w:val="4"/>
          </w:tcPr>
          <w:p w14:paraId="3AF67651" w14:textId="77777777" w:rsidR="00690C7B" w:rsidRPr="00AC7F9B" w:rsidRDefault="00690C7B" w:rsidP="00690C7B">
            <w:pPr>
              <w:pStyle w:val="Title2"/>
            </w:pPr>
            <w:bookmarkStart w:id="2" w:name="dtitle2" w:colFirst="0" w:colLast="0"/>
            <w:bookmarkEnd w:id="1"/>
          </w:p>
        </w:tc>
      </w:tr>
      <w:tr w:rsidR="00690C7B" w:rsidRPr="00AC7F9B" w14:paraId="7958C2D8" w14:textId="77777777" w:rsidTr="0050008E">
        <w:trPr>
          <w:cantSplit/>
        </w:trPr>
        <w:tc>
          <w:tcPr>
            <w:tcW w:w="10031" w:type="dxa"/>
            <w:gridSpan w:val="4"/>
          </w:tcPr>
          <w:p w14:paraId="7436E76A" w14:textId="77777777" w:rsidR="00690C7B" w:rsidRPr="00AC7F9B" w:rsidRDefault="00690C7B" w:rsidP="00690C7B">
            <w:pPr>
              <w:pStyle w:val="Agendaitem"/>
              <w:rPr>
                <w:lang w:val="fr-FR"/>
              </w:rPr>
            </w:pPr>
            <w:bookmarkStart w:id="3" w:name="dtitle3" w:colFirst="0" w:colLast="0"/>
            <w:bookmarkEnd w:id="2"/>
            <w:r w:rsidRPr="00AC7F9B">
              <w:rPr>
                <w:lang w:val="fr-FR"/>
              </w:rPr>
              <w:t>Point 1.8 de l'ordre du jour</w:t>
            </w:r>
          </w:p>
        </w:tc>
      </w:tr>
    </w:tbl>
    <w:bookmarkEnd w:id="3"/>
    <w:p w14:paraId="5D37C3B1" w14:textId="77777777" w:rsidR="00AC7F9B" w:rsidRPr="00AC7F9B" w:rsidRDefault="00CD764E" w:rsidP="0011637D">
      <w:r w:rsidRPr="00AC7F9B">
        <w:rPr>
          <w:bCs/>
          <w:iCs/>
        </w:rPr>
        <w:t>1.8</w:t>
      </w:r>
      <w:r w:rsidRPr="00AC7F9B">
        <w:rPr>
          <w:bCs/>
          <w:iCs/>
        </w:rPr>
        <w:tab/>
        <w:t>envisager, sur la base des études menées par l'UIT-R conformément à la Résolution </w:t>
      </w:r>
      <w:r w:rsidRPr="00AC7F9B">
        <w:rPr>
          <w:b/>
          <w:bCs/>
          <w:iCs/>
        </w:rPr>
        <w:t>171 (CMR-19)</w:t>
      </w:r>
      <w:r w:rsidRPr="00AC7F9B">
        <w:rPr>
          <w:bCs/>
          <w:iCs/>
        </w:rPr>
        <w:t xml:space="preserve">, des mesures réglementaires appropriées, en vue d'examiner et, au besoin, de réviser la Résolution </w:t>
      </w:r>
      <w:r w:rsidRPr="00AC7F9B">
        <w:rPr>
          <w:b/>
          <w:bCs/>
          <w:iCs/>
        </w:rPr>
        <w:t>155 (Rév.CMR-19)</w:t>
      </w:r>
      <w:r w:rsidRPr="00AC7F9B">
        <w:rPr>
          <w:bCs/>
          <w:iCs/>
        </w:rPr>
        <w:t xml:space="preserve"> et le numéro </w:t>
      </w:r>
      <w:r w:rsidRPr="00AC7F9B">
        <w:rPr>
          <w:b/>
          <w:bCs/>
          <w:iCs/>
        </w:rPr>
        <w:t>5.484B</w:t>
      </w:r>
      <w:r w:rsidRPr="00AC7F9B">
        <w:rPr>
          <w:bCs/>
          <w:iCs/>
        </w:rPr>
        <w:t>, pour tenir compte de l'utilisation des réseaux du service fixe par satellite pour les communications de contrôle et non associées à la charge utile des systèmes d'aéronef sans pilote;</w:t>
      </w:r>
    </w:p>
    <w:p w14:paraId="3F5B3471" w14:textId="609B7132" w:rsidR="003A583E" w:rsidRPr="00AC7F9B" w:rsidRDefault="00BC0C0D" w:rsidP="0011637D">
      <w:pPr>
        <w:pStyle w:val="Headingb"/>
      </w:pPr>
      <w:r w:rsidRPr="00AC7F9B">
        <w:t>Introduction</w:t>
      </w:r>
    </w:p>
    <w:p w14:paraId="46527CFB" w14:textId="1458758C" w:rsidR="00BC0C0D" w:rsidRPr="00AC7F9B" w:rsidRDefault="00933FBB" w:rsidP="0011637D">
      <w:pPr>
        <w:rPr>
          <w:iCs/>
        </w:rPr>
      </w:pPr>
      <w:r w:rsidRPr="00AC7F9B">
        <w:t xml:space="preserve">Au titre du point 1.8 de l'ordre du jour, il est demandé à la CMR-23 d'examiner et, éventuellement, de réviser la Résolution </w:t>
      </w:r>
      <w:r w:rsidRPr="00AC7F9B">
        <w:rPr>
          <w:b/>
          <w:bCs/>
        </w:rPr>
        <w:t xml:space="preserve">155 (Rév.CMR-19) </w:t>
      </w:r>
      <w:r w:rsidRPr="00AC7F9B">
        <w:t xml:space="preserve">et le numéro </w:t>
      </w:r>
      <w:r w:rsidRPr="00AC7F9B">
        <w:rPr>
          <w:b/>
          <w:bCs/>
          <w:iCs/>
        </w:rPr>
        <w:t xml:space="preserve">5.484B </w:t>
      </w:r>
      <w:r w:rsidRPr="00AC7F9B">
        <w:rPr>
          <w:iCs/>
        </w:rPr>
        <w:t xml:space="preserve">dans les bandes de fréquences auxquelles les dispositions de cette </w:t>
      </w:r>
      <w:r w:rsidR="00B26945" w:rsidRPr="00AC7F9B">
        <w:rPr>
          <w:iCs/>
        </w:rPr>
        <w:t>r</w:t>
      </w:r>
      <w:r w:rsidRPr="00AC7F9B">
        <w:rPr>
          <w:iCs/>
        </w:rPr>
        <w:t>ésolution et de ce numéro s'appliquent.</w:t>
      </w:r>
    </w:p>
    <w:p w14:paraId="24D0E97E" w14:textId="226A3B94" w:rsidR="00933FBB" w:rsidRPr="00AC7F9B" w:rsidRDefault="00933FBB" w:rsidP="0011637D">
      <w:r w:rsidRPr="00AC7F9B">
        <w:t>Des études relatives à la possibilité d'utiliser les répéteurs du service fixe par satellite (SFS)</w:t>
      </w:r>
      <w:r w:rsidR="00B95E0C" w:rsidRPr="00AC7F9B">
        <w:t xml:space="preserve"> conventionnel</w:t>
      </w:r>
      <w:r w:rsidRPr="00AC7F9B">
        <w:t xml:space="preserve"> pour assurer les liaisons de communication de contrôle et non associées à la charge utile (CNPC) des systèmes d'aéronef sans pilote (UAS) ont été menées au titre du point 1.5 de l'ordre du jour de la CMR-15 et du point 1.8 de l'ordre du jour de la CMR-23. </w:t>
      </w:r>
      <w:r w:rsidR="00101C0F" w:rsidRPr="00AC7F9B">
        <w:t xml:space="preserve">Le Groupe de travail </w:t>
      </w:r>
      <w:r w:rsidR="004710AE" w:rsidRPr="00AC7F9B">
        <w:t xml:space="preserve">(GT) </w:t>
      </w:r>
      <w:r w:rsidR="00101C0F" w:rsidRPr="00AC7F9B">
        <w:t>5B de l'UIT-R a été désigné en tant que groupe responsable pour le point 1.8 de l'ordre du jour de la CMR-23, tandis que les GT 4A et 4B ont été désignés pour assurer les fonctions de groupe contributeur</w:t>
      </w:r>
      <w:r w:rsidRPr="00AC7F9B">
        <w:t>.</w:t>
      </w:r>
    </w:p>
    <w:p w14:paraId="19DAF4AD" w14:textId="5F4FC77D" w:rsidR="00BC0C0D" w:rsidRPr="00AC7F9B" w:rsidRDefault="00BC0C0D" w:rsidP="005A7C75">
      <w:r w:rsidRPr="00AC7F9B">
        <w:t>Deux méthodes ont été identifiées pour traiter le point 1.8 de l'ordre du jour de la CMR-23. On trouvera dans les sous-paragraphes suivants une description de chacune de ces méthodes.</w:t>
      </w:r>
    </w:p>
    <w:p w14:paraId="6F8A3C36" w14:textId="77777777" w:rsidR="00BC0C0D" w:rsidRPr="00AC7F9B" w:rsidRDefault="00BC0C0D" w:rsidP="0011637D">
      <w:r w:rsidRPr="00AC7F9B">
        <w:t xml:space="preserve">Selon la Méthode A, il est proposé de supprimer le numéro </w:t>
      </w:r>
      <w:r w:rsidRPr="00AC7F9B">
        <w:rPr>
          <w:b/>
        </w:rPr>
        <w:t>5.484B</w:t>
      </w:r>
      <w:r w:rsidRPr="00AC7F9B">
        <w:t xml:space="preserve"> du RR ainsi que les Résolutions </w:t>
      </w:r>
      <w:r w:rsidRPr="00AC7F9B">
        <w:rPr>
          <w:b/>
        </w:rPr>
        <w:t>155 (Rév.CMR-19)</w:t>
      </w:r>
      <w:r w:rsidRPr="00AC7F9B">
        <w:t xml:space="preserve"> et </w:t>
      </w:r>
      <w:r w:rsidRPr="00AC7F9B">
        <w:rPr>
          <w:b/>
        </w:rPr>
        <w:t>171 (CMR-19)</w:t>
      </w:r>
      <w:r w:rsidRPr="00AC7F9B">
        <w:t>.</w:t>
      </w:r>
    </w:p>
    <w:p w14:paraId="48837432" w14:textId="435C61A6" w:rsidR="00BC0C0D" w:rsidRPr="00AC7F9B" w:rsidRDefault="00BC0C0D" w:rsidP="0011637D">
      <w:r w:rsidRPr="00AC7F9B">
        <w:t xml:space="preserve">La Méthode B consiste à réviser la Résolution </w:t>
      </w:r>
      <w:r w:rsidRPr="00AC7F9B">
        <w:rPr>
          <w:b/>
        </w:rPr>
        <w:t>155</w:t>
      </w:r>
      <w:r w:rsidRPr="00AC7F9B">
        <w:t xml:space="preserve"> </w:t>
      </w:r>
      <w:r w:rsidRPr="00AC7F9B">
        <w:rPr>
          <w:b/>
        </w:rPr>
        <w:t>(Rév</w:t>
      </w:r>
      <w:r w:rsidRPr="00AC7F9B">
        <w:t>.</w:t>
      </w:r>
      <w:r w:rsidRPr="00AC7F9B">
        <w:rPr>
          <w:b/>
        </w:rPr>
        <w:t>CMR-19)</w:t>
      </w:r>
      <w:r w:rsidR="00830C69" w:rsidRPr="00AC7F9B">
        <w:t xml:space="preserve"> </w:t>
      </w:r>
      <w:r w:rsidRPr="00AC7F9B">
        <w:t xml:space="preserve">et à supprimer la Résolution </w:t>
      </w:r>
      <w:r w:rsidRPr="00AC7F9B">
        <w:rPr>
          <w:b/>
        </w:rPr>
        <w:t>171 (CMR-19)</w:t>
      </w:r>
      <w:r w:rsidRPr="00AC7F9B">
        <w:t xml:space="preserve">. En outre, cette méthode prévoit la possibilité de réviser le numéro </w:t>
      </w:r>
      <w:r w:rsidRPr="00AC7F9B">
        <w:rPr>
          <w:b/>
        </w:rPr>
        <w:t>5.484B</w:t>
      </w:r>
      <w:r w:rsidRPr="00AC7F9B">
        <w:t>.</w:t>
      </w:r>
    </w:p>
    <w:p w14:paraId="760D897D" w14:textId="68BB3996" w:rsidR="00BC0C0D" w:rsidRPr="00AC7F9B" w:rsidRDefault="00BC0C0D" w:rsidP="0011637D">
      <w:r w:rsidRPr="00AC7F9B">
        <w:t>Aucun accord n'a été trouvé concernant le texte correspondant à la Méthode B. Dans ce contexte, trois variantes, intitulées Méthode B1, B2 et B3, sont proposées. Le texte de la Méthode B1 est une reproduction du projet de texte de la RPC, tel qu'il figure dans le Document </w:t>
      </w:r>
      <w:hyperlink r:id="rId13" w:history="1">
        <w:r w:rsidRPr="00AC7F9B">
          <w:rPr>
            <w:rStyle w:val="Hyperlink"/>
          </w:rPr>
          <w:t>CPM23-2/1</w:t>
        </w:r>
      </w:hyperlink>
      <w:r w:rsidRPr="00AC7F9B">
        <w:t>. Les Méthodes B2 et B3 sont issues de contributions soumises à la RPC23</w:t>
      </w:r>
      <w:r w:rsidRPr="00AC7F9B">
        <w:noBreakHyphen/>
        <w:t xml:space="preserve">2 et ont été fusionnées par </w:t>
      </w:r>
      <w:r w:rsidRPr="00AC7F9B">
        <w:lastRenderedPageBreak/>
        <w:t>leurs auteurs respectifs. Elles sont fournies à titre d'information. La RPC23-2 n'ayant pas eu le temps d'examiner la teneur du texte correspondant à ces méthodes, il convient de considérer que celles-ci n'ont fait l'objet d'aucun accord de la part de la RPC.</w:t>
      </w:r>
    </w:p>
    <w:p w14:paraId="12A4FE4C" w14:textId="607C710F" w:rsidR="00BC0C0D" w:rsidRPr="00AC7F9B" w:rsidRDefault="00BC0C0D" w:rsidP="0011637D">
      <w:pPr>
        <w:pStyle w:val="Headingb"/>
      </w:pPr>
      <w:r w:rsidRPr="00AC7F9B">
        <w:t>Proposition</w:t>
      </w:r>
    </w:p>
    <w:p w14:paraId="03CB2B89" w14:textId="33F70277" w:rsidR="00BC0C0D" w:rsidRPr="00AC7F9B" w:rsidRDefault="00830C69" w:rsidP="0011637D">
      <w:r w:rsidRPr="00AC7F9B">
        <w:t xml:space="preserve">La Chine </w:t>
      </w:r>
      <w:r w:rsidR="00F96475" w:rsidRPr="00AC7F9B">
        <w:t>propose</w:t>
      </w:r>
      <w:r w:rsidR="00BC0C0D" w:rsidRPr="00AC7F9B">
        <w:t xml:space="preserve"> de supprimer le numéro </w:t>
      </w:r>
      <w:r w:rsidR="00BC0C0D" w:rsidRPr="00AC7F9B">
        <w:rPr>
          <w:b/>
        </w:rPr>
        <w:t>5.484B</w:t>
      </w:r>
      <w:r w:rsidR="00BC0C0D" w:rsidRPr="00AC7F9B">
        <w:t xml:space="preserve"> du RR ainsi que les Résolutions </w:t>
      </w:r>
      <w:r w:rsidR="00BC0C0D" w:rsidRPr="00AC7F9B">
        <w:rPr>
          <w:b/>
        </w:rPr>
        <w:t>155 (Rév.CMR</w:t>
      </w:r>
      <w:r w:rsidR="0011637D" w:rsidRPr="00AC7F9B">
        <w:rPr>
          <w:b/>
        </w:rPr>
        <w:noBreakHyphen/>
      </w:r>
      <w:r w:rsidR="00BC0C0D" w:rsidRPr="00AC7F9B">
        <w:rPr>
          <w:b/>
        </w:rPr>
        <w:t>19)</w:t>
      </w:r>
      <w:r w:rsidR="00BC0C0D" w:rsidRPr="00AC7F9B">
        <w:t xml:space="preserve"> et </w:t>
      </w:r>
      <w:r w:rsidR="00BC0C0D" w:rsidRPr="00AC7F9B">
        <w:rPr>
          <w:b/>
        </w:rPr>
        <w:t>171 (CMR-19)</w:t>
      </w:r>
      <w:r w:rsidR="00BC0C0D" w:rsidRPr="00AC7F9B">
        <w:t>.</w:t>
      </w:r>
    </w:p>
    <w:p w14:paraId="59A9B9F5" w14:textId="226F3DC4" w:rsidR="00BC0C0D" w:rsidRPr="00AC7F9B" w:rsidRDefault="00BC0C0D" w:rsidP="0011637D">
      <w:pPr>
        <w:pStyle w:val="Headingb"/>
      </w:pPr>
      <w:r w:rsidRPr="00AC7F9B">
        <w:t>Motifs:</w:t>
      </w:r>
    </w:p>
    <w:p w14:paraId="20A15BFA" w14:textId="2774CD6D" w:rsidR="00BC0C0D" w:rsidRPr="00AC7F9B" w:rsidRDefault="00BC0C0D" w:rsidP="0011637D">
      <w:pPr>
        <w:pStyle w:val="enumlev1"/>
      </w:pPr>
      <w:r w:rsidRPr="00AC7F9B">
        <w:t>1)</w:t>
      </w:r>
      <w:r w:rsidRPr="00AC7F9B">
        <w:tab/>
      </w:r>
      <w:r w:rsidR="00F96475" w:rsidRPr="00AC7F9B">
        <w:t xml:space="preserve">L'utilisation du SFS pour les </w:t>
      </w:r>
      <w:r w:rsidR="00E1281B" w:rsidRPr="00AC7F9B">
        <w:t>communications</w:t>
      </w:r>
      <w:r w:rsidR="00F96475" w:rsidRPr="00AC7F9B">
        <w:t xml:space="preserve"> CNPC des systèmes UAS n'est pas appropriée, faisable ou raisonnable. </w:t>
      </w:r>
      <w:r w:rsidR="0034551B" w:rsidRPr="00AC7F9B">
        <w:t>Les communications CNPC constituent un système aéronautique lié à la sécurité de la vie humaine. Toutefois,</w:t>
      </w:r>
      <w:r w:rsidR="004F0570" w:rsidRPr="00AC7F9B">
        <w:t xml:space="preserve"> l'UIT ne </w:t>
      </w:r>
      <w:r w:rsidR="00450965" w:rsidRPr="00AC7F9B">
        <w:t>reconnaît</w:t>
      </w:r>
      <w:r w:rsidR="004F0570" w:rsidRPr="00AC7F9B">
        <w:t xml:space="preserve"> pa</w:t>
      </w:r>
      <w:r w:rsidR="001F4EA5" w:rsidRPr="00AC7F9B">
        <w:t xml:space="preserve">s </w:t>
      </w:r>
      <w:r w:rsidR="004F0570" w:rsidRPr="00AC7F9B">
        <w:t xml:space="preserve">le SFS </w:t>
      </w:r>
      <w:r w:rsidR="00450965" w:rsidRPr="00AC7F9B">
        <w:t>en tant que</w:t>
      </w:r>
      <w:r w:rsidR="004F0570" w:rsidRPr="00AC7F9B">
        <w:t xml:space="preserve"> service de sécurité </w:t>
      </w:r>
      <w:r w:rsidR="00450965" w:rsidRPr="00AC7F9B">
        <w:t>pour</w:t>
      </w:r>
      <w:r w:rsidR="004F0570" w:rsidRPr="00AC7F9B">
        <w:t xml:space="preserve"> les bandes de fréquences en question. Il n'est pas possible de </w:t>
      </w:r>
      <w:r w:rsidR="0013177E" w:rsidRPr="00AC7F9B">
        <w:t>remédier à</w:t>
      </w:r>
      <w:r w:rsidR="004F0570" w:rsidRPr="00AC7F9B">
        <w:t xml:space="preserve"> la contradiction entre </w:t>
      </w:r>
      <w:r w:rsidR="0013177E" w:rsidRPr="00AC7F9B">
        <w:t>la vocation</w:t>
      </w:r>
      <w:r w:rsidR="004F0570" w:rsidRPr="00AC7F9B">
        <w:t xml:space="preserve"> de sécurité de la vie </w:t>
      </w:r>
      <w:r w:rsidR="0013177E" w:rsidRPr="00AC7F9B">
        <w:t xml:space="preserve">humaine </w:t>
      </w:r>
      <w:r w:rsidR="005519E2" w:rsidRPr="00AC7F9B">
        <w:t>que revêt</w:t>
      </w:r>
      <w:r w:rsidR="004F0570" w:rsidRPr="00AC7F9B">
        <w:t xml:space="preserve"> l'exploitation </w:t>
      </w:r>
      <w:r w:rsidR="0013177E" w:rsidRPr="00AC7F9B">
        <w:t>des communications CNPC des systèmes UAS</w:t>
      </w:r>
      <w:r w:rsidR="004F0570" w:rsidRPr="00AC7F9B">
        <w:t xml:space="preserve"> et </w:t>
      </w:r>
      <w:r w:rsidR="0013177E" w:rsidRPr="00AC7F9B">
        <w:t>le fait que le</w:t>
      </w:r>
      <w:r w:rsidR="0011637D" w:rsidRPr="00AC7F9B">
        <w:t> </w:t>
      </w:r>
      <w:r w:rsidR="0013177E" w:rsidRPr="00AC7F9B">
        <w:t>SFS n'a pas trait à la sécurité et qu'il est de nature commerciale.</w:t>
      </w:r>
    </w:p>
    <w:p w14:paraId="1CE2A1C5" w14:textId="210D6269" w:rsidR="00BC0C0D" w:rsidRPr="00AC7F9B" w:rsidRDefault="00BC0C0D" w:rsidP="0011637D">
      <w:pPr>
        <w:pStyle w:val="enumlev1"/>
      </w:pPr>
      <w:r w:rsidRPr="00AC7F9B">
        <w:t>2)</w:t>
      </w:r>
      <w:r w:rsidRPr="00AC7F9B">
        <w:tab/>
      </w:r>
      <w:r w:rsidR="00CB5EC8" w:rsidRPr="00AC7F9B">
        <w:t xml:space="preserve">Les bandes de fréquences du SFS identifiées au point 1 du </w:t>
      </w:r>
      <w:r w:rsidR="00CB5EC8" w:rsidRPr="00AC7F9B">
        <w:rPr>
          <w:i/>
          <w:iCs/>
        </w:rPr>
        <w:t>décide</w:t>
      </w:r>
      <w:r w:rsidR="00CB5EC8" w:rsidRPr="00AC7F9B">
        <w:t xml:space="preserve"> de la Résolution</w:t>
      </w:r>
      <w:r w:rsidR="0011637D" w:rsidRPr="00AC7F9B">
        <w:t> </w:t>
      </w:r>
      <w:r w:rsidR="00CB5EC8" w:rsidRPr="00AC7F9B">
        <w:rPr>
          <w:b/>
          <w:bCs/>
        </w:rPr>
        <w:t>155</w:t>
      </w:r>
      <w:r w:rsidR="0011637D" w:rsidRPr="00AC7F9B">
        <w:rPr>
          <w:b/>
          <w:bCs/>
        </w:rPr>
        <w:t> </w:t>
      </w:r>
      <w:r w:rsidR="00CB5EC8" w:rsidRPr="00AC7F9B">
        <w:rPr>
          <w:b/>
          <w:bCs/>
        </w:rPr>
        <w:t>(Rév.CMR</w:t>
      </w:r>
      <w:r w:rsidR="00CB5EC8" w:rsidRPr="00AC7F9B">
        <w:rPr>
          <w:b/>
          <w:bCs/>
        </w:rPr>
        <w:noBreakHyphen/>
        <w:t>19)</w:t>
      </w:r>
      <w:r w:rsidR="00CB5EC8" w:rsidRPr="00AC7F9B">
        <w:t xml:space="preserve"> sont très encombrées et sont exposées à des brouillages à intervalles réguliers, y compris en ce qui concerne les réseaux du SFS pour lesquels l'ensemble de la coordination a été menée à bonne fin.</w:t>
      </w:r>
    </w:p>
    <w:p w14:paraId="1B2DC8DA" w14:textId="0277ECF8" w:rsidR="00BC0C0D" w:rsidRPr="00AC7F9B" w:rsidRDefault="00BC0C0D" w:rsidP="0011637D">
      <w:pPr>
        <w:pStyle w:val="enumlev1"/>
      </w:pPr>
      <w:r w:rsidRPr="00AC7F9B">
        <w:t>3)</w:t>
      </w:r>
      <w:r w:rsidRPr="00AC7F9B">
        <w:tab/>
      </w:r>
      <w:r w:rsidR="001F4EA5" w:rsidRPr="00AC7F9B">
        <w:t xml:space="preserve">Les bandes de fréquences identifiées au point 1 du </w:t>
      </w:r>
      <w:r w:rsidR="001F4EA5" w:rsidRPr="00AC7F9B">
        <w:rPr>
          <w:i/>
          <w:iCs/>
        </w:rPr>
        <w:t>décide</w:t>
      </w:r>
      <w:r w:rsidR="001F4EA5" w:rsidRPr="00AC7F9B">
        <w:t xml:space="preserve"> de la Résolution</w:t>
      </w:r>
      <w:r w:rsidR="0011637D" w:rsidRPr="00AC7F9B">
        <w:t> </w:t>
      </w:r>
      <w:r w:rsidR="001F4EA5" w:rsidRPr="00AC7F9B">
        <w:rPr>
          <w:b/>
          <w:bCs/>
        </w:rPr>
        <w:t>155</w:t>
      </w:r>
      <w:r w:rsidR="0011637D" w:rsidRPr="00AC7F9B">
        <w:rPr>
          <w:b/>
          <w:bCs/>
        </w:rPr>
        <w:t> </w:t>
      </w:r>
      <w:r w:rsidR="001F4EA5" w:rsidRPr="00AC7F9B">
        <w:rPr>
          <w:b/>
          <w:bCs/>
        </w:rPr>
        <w:t xml:space="preserve">(Rév.CMR-19) </w:t>
      </w:r>
      <w:r w:rsidR="001F4EA5" w:rsidRPr="00AC7F9B">
        <w:t xml:space="preserve">sont utilisées en partage avec les services de Terre, </w:t>
      </w:r>
      <w:r w:rsidR="00A97AF9" w:rsidRPr="00AC7F9B">
        <w:t xml:space="preserve">la plupart </w:t>
      </w:r>
      <w:r w:rsidR="001F4EA5" w:rsidRPr="00AC7F9B">
        <w:t>dans le cadre d'attributions régionales générales faites par l'UIT-R et d'autres dans le cadre de renvois relatifs à plusieurs pays. Dans le cadre des travaux menés au titre du point 1.8 de l'ordre du jour de la CMR-23, il a été décidé que les liaisons CNPC des systèmes</w:t>
      </w:r>
      <w:r w:rsidR="0011637D" w:rsidRPr="00AC7F9B">
        <w:t xml:space="preserve"> </w:t>
      </w:r>
      <w:r w:rsidR="001F4EA5" w:rsidRPr="00AC7F9B">
        <w:t>UAS ne demanderaient pas de protection vis-à-vis des services de Terre exploités conformément au Règlement des radiocommunications. Autrement dit, ces liaisons ne seraient pas protégées vis-à-vis des services de Terre et il fau</w:t>
      </w:r>
      <w:r w:rsidR="00A97AF9" w:rsidRPr="00AC7F9B">
        <w:t>t</w:t>
      </w:r>
      <w:r w:rsidR="001F4EA5" w:rsidRPr="00AC7F9B">
        <w:t xml:space="preserve"> s'attendre à</w:t>
      </w:r>
      <w:r w:rsidR="00A97AF9" w:rsidRPr="00AC7F9B">
        <w:t xml:space="preserve"> ce que</w:t>
      </w:r>
      <w:r w:rsidR="001F4EA5" w:rsidRPr="00AC7F9B">
        <w:t xml:space="preserve"> des brouillages </w:t>
      </w:r>
      <w:r w:rsidR="00A97AF9" w:rsidRPr="00AC7F9B">
        <w:t>soient causés aux</w:t>
      </w:r>
      <w:r w:rsidR="001F4EA5" w:rsidRPr="00AC7F9B">
        <w:t xml:space="preserve"> liaisons CNPC des systèmes UAS.</w:t>
      </w:r>
    </w:p>
    <w:p w14:paraId="258F33AC" w14:textId="6A9C9FA0" w:rsidR="00BC0C0D" w:rsidRPr="00AC7F9B" w:rsidRDefault="00BC0C0D" w:rsidP="0011637D">
      <w:pPr>
        <w:pStyle w:val="enumlev1"/>
      </w:pPr>
      <w:r w:rsidRPr="00AC7F9B">
        <w:t>4)</w:t>
      </w:r>
      <w:r w:rsidRPr="00AC7F9B">
        <w:tab/>
      </w:r>
      <w:r w:rsidR="005731C3" w:rsidRPr="00AC7F9B">
        <w:t>Les liaisons de</w:t>
      </w:r>
      <w:r w:rsidR="005519E2" w:rsidRPr="00AC7F9B">
        <w:t xml:space="preserve"> communication CNPC des systèmes UAS </w:t>
      </w:r>
      <w:r w:rsidR="005731C3" w:rsidRPr="00AC7F9B">
        <w:t>assurées par l'intermédiaire du</w:t>
      </w:r>
      <w:r w:rsidR="0011637D" w:rsidRPr="00AC7F9B">
        <w:t> </w:t>
      </w:r>
      <w:r w:rsidR="005519E2" w:rsidRPr="00AC7F9B">
        <w:t>SFS peu</w:t>
      </w:r>
      <w:r w:rsidR="005731C3" w:rsidRPr="00AC7F9B">
        <w:t>ven</w:t>
      </w:r>
      <w:r w:rsidR="005519E2" w:rsidRPr="00AC7F9B">
        <w:t>t facilement être interrompue</w:t>
      </w:r>
      <w:r w:rsidR="005731C3" w:rsidRPr="00AC7F9B">
        <w:t>s</w:t>
      </w:r>
      <w:r w:rsidR="005519E2" w:rsidRPr="00AC7F9B">
        <w:t xml:space="preserve"> par diverses formes de brouillage</w:t>
      </w:r>
      <w:r w:rsidR="005731C3" w:rsidRPr="00AC7F9B">
        <w:t>s</w:t>
      </w:r>
      <w:r w:rsidR="005519E2" w:rsidRPr="00AC7F9B">
        <w:t xml:space="preserve"> et il faut s</w:t>
      </w:r>
      <w:r w:rsidR="005731C3" w:rsidRPr="00AC7F9B">
        <w:t>'</w:t>
      </w:r>
      <w:r w:rsidR="005519E2" w:rsidRPr="00AC7F9B">
        <w:t xml:space="preserve">attendre à </w:t>
      </w:r>
      <w:r w:rsidR="005731C3" w:rsidRPr="00AC7F9B">
        <w:t>des interruptions occasionnelles</w:t>
      </w:r>
      <w:r w:rsidR="005519E2" w:rsidRPr="00AC7F9B">
        <w:t>. Compte tenu des graves conséquences des accidents d</w:t>
      </w:r>
      <w:r w:rsidR="00523A55" w:rsidRPr="00AC7F9B">
        <w:t>'</w:t>
      </w:r>
      <w:r w:rsidR="005519E2" w:rsidRPr="00AC7F9B">
        <w:t>aéronef sans pilote, l</w:t>
      </w:r>
      <w:r w:rsidR="00523A55" w:rsidRPr="00AC7F9B">
        <w:t>'</w:t>
      </w:r>
      <w:r w:rsidR="005519E2" w:rsidRPr="00AC7F9B">
        <w:t xml:space="preserve">utilisation des bandes </w:t>
      </w:r>
      <w:r w:rsidR="00523A55" w:rsidRPr="00AC7F9B">
        <w:t xml:space="preserve">de fréquences </w:t>
      </w:r>
      <w:r w:rsidR="005519E2" w:rsidRPr="00AC7F9B">
        <w:t>du SFS par les liaisons CNPC des systèmes UAS n</w:t>
      </w:r>
      <w:r w:rsidR="00C83F0C" w:rsidRPr="00AC7F9B">
        <w:t>'</w:t>
      </w:r>
      <w:r w:rsidR="005519E2" w:rsidRPr="00AC7F9B">
        <w:t>offrirait pas le niveau de sécurité requis, en particulier pour les aéronefs sans pilote fonctionnant dans un espace aérien non réservé.</w:t>
      </w:r>
    </w:p>
    <w:p w14:paraId="4641F0CC" w14:textId="45296359" w:rsidR="00BC0C0D" w:rsidRPr="00AC7F9B" w:rsidRDefault="00BC0C0D" w:rsidP="0011637D">
      <w:pPr>
        <w:pStyle w:val="enumlev1"/>
      </w:pPr>
      <w:r w:rsidRPr="00AC7F9B">
        <w:t>5)</w:t>
      </w:r>
      <w:r w:rsidRPr="00AC7F9B">
        <w:tab/>
      </w:r>
      <w:r w:rsidR="00C83F0C" w:rsidRPr="00AC7F9B">
        <w:t>À l'heure actuelle, l'</w:t>
      </w:r>
      <w:r w:rsidR="005519E2" w:rsidRPr="00AC7F9B">
        <w:t xml:space="preserve">UIT et </w:t>
      </w:r>
      <w:r w:rsidR="00C83F0C" w:rsidRPr="00AC7F9B">
        <w:t>l'Organisation de l'aviation civile internationale (OACI) élaborent</w:t>
      </w:r>
      <w:r w:rsidR="005519E2" w:rsidRPr="00AC7F9B">
        <w:t xml:space="preserve"> toutes deux des dispositions réglementaires pour </w:t>
      </w:r>
      <w:r w:rsidR="00C83F0C" w:rsidRPr="00AC7F9B">
        <w:t>l'</w:t>
      </w:r>
      <w:r w:rsidR="005519E2" w:rsidRPr="00AC7F9B">
        <w:t xml:space="preserve">exploitation des stations terriennes </w:t>
      </w:r>
      <w:r w:rsidR="00594D60" w:rsidRPr="00AC7F9B">
        <w:t>associée à un aéronef sans pilote</w:t>
      </w:r>
      <w:r w:rsidR="005519E2" w:rsidRPr="00AC7F9B">
        <w:t xml:space="preserve">. </w:t>
      </w:r>
      <w:r w:rsidR="00C83F0C" w:rsidRPr="00AC7F9B">
        <w:t>En vertu</w:t>
      </w:r>
      <w:r w:rsidR="005519E2" w:rsidRPr="00AC7F9B">
        <w:t xml:space="preserve"> de ces dispositions, l</w:t>
      </w:r>
      <w:r w:rsidR="00C83F0C" w:rsidRPr="00AC7F9B">
        <w:t>'</w:t>
      </w:r>
      <w:r w:rsidR="005519E2" w:rsidRPr="00AC7F9B">
        <w:t>UIT et l</w:t>
      </w:r>
      <w:r w:rsidR="00C83F0C" w:rsidRPr="00AC7F9B">
        <w:t>'</w:t>
      </w:r>
      <w:r w:rsidR="005519E2" w:rsidRPr="00AC7F9B">
        <w:t xml:space="preserve">OACI utiliseraient des critères différents pour identifier le pays responsable </w:t>
      </w:r>
      <w:r w:rsidR="008B501D" w:rsidRPr="00AC7F9B">
        <w:t>d'une</w:t>
      </w:r>
      <w:r w:rsidR="005519E2" w:rsidRPr="00AC7F9B">
        <w:t xml:space="preserve"> même station terrienne </w:t>
      </w:r>
      <w:r w:rsidR="00594D60" w:rsidRPr="00AC7F9B">
        <w:t>d'</w:t>
      </w:r>
      <w:r w:rsidR="005519E2" w:rsidRPr="00AC7F9B">
        <w:t xml:space="preserve">aéronef sans pilote, </w:t>
      </w:r>
      <w:r w:rsidR="008B501D" w:rsidRPr="00AC7F9B">
        <w:t xml:space="preserve">ce qui conduirait généralement à l'identification de </w:t>
      </w:r>
      <w:r w:rsidR="005519E2" w:rsidRPr="00AC7F9B">
        <w:t>deux pays différents pour l</w:t>
      </w:r>
      <w:r w:rsidR="00827C9A" w:rsidRPr="00AC7F9B">
        <w:t>'</w:t>
      </w:r>
      <w:r w:rsidR="005519E2" w:rsidRPr="00AC7F9B">
        <w:t xml:space="preserve">exploitation </w:t>
      </w:r>
      <w:r w:rsidR="0044354A" w:rsidRPr="00AC7F9B">
        <w:t>d'une</w:t>
      </w:r>
      <w:r w:rsidR="005519E2" w:rsidRPr="00AC7F9B">
        <w:t xml:space="preserve"> même station terrienne associée à un aéronef sans pilote.</w:t>
      </w:r>
    </w:p>
    <w:p w14:paraId="3BB26856" w14:textId="4785DA1F" w:rsidR="00BC0C0D" w:rsidRPr="00AC7F9B" w:rsidRDefault="00BC0C0D" w:rsidP="00B26945">
      <w:pPr>
        <w:pStyle w:val="enumlev1"/>
        <w:keepNext/>
        <w:keepLines/>
      </w:pPr>
      <w:r w:rsidRPr="00AC7F9B">
        <w:lastRenderedPageBreak/>
        <w:t>6)</w:t>
      </w:r>
      <w:r w:rsidRPr="00AC7F9B">
        <w:tab/>
      </w:r>
      <w:r w:rsidR="005519E2" w:rsidRPr="00AC7F9B">
        <w:t xml:space="preserve">En raison de la sécurité </w:t>
      </w:r>
      <w:r w:rsidR="00B95E0C" w:rsidRPr="00AC7F9B">
        <w:t>inhérente à l'</w:t>
      </w:r>
      <w:r w:rsidR="005519E2" w:rsidRPr="00AC7F9B">
        <w:t xml:space="preserve">exploitation des liaisons CNPC des systèmes UAS, il est inévitable que les liaisons CNPC des systèmes UAS </w:t>
      </w:r>
      <w:r w:rsidR="008C3D7D" w:rsidRPr="00AC7F9B">
        <w:t>bénéficient</w:t>
      </w:r>
      <w:r w:rsidR="005519E2" w:rsidRPr="00AC7F9B">
        <w:t xml:space="preserve"> </w:t>
      </w:r>
      <w:r w:rsidR="00C25064" w:rsidRPr="00AC7F9B">
        <w:t>d'</w:t>
      </w:r>
      <w:r w:rsidR="005519E2" w:rsidRPr="00AC7F9B">
        <w:t xml:space="preserve">un statut </w:t>
      </w:r>
      <w:r w:rsidR="008C3D7D" w:rsidRPr="00AC7F9B">
        <w:t>supérieur aux autres liaisons du</w:t>
      </w:r>
      <w:r w:rsidR="005519E2" w:rsidRPr="00AC7F9B">
        <w:t xml:space="preserve"> SFS </w:t>
      </w:r>
      <w:r w:rsidR="00B95E0C" w:rsidRPr="00AC7F9B">
        <w:t>conventionnel</w:t>
      </w:r>
      <w:r w:rsidR="005519E2" w:rsidRPr="00AC7F9B">
        <w:t xml:space="preserve">, officiellement ou officieusement, et </w:t>
      </w:r>
      <w:r w:rsidR="00C25064" w:rsidRPr="00AC7F9B">
        <w:t xml:space="preserve">que </w:t>
      </w:r>
      <w:r w:rsidR="005519E2" w:rsidRPr="00AC7F9B">
        <w:t xml:space="preserve">la coordination et le développement futur </w:t>
      </w:r>
      <w:r w:rsidR="00C25064" w:rsidRPr="00AC7F9B">
        <w:t>du</w:t>
      </w:r>
      <w:r w:rsidR="005519E2" w:rsidRPr="00AC7F9B">
        <w:t xml:space="preserve"> SFS </w:t>
      </w:r>
      <w:r w:rsidR="00C25064" w:rsidRPr="00AC7F9B">
        <w:t>conventionnel utilisant en partage</w:t>
      </w:r>
      <w:r w:rsidR="005519E2" w:rsidRPr="00AC7F9B">
        <w:t xml:space="preserve"> les bandes de fréquences seraient </w:t>
      </w:r>
      <w:r w:rsidR="00C25064" w:rsidRPr="00AC7F9B">
        <w:t>compromis</w:t>
      </w:r>
      <w:r w:rsidR="005519E2" w:rsidRPr="00AC7F9B">
        <w:t xml:space="preserve"> par les dispositions réglementaires de l</w:t>
      </w:r>
      <w:r w:rsidR="00C25064" w:rsidRPr="00AC7F9B">
        <w:t>'</w:t>
      </w:r>
      <w:r w:rsidR="005519E2" w:rsidRPr="00AC7F9B">
        <w:t xml:space="preserve">UIT, </w:t>
      </w:r>
      <w:r w:rsidR="00C25064" w:rsidRPr="00AC7F9B">
        <w:t xml:space="preserve">les dispositions réglementaires </w:t>
      </w:r>
      <w:r w:rsidR="005519E2" w:rsidRPr="00AC7F9B">
        <w:t>de l</w:t>
      </w:r>
      <w:r w:rsidR="00C25064" w:rsidRPr="00AC7F9B">
        <w:t>'</w:t>
      </w:r>
      <w:r w:rsidR="005519E2" w:rsidRPr="00AC7F9B">
        <w:t xml:space="preserve">OACI et/ou les discussions </w:t>
      </w:r>
      <w:r w:rsidR="00636D52" w:rsidRPr="00AC7F9B">
        <w:t>de</w:t>
      </w:r>
      <w:r w:rsidR="005519E2" w:rsidRPr="00AC7F9B">
        <w:t xml:space="preserve"> coordination </w:t>
      </w:r>
      <w:r w:rsidR="00636D52" w:rsidRPr="00AC7F9B">
        <w:t xml:space="preserve">au niveau bilatéral, </w:t>
      </w:r>
      <w:r w:rsidR="005519E2" w:rsidRPr="00AC7F9B">
        <w:t xml:space="preserve">dans le cas où les administrations </w:t>
      </w:r>
      <w:r w:rsidR="00C25064" w:rsidRPr="00AC7F9B">
        <w:t>exploitant, ou cherchant à exploit</w:t>
      </w:r>
      <w:r w:rsidR="00B26945" w:rsidRPr="00AC7F9B">
        <w:t>er</w:t>
      </w:r>
      <w:r w:rsidR="00C25064" w:rsidRPr="00AC7F9B">
        <w:t>, les liaisons</w:t>
      </w:r>
      <w:r w:rsidR="005519E2" w:rsidRPr="00AC7F9B">
        <w:t xml:space="preserve"> CNPC des systèmes UAS </w:t>
      </w:r>
      <w:r w:rsidR="00636D52" w:rsidRPr="00AC7F9B">
        <w:t>demanderaient une</w:t>
      </w:r>
      <w:r w:rsidR="005519E2" w:rsidRPr="00AC7F9B">
        <w:t xml:space="preserve"> protection </w:t>
      </w:r>
      <w:r w:rsidR="00C25064" w:rsidRPr="00AC7F9B">
        <w:t xml:space="preserve">accrue par rapport aux niveaux généralement </w:t>
      </w:r>
      <w:r w:rsidR="00D25476" w:rsidRPr="00AC7F9B">
        <w:t>demandés</w:t>
      </w:r>
      <w:r w:rsidR="00C25064" w:rsidRPr="00AC7F9B">
        <w:t xml:space="preserve"> dans le cadre de la coordination du SFS conventionnel.</w:t>
      </w:r>
    </w:p>
    <w:p w14:paraId="78F0247A" w14:textId="4EB0B41C" w:rsidR="00BC0C0D" w:rsidRPr="00AC7F9B" w:rsidRDefault="00BC0C0D" w:rsidP="0011637D">
      <w:pPr>
        <w:pStyle w:val="enumlev1"/>
      </w:pPr>
      <w:r w:rsidRPr="00AC7F9B">
        <w:t>7)</w:t>
      </w:r>
      <w:r w:rsidRPr="00AC7F9B">
        <w:tab/>
      </w:r>
      <w:r w:rsidR="005519E2" w:rsidRPr="00AC7F9B">
        <w:t xml:space="preserve">Le </w:t>
      </w:r>
      <w:r w:rsidR="00737A8C" w:rsidRPr="00AC7F9B">
        <w:t xml:space="preserve">service mobile aéronautique (le long des routes) par satellite (SMA(R)S) </w:t>
      </w:r>
      <w:r w:rsidR="005519E2" w:rsidRPr="00AC7F9B">
        <w:t>pourrait satisfaire aux prescriptions applicables aux liaisons CNPC des systèmes UAS dans certaines conditions, étant donné qu</w:t>
      </w:r>
      <w:r w:rsidR="00737A8C" w:rsidRPr="00AC7F9B">
        <w:t>'</w:t>
      </w:r>
      <w:r w:rsidR="005519E2" w:rsidRPr="00AC7F9B">
        <w:t>il est reconnu par l</w:t>
      </w:r>
      <w:r w:rsidR="00737A8C" w:rsidRPr="00AC7F9B">
        <w:t>'</w:t>
      </w:r>
      <w:r w:rsidR="005519E2" w:rsidRPr="00AC7F9B">
        <w:t xml:space="preserve">UIT comme un service de sécurité. </w:t>
      </w:r>
      <w:r w:rsidR="00737A8C" w:rsidRPr="00AC7F9B">
        <w:t>En effet</w:t>
      </w:r>
      <w:r w:rsidR="005519E2" w:rsidRPr="00AC7F9B">
        <w:t xml:space="preserve">, le SMA(R)S </w:t>
      </w:r>
      <w:r w:rsidR="00737A8C" w:rsidRPr="00AC7F9B">
        <w:t>peut être utilisé</w:t>
      </w:r>
      <w:r w:rsidR="005519E2" w:rsidRPr="00AC7F9B">
        <w:t xml:space="preserve"> pour ce type de liaison ou d</w:t>
      </w:r>
      <w:r w:rsidR="00737A8C" w:rsidRPr="00AC7F9B">
        <w:t>'</w:t>
      </w:r>
      <w:r w:rsidR="005519E2" w:rsidRPr="00AC7F9B">
        <w:t>application et les risques de brouillage</w:t>
      </w:r>
      <w:r w:rsidR="00737A8C" w:rsidRPr="00AC7F9B">
        <w:t>s</w:t>
      </w:r>
      <w:r w:rsidR="005519E2" w:rsidRPr="00AC7F9B">
        <w:t xml:space="preserve"> peuvent être </w:t>
      </w:r>
      <w:r w:rsidR="00737A8C" w:rsidRPr="00AC7F9B">
        <w:t>réduits autant que possible</w:t>
      </w:r>
      <w:r w:rsidR="005519E2" w:rsidRPr="00AC7F9B">
        <w:t xml:space="preserve"> grâce aux exigences de sécurité élevées du SMA(R)S.</w:t>
      </w:r>
    </w:p>
    <w:p w14:paraId="4820DD35" w14:textId="4CBBDF50" w:rsidR="00BC0C0D" w:rsidRPr="00AC7F9B" w:rsidRDefault="00BC0C0D" w:rsidP="0011637D">
      <w:pPr>
        <w:pStyle w:val="enumlev1"/>
      </w:pPr>
      <w:r w:rsidRPr="00AC7F9B">
        <w:t>8)</w:t>
      </w:r>
      <w:r w:rsidRPr="00AC7F9B">
        <w:tab/>
      </w:r>
      <w:r w:rsidR="005519E2" w:rsidRPr="00AC7F9B">
        <w:t>Il convient de noter que</w:t>
      </w:r>
      <w:r w:rsidR="00737A8C" w:rsidRPr="00AC7F9B">
        <w:t xml:space="preserve"> dans</w:t>
      </w:r>
      <w:r w:rsidR="005519E2" w:rsidRPr="00AC7F9B">
        <w:t xml:space="preserve"> le Rapport UIT-R M.2171</w:t>
      </w:r>
      <w:r w:rsidR="00737A8C" w:rsidRPr="00AC7F9B">
        <w:t>, il est</w:t>
      </w:r>
      <w:r w:rsidR="005519E2" w:rsidRPr="00AC7F9B">
        <w:t xml:space="preserve"> indiqu</w:t>
      </w:r>
      <w:r w:rsidR="00737A8C" w:rsidRPr="00AC7F9B">
        <w:t>é</w:t>
      </w:r>
      <w:r w:rsidR="005519E2" w:rsidRPr="00AC7F9B">
        <w:t xml:space="preserve"> que la largeur de bande requise pour les liaisons par satellite destinées à l</w:t>
      </w:r>
      <w:r w:rsidR="00737A8C" w:rsidRPr="00AC7F9B">
        <w:t>'</w:t>
      </w:r>
      <w:r w:rsidR="005519E2" w:rsidRPr="00AC7F9B">
        <w:t>exploitation des liaisons CNPC des systèmes UAS est d</w:t>
      </w:r>
      <w:r w:rsidR="00737A8C" w:rsidRPr="00AC7F9B">
        <w:t>'</w:t>
      </w:r>
      <w:r w:rsidR="005519E2" w:rsidRPr="00AC7F9B">
        <w:t>environ 50 MHz et que la CMR-12 a déjà attribué la bande de fréquences 5 000-5 150 MHz au SMA(R)S aux fins de l</w:t>
      </w:r>
      <w:r w:rsidR="00737A8C" w:rsidRPr="00AC7F9B">
        <w:t>'</w:t>
      </w:r>
      <w:r w:rsidR="005519E2" w:rsidRPr="00AC7F9B">
        <w:t>exploitation des liaisons CNPC des systèmes UAS.</w:t>
      </w:r>
    </w:p>
    <w:p w14:paraId="565BA793" w14:textId="370CF9E0" w:rsidR="00BC0C0D" w:rsidRPr="00AC7F9B" w:rsidRDefault="005519E2" w:rsidP="0011637D">
      <w:r w:rsidRPr="00AC7F9B">
        <w:t>La Chine propose d'apporter les modifications suivantes au Règlement des radiocommunications.</w:t>
      </w:r>
    </w:p>
    <w:p w14:paraId="28F7B668" w14:textId="77777777" w:rsidR="0015203F" w:rsidRPr="00AC7F9B" w:rsidRDefault="0015203F" w:rsidP="0011637D">
      <w:pPr>
        <w:tabs>
          <w:tab w:val="clear" w:pos="1134"/>
          <w:tab w:val="clear" w:pos="1871"/>
          <w:tab w:val="clear" w:pos="2268"/>
        </w:tabs>
        <w:overflowPunct/>
        <w:autoSpaceDE/>
        <w:autoSpaceDN/>
        <w:adjustRightInd/>
        <w:spacing w:before="0"/>
        <w:textAlignment w:val="auto"/>
      </w:pPr>
      <w:r w:rsidRPr="00AC7F9B">
        <w:br w:type="page"/>
      </w:r>
    </w:p>
    <w:p w14:paraId="421D8813" w14:textId="77777777" w:rsidR="00AC7F9B" w:rsidRPr="00AC7F9B" w:rsidRDefault="00CD764E" w:rsidP="005E6024">
      <w:pPr>
        <w:pStyle w:val="ArtNo"/>
        <w:spacing w:before="0"/>
      </w:pPr>
      <w:bookmarkStart w:id="4" w:name="_Toc455752914"/>
      <w:bookmarkStart w:id="5" w:name="_Toc455756153"/>
      <w:r w:rsidRPr="00AC7F9B">
        <w:lastRenderedPageBreak/>
        <w:t xml:space="preserve">ARTICLE </w:t>
      </w:r>
      <w:r w:rsidRPr="00AC7F9B">
        <w:rPr>
          <w:rStyle w:val="href"/>
          <w:color w:val="000000"/>
        </w:rPr>
        <w:t>5</w:t>
      </w:r>
      <w:bookmarkEnd w:id="4"/>
      <w:bookmarkEnd w:id="5"/>
    </w:p>
    <w:p w14:paraId="01FA2802" w14:textId="77777777" w:rsidR="00AC7F9B" w:rsidRPr="00AC7F9B" w:rsidRDefault="00CD764E" w:rsidP="007F3F42">
      <w:pPr>
        <w:pStyle w:val="Arttitle"/>
      </w:pPr>
      <w:bookmarkStart w:id="6" w:name="_Toc455752915"/>
      <w:bookmarkStart w:id="7" w:name="_Toc455756154"/>
      <w:r w:rsidRPr="00AC7F9B">
        <w:t>Attribution des bandes de fréquences</w:t>
      </w:r>
      <w:bookmarkEnd w:id="6"/>
      <w:bookmarkEnd w:id="7"/>
    </w:p>
    <w:p w14:paraId="74DD85CD" w14:textId="77777777" w:rsidR="00AC7F9B" w:rsidRPr="00AC7F9B" w:rsidRDefault="00CD764E" w:rsidP="008D5FFA">
      <w:pPr>
        <w:pStyle w:val="Section1"/>
        <w:keepNext/>
        <w:rPr>
          <w:b w:val="0"/>
          <w:color w:val="000000"/>
        </w:rPr>
      </w:pPr>
      <w:r w:rsidRPr="00AC7F9B">
        <w:t>Section IV – Tableau d'attribution des bandes de fréquences</w:t>
      </w:r>
      <w:r w:rsidRPr="00AC7F9B">
        <w:br/>
      </w:r>
      <w:r w:rsidRPr="00AC7F9B">
        <w:rPr>
          <w:b w:val="0"/>
          <w:bCs/>
        </w:rPr>
        <w:t xml:space="preserve">(Voir le numéro </w:t>
      </w:r>
      <w:r w:rsidRPr="00AC7F9B">
        <w:t>2.1</w:t>
      </w:r>
      <w:r w:rsidRPr="00AC7F9B">
        <w:rPr>
          <w:b w:val="0"/>
          <w:bCs/>
        </w:rPr>
        <w:t>)</w:t>
      </w:r>
      <w:r w:rsidRPr="00AC7F9B">
        <w:rPr>
          <w:b w:val="0"/>
          <w:color w:val="000000"/>
        </w:rPr>
        <w:br/>
      </w:r>
    </w:p>
    <w:p w14:paraId="716308B3" w14:textId="77777777" w:rsidR="00F90B33" w:rsidRPr="00AC7F9B" w:rsidRDefault="00CD764E">
      <w:pPr>
        <w:pStyle w:val="Proposal"/>
      </w:pPr>
      <w:r w:rsidRPr="00AC7F9B">
        <w:t>SUP</w:t>
      </w:r>
      <w:r w:rsidRPr="00AC7F9B">
        <w:tab/>
        <w:t>CHN/111A8/1</w:t>
      </w:r>
    </w:p>
    <w:p w14:paraId="7F51BC46" w14:textId="77777777" w:rsidR="00AC7F9B" w:rsidRPr="00AC7F9B" w:rsidRDefault="00CD764E" w:rsidP="008D5FFA">
      <w:pPr>
        <w:pStyle w:val="Note"/>
        <w:rPr>
          <w:sz w:val="16"/>
          <w:szCs w:val="12"/>
        </w:rPr>
      </w:pPr>
      <w:r w:rsidRPr="00AC7F9B">
        <w:rPr>
          <w:b/>
          <w:bCs/>
        </w:rPr>
        <w:t>5.484B</w:t>
      </w:r>
      <w:r w:rsidRPr="00AC7F9B">
        <w:tab/>
        <w:t xml:space="preserve">La Résolution </w:t>
      </w:r>
      <w:r w:rsidRPr="00AC7F9B">
        <w:rPr>
          <w:b/>
          <w:bCs/>
          <w:caps/>
        </w:rPr>
        <w:t>155</w:t>
      </w:r>
      <w:r w:rsidRPr="00AC7F9B">
        <w:rPr>
          <w:b/>
          <w:bCs/>
        </w:rPr>
        <w:t xml:space="preserve"> (CMR</w:t>
      </w:r>
      <w:r w:rsidRPr="00AC7F9B">
        <w:rPr>
          <w:b/>
          <w:bCs/>
        </w:rPr>
        <w:noBreakHyphen/>
        <w:t>15)</w:t>
      </w:r>
      <w:r w:rsidRPr="00AC7F9B">
        <w:rPr>
          <w:rStyle w:val="FootnoteReference"/>
          <w:position w:val="2"/>
        </w:rPr>
        <w:footnoteReference w:customMarkFollows="1" w:id="1"/>
        <w:t>*</w:t>
      </w:r>
      <w:r w:rsidRPr="00AC7F9B">
        <w:t xml:space="preserve"> s'applique</w:t>
      </w:r>
      <w:r w:rsidRPr="00AC7F9B">
        <w:rPr>
          <w:lang w:eastAsia="x-none"/>
        </w:rPr>
        <w:t>.</w:t>
      </w:r>
      <w:r w:rsidRPr="00AC7F9B">
        <w:rPr>
          <w:sz w:val="16"/>
          <w:szCs w:val="12"/>
        </w:rPr>
        <w:t>     (CMR</w:t>
      </w:r>
      <w:r w:rsidRPr="00AC7F9B">
        <w:rPr>
          <w:sz w:val="16"/>
          <w:szCs w:val="12"/>
        </w:rPr>
        <w:noBreakHyphen/>
        <w:t>15)</w:t>
      </w:r>
    </w:p>
    <w:p w14:paraId="7DB0D65E" w14:textId="77777777" w:rsidR="00F90B33" w:rsidRPr="00AC7F9B" w:rsidRDefault="00F90B33">
      <w:pPr>
        <w:pStyle w:val="Reasons"/>
      </w:pPr>
    </w:p>
    <w:p w14:paraId="041CC79E" w14:textId="77777777" w:rsidR="00F90B33" w:rsidRPr="00AC7F9B" w:rsidRDefault="00CD764E">
      <w:pPr>
        <w:pStyle w:val="Proposal"/>
      </w:pPr>
      <w:r w:rsidRPr="00AC7F9B">
        <w:t>SUP</w:t>
      </w:r>
      <w:r w:rsidRPr="00AC7F9B">
        <w:tab/>
        <w:t>CHN/111A8/2</w:t>
      </w:r>
    </w:p>
    <w:p w14:paraId="5F22A86D" w14:textId="77777777" w:rsidR="00AC7F9B" w:rsidRPr="00AC7F9B" w:rsidRDefault="00CD764E" w:rsidP="00C80685">
      <w:pPr>
        <w:pStyle w:val="ResNo"/>
      </w:pPr>
      <w:bookmarkStart w:id="8" w:name="_Toc39829153"/>
      <w:r w:rsidRPr="00AC7F9B">
        <w:rPr>
          <w:caps w:val="0"/>
        </w:rPr>
        <w:t xml:space="preserve">RÉSOLUTION </w:t>
      </w:r>
      <w:r w:rsidRPr="00AC7F9B">
        <w:rPr>
          <w:rStyle w:val="href"/>
          <w:caps w:val="0"/>
        </w:rPr>
        <w:t>155</w:t>
      </w:r>
      <w:r w:rsidRPr="00AC7F9B">
        <w:rPr>
          <w:caps w:val="0"/>
        </w:rPr>
        <w:t xml:space="preserve"> (RÉV.CMR-19)</w:t>
      </w:r>
      <w:bookmarkEnd w:id="8"/>
    </w:p>
    <w:p w14:paraId="4FA447FF" w14:textId="77777777" w:rsidR="00AC7F9B" w:rsidRPr="00AC7F9B" w:rsidRDefault="00CD764E" w:rsidP="004235AA">
      <w:pPr>
        <w:pStyle w:val="Restitle"/>
      </w:pPr>
      <w:bookmarkStart w:id="9" w:name="_Toc35933760"/>
      <w:bookmarkStart w:id="10" w:name="_Toc39829154"/>
      <w:r w:rsidRPr="00AC7F9B">
        <w:t xml:space="preserve">Dispositions réglementaires relatives aux stations terriennes à bord d'un aéronef sans pilote qui fonctionnent avec des réseaux à satellite géostationnaire du service fixe par satellite dans certaines bandes de fréquences ne relevant pas d'un Plan des Appendices 30, 30A et 30B pour </w:t>
      </w:r>
      <w:r w:rsidRPr="00AC7F9B">
        <w:rPr>
          <w:color w:val="000000"/>
        </w:rPr>
        <w:t>les communications</w:t>
      </w:r>
      <w:r w:rsidRPr="00AC7F9B">
        <w:rPr>
          <w:color w:val="000000"/>
        </w:rPr>
        <w:br/>
        <w:t>de contrôle et non associées à la charge utile des systèmes d'aéronef</w:t>
      </w:r>
      <w:r w:rsidRPr="00AC7F9B">
        <w:rPr>
          <w:color w:val="000000"/>
        </w:rPr>
        <w:br/>
        <w:t>sans pilote dans des espaces aériens non réservés</w:t>
      </w:r>
      <w:r w:rsidRPr="00AC7F9B">
        <w:rPr>
          <w:rStyle w:val="FootnoteReference"/>
          <w:b w:val="0"/>
          <w:color w:val="000000"/>
        </w:rPr>
        <w:footnoteReference w:customMarkFollows="1" w:id="2"/>
        <w:t>*</w:t>
      </w:r>
      <w:bookmarkEnd w:id="9"/>
      <w:bookmarkEnd w:id="10"/>
    </w:p>
    <w:p w14:paraId="5A0B2DA6" w14:textId="77777777" w:rsidR="00F90B33" w:rsidRPr="00AC7F9B" w:rsidRDefault="00F90B33">
      <w:pPr>
        <w:pStyle w:val="Reasons"/>
      </w:pPr>
    </w:p>
    <w:p w14:paraId="79E30DBF" w14:textId="77777777" w:rsidR="00F90B33" w:rsidRPr="00AC7F9B" w:rsidRDefault="00CD764E">
      <w:pPr>
        <w:pStyle w:val="Proposal"/>
      </w:pPr>
      <w:r w:rsidRPr="00AC7F9B">
        <w:t>SUP</w:t>
      </w:r>
      <w:r w:rsidRPr="00AC7F9B">
        <w:tab/>
        <w:t>CHN/111A8/3</w:t>
      </w:r>
    </w:p>
    <w:p w14:paraId="16934D6D" w14:textId="77777777" w:rsidR="00AC7F9B" w:rsidRPr="00AC7F9B" w:rsidRDefault="00CD764E" w:rsidP="003B031C">
      <w:pPr>
        <w:pStyle w:val="ResNo"/>
      </w:pPr>
      <w:bookmarkStart w:id="11" w:name="_Toc39829177"/>
      <w:r w:rsidRPr="00AC7F9B">
        <w:rPr>
          <w:caps w:val="0"/>
        </w:rPr>
        <w:t xml:space="preserve">RÉSOLUTION </w:t>
      </w:r>
      <w:r w:rsidRPr="00AC7F9B">
        <w:rPr>
          <w:rStyle w:val="href"/>
          <w:caps w:val="0"/>
        </w:rPr>
        <w:t>171</w:t>
      </w:r>
      <w:r w:rsidRPr="00AC7F9B">
        <w:rPr>
          <w:caps w:val="0"/>
        </w:rPr>
        <w:t xml:space="preserve"> (CMR-19)</w:t>
      </w:r>
      <w:bookmarkEnd w:id="11"/>
    </w:p>
    <w:p w14:paraId="2C0E1DF3" w14:textId="0B3528D1" w:rsidR="00AC7F9B" w:rsidRPr="00AC7F9B" w:rsidRDefault="00CD764E" w:rsidP="009A4E71">
      <w:pPr>
        <w:pStyle w:val="Restitle"/>
      </w:pPr>
      <w:bookmarkStart w:id="12" w:name="_Toc35933776"/>
      <w:bookmarkStart w:id="13" w:name="_Toc39829178"/>
      <w:r w:rsidRPr="00AC7F9B">
        <w:t>Examen et révision éventuelle de la Résolution 155 (Rév.CMR</w:t>
      </w:r>
      <w:r w:rsidRPr="00AC7F9B">
        <w:noBreakHyphen/>
        <w:t xml:space="preserve">19) </w:t>
      </w:r>
      <w:r w:rsidRPr="00AC7F9B">
        <w:br/>
        <w:t>et du numéro 5.484B dans les bandes de fréquences auxquelles</w:t>
      </w:r>
      <w:r w:rsidR="009A4E71" w:rsidRPr="00AC7F9B">
        <w:t xml:space="preserve"> </w:t>
      </w:r>
      <w:r w:rsidRPr="00AC7F9B">
        <w:t xml:space="preserve">les </w:t>
      </w:r>
      <w:r w:rsidR="009A4E71" w:rsidRPr="00AC7F9B">
        <w:br/>
      </w:r>
      <w:r w:rsidRPr="00AC7F9B">
        <w:t>dispositions de cette Résolution et de ce numéro s'appliquent</w:t>
      </w:r>
      <w:bookmarkEnd w:id="12"/>
      <w:bookmarkEnd w:id="13"/>
    </w:p>
    <w:p w14:paraId="082A2DF1" w14:textId="77777777" w:rsidR="00CD764E" w:rsidRPr="00AC7F9B" w:rsidRDefault="00CD764E" w:rsidP="009A4E71">
      <w:pPr>
        <w:pStyle w:val="Reasons"/>
      </w:pPr>
    </w:p>
    <w:p w14:paraId="6DDB141E" w14:textId="70F53626" w:rsidR="00F90B33" w:rsidRPr="00AC7F9B" w:rsidRDefault="00CD764E" w:rsidP="009A4E71">
      <w:pPr>
        <w:jc w:val="center"/>
      </w:pPr>
      <w:r w:rsidRPr="00AC7F9B">
        <w:t>______________</w:t>
      </w:r>
    </w:p>
    <w:sectPr w:rsidR="00F90B33" w:rsidRPr="00AC7F9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90A1" w14:textId="77777777" w:rsidR="00CB685A" w:rsidRDefault="00CB685A">
      <w:r>
        <w:separator/>
      </w:r>
    </w:p>
  </w:endnote>
  <w:endnote w:type="continuationSeparator" w:id="0">
    <w:p w14:paraId="12A1AFF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25C2" w14:textId="0E6B9C1F" w:rsidR="00936D25" w:rsidRDefault="00936D25">
    <w:pPr>
      <w:rPr>
        <w:lang w:val="en-US"/>
      </w:rPr>
    </w:pPr>
    <w:r>
      <w:fldChar w:fldCharType="begin"/>
    </w:r>
    <w:r>
      <w:rPr>
        <w:lang w:val="en-US"/>
      </w:rPr>
      <w:instrText xml:space="preserve"> FILENAME \p  \* MERGEFORMAT </w:instrText>
    </w:r>
    <w:r>
      <w:fldChar w:fldCharType="separate"/>
    </w:r>
    <w:r w:rsidR="00AC7F9B">
      <w:rPr>
        <w:noProof/>
        <w:lang w:val="en-US"/>
      </w:rPr>
      <w:t>P:\FRA\ITU-R\CONF-R\CMR23\100\111ADD08F.docx</w:t>
    </w:r>
    <w:r>
      <w:fldChar w:fldCharType="end"/>
    </w:r>
    <w:r>
      <w:rPr>
        <w:lang w:val="en-US"/>
      </w:rPr>
      <w:tab/>
    </w:r>
    <w:r>
      <w:fldChar w:fldCharType="begin"/>
    </w:r>
    <w:r>
      <w:instrText xml:space="preserve"> SAVEDATE \@ DD.MM.YY </w:instrText>
    </w:r>
    <w:r>
      <w:fldChar w:fldCharType="separate"/>
    </w:r>
    <w:r w:rsidR="00AC7F9B">
      <w:rPr>
        <w:noProof/>
      </w:rPr>
      <w:t>16.11.23</w:t>
    </w:r>
    <w:r>
      <w:fldChar w:fldCharType="end"/>
    </w:r>
    <w:r>
      <w:rPr>
        <w:lang w:val="en-US"/>
      </w:rPr>
      <w:tab/>
    </w:r>
    <w:r>
      <w:fldChar w:fldCharType="begin"/>
    </w:r>
    <w:r>
      <w:instrText xml:space="preserve"> PRINTDATE \@ DD.MM.YY </w:instrText>
    </w:r>
    <w:r>
      <w:fldChar w:fldCharType="separate"/>
    </w:r>
    <w:r w:rsidR="00AC7F9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F70F" w14:textId="2E29819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C7F9B">
      <w:rPr>
        <w:lang w:val="en-US"/>
      </w:rPr>
      <w:t>P:\FRA\ITU-R\CONF-R\CMR23\100\111ADD08F.docx</w:t>
    </w:r>
    <w:r>
      <w:fldChar w:fldCharType="end"/>
    </w:r>
    <w:r w:rsidR="008B04C4" w:rsidRPr="00B26945">
      <w:rPr>
        <w:lang w:val="en-US"/>
      </w:rPr>
      <w:t xml:space="preserve"> (530296)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43EC" w14:textId="40B41EF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C7F9B">
      <w:rPr>
        <w:lang w:val="en-US"/>
      </w:rPr>
      <w:t>P:\FRA\ITU-R\CONF-R\CMR23\100\111ADD08F.docx</w:t>
    </w:r>
    <w:r>
      <w:fldChar w:fldCharType="end"/>
    </w:r>
    <w:r w:rsidR="008B04C4" w:rsidRPr="00B26945">
      <w:rPr>
        <w:lang w:val="en-US"/>
      </w:rPr>
      <w:t xml:space="preserve"> (530296)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DB19" w14:textId="77777777" w:rsidR="00CB685A" w:rsidRDefault="00CB685A">
      <w:r>
        <w:rPr>
          <w:b/>
        </w:rPr>
        <w:t>_______________</w:t>
      </w:r>
    </w:p>
  </w:footnote>
  <w:footnote w:type="continuationSeparator" w:id="0">
    <w:p w14:paraId="6B10E64D" w14:textId="77777777" w:rsidR="00CB685A" w:rsidRDefault="00CB685A">
      <w:r>
        <w:continuationSeparator/>
      </w:r>
    </w:p>
  </w:footnote>
  <w:footnote w:id="1">
    <w:p w14:paraId="6BAE64C0" w14:textId="77777777" w:rsidR="00AC7F9B" w:rsidRPr="00721FC4" w:rsidRDefault="00CD764E" w:rsidP="00C70361">
      <w:pPr>
        <w:pStyle w:val="FootnoteText"/>
        <w:rPr>
          <w:lang w:val="fr-CH"/>
        </w:rPr>
      </w:pPr>
      <w:r>
        <w:rPr>
          <w:rStyle w:val="FootnoteReference"/>
        </w:rPr>
        <w:t>*</w:t>
      </w:r>
      <w:r>
        <w:tab/>
      </w:r>
      <w:r w:rsidRPr="003C6324">
        <w:rPr>
          <w:i/>
          <w:iCs/>
        </w:rPr>
        <w:t>Note du Secrétariat:</w:t>
      </w:r>
      <w:r w:rsidRPr="003C6324">
        <w:t xml:space="preserve"> Cette Résolution a été révisée par la </w:t>
      </w:r>
      <w:r>
        <w:t>CMR-19.</w:t>
      </w:r>
    </w:p>
  </w:footnote>
  <w:footnote w:id="2">
    <w:p w14:paraId="1C5C1862" w14:textId="77777777" w:rsidR="00AC7F9B" w:rsidRDefault="00CD764E" w:rsidP="004235AA">
      <w:pPr>
        <w:pStyle w:val="FootnoteText"/>
      </w:pPr>
      <w:r>
        <w:rPr>
          <w:rStyle w:val="FootnoteReference"/>
        </w:rPr>
        <w:t>*</w:t>
      </w:r>
      <w:r>
        <w:tab/>
        <w:t>Peuvent aussi être utilisées conformément aux normes et pratiques internationales approuvées par l'autorité responsable de l'aviation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7D9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1439B45" w14:textId="77777777" w:rsidR="004F1F8E" w:rsidRDefault="00225CF2" w:rsidP="00FD7AA3">
    <w:pPr>
      <w:pStyle w:val="Header"/>
    </w:pPr>
    <w:r>
      <w:t>WRC</w:t>
    </w:r>
    <w:r w:rsidR="00D3426F">
      <w:t>23</w:t>
    </w:r>
    <w:r w:rsidR="004F1F8E">
      <w:t>/</w:t>
    </w:r>
    <w:r w:rsidR="006A4B45">
      <w:t>111(Add.8)-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72652637">
    <w:abstractNumId w:val="0"/>
  </w:num>
  <w:num w:numId="2" w16cid:durableId="160047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3DD7"/>
    <w:rsid w:val="00063A1F"/>
    <w:rsid w:val="00080E2C"/>
    <w:rsid w:val="00081366"/>
    <w:rsid w:val="000863B3"/>
    <w:rsid w:val="000A4755"/>
    <w:rsid w:val="000A55AE"/>
    <w:rsid w:val="000B2E0C"/>
    <w:rsid w:val="000B3D0C"/>
    <w:rsid w:val="00101C0F"/>
    <w:rsid w:val="0011637D"/>
    <w:rsid w:val="001167B9"/>
    <w:rsid w:val="001267A0"/>
    <w:rsid w:val="0013177E"/>
    <w:rsid w:val="0015203F"/>
    <w:rsid w:val="00160C64"/>
    <w:rsid w:val="0018169B"/>
    <w:rsid w:val="0019352B"/>
    <w:rsid w:val="001960D0"/>
    <w:rsid w:val="001A11F6"/>
    <w:rsid w:val="001F17E8"/>
    <w:rsid w:val="001F4EA5"/>
    <w:rsid w:val="00204306"/>
    <w:rsid w:val="00225CF2"/>
    <w:rsid w:val="00232FD2"/>
    <w:rsid w:val="0026554E"/>
    <w:rsid w:val="002A4622"/>
    <w:rsid w:val="002A6F8F"/>
    <w:rsid w:val="002B17E5"/>
    <w:rsid w:val="002C0EBF"/>
    <w:rsid w:val="002C28A4"/>
    <w:rsid w:val="002D7E0A"/>
    <w:rsid w:val="00315AFE"/>
    <w:rsid w:val="003411F6"/>
    <w:rsid w:val="0034551B"/>
    <w:rsid w:val="003606A6"/>
    <w:rsid w:val="0036650C"/>
    <w:rsid w:val="00393ACD"/>
    <w:rsid w:val="003A583E"/>
    <w:rsid w:val="003E112B"/>
    <w:rsid w:val="003E1D1C"/>
    <w:rsid w:val="003E7B05"/>
    <w:rsid w:val="003F3719"/>
    <w:rsid w:val="003F6F2D"/>
    <w:rsid w:val="0044354A"/>
    <w:rsid w:val="00450965"/>
    <w:rsid w:val="00466211"/>
    <w:rsid w:val="004710AE"/>
    <w:rsid w:val="00483196"/>
    <w:rsid w:val="004834A9"/>
    <w:rsid w:val="004D01FC"/>
    <w:rsid w:val="004E28C3"/>
    <w:rsid w:val="004F0570"/>
    <w:rsid w:val="004F1F8E"/>
    <w:rsid w:val="00512A32"/>
    <w:rsid w:val="00523A55"/>
    <w:rsid w:val="005343DA"/>
    <w:rsid w:val="005519E2"/>
    <w:rsid w:val="00560874"/>
    <w:rsid w:val="005731C3"/>
    <w:rsid w:val="00586CF2"/>
    <w:rsid w:val="00594D60"/>
    <w:rsid w:val="005A7C75"/>
    <w:rsid w:val="005C3768"/>
    <w:rsid w:val="005C6C3F"/>
    <w:rsid w:val="00602761"/>
    <w:rsid w:val="00613635"/>
    <w:rsid w:val="0062093D"/>
    <w:rsid w:val="00636D52"/>
    <w:rsid w:val="00637ECF"/>
    <w:rsid w:val="00647B59"/>
    <w:rsid w:val="00690C7B"/>
    <w:rsid w:val="006A4B45"/>
    <w:rsid w:val="006D4724"/>
    <w:rsid w:val="006F5FA2"/>
    <w:rsid w:val="0070076C"/>
    <w:rsid w:val="007010B8"/>
    <w:rsid w:val="00701BAE"/>
    <w:rsid w:val="00721F04"/>
    <w:rsid w:val="00730E95"/>
    <w:rsid w:val="00737A8C"/>
    <w:rsid w:val="007426B9"/>
    <w:rsid w:val="00764342"/>
    <w:rsid w:val="00774362"/>
    <w:rsid w:val="00786598"/>
    <w:rsid w:val="00790C74"/>
    <w:rsid w:val="007A04E8"/>
    <w:rsid w:val="007B2C34"/>
    <w:rsid w:val="007F282B"/>
    <w:rsid w:val="00827C9A"/>
    <w:rsid w:val="00830086"/>
    <w:rsid w:val="00830C69"/>
    <w:rsid w:val="00851625"/>
    <w:rsid w:val="00863C0A"/>
    <w:rsid w:val="008A3120"/>
    <w:rsid w:val="008A4B97"/>
    <w:rsid w:val="008B04C4"/>
    <w:rsid w:val="008B501D"/>
    <w:rsid w:val="008C06D4"/>
    <w:rsid w:val="008C3D7D"/>
    <w:rsid w:val="008C5B8E"/>
    <w:rsid w:val="008C5DD5"/>
    <w:rsid w:val="008C7123"/>
    <w:rsid w:val="008D41BE"/>
    <w:rsid w:val="008D58D3"/>
    <w:rsid w:val="008E3BC9"/>
    <w:rsid w:val="00923064"/>
    <w:rsid w:val="00930FFD"/>
    <w:rsid w:val="00933FBB"/>
    <w:rsid w:val="00936D25"/>
    <w:rsid w:val="00941EA5"/>
    <w:rsid w:val="00964700"/>
    <w:rsid w:val="00966C16"/>
    <w:rsid w:val="0098732F"/>
    <w:rsid w:val="009A045F"/>
    <w:rsid w:val="009A4E71"/>
    <w:rsid w:val="009A6A2B"/>
    <w:rsid w:val="009C7E7C"/>
    <w:rsid w:val="00A00473"/>
    <w:rsid w:val="00A02664"/>
    <w:rsid w:val="00A03C9B"/>
    <w:rsid w:val="00A37105"/>
    <w:rsid w:val="00A606C3"/>
    <w:rsid w:val="00A83B09"/>
    <w:rsid w:val="00A84541"/>
    <w:rsid w:val="00A97AF9"/>
    <w:rsid w:val="00AC7F9B"/>
    <w:rsid w:val="00AE36A0"/>
    <w:rsid w:val="00B00294"/>
    <w:rsid w:val="00B26945"/>
    <w:rsid w:val="00B3749C"/>
    <w:rsid w:val="00B64FD0"/>
    <w:rsid w:val="00B95E0C"/>
    <w:rsid w:val="00BA5BD0"/>
    <w:rsid w:val="00BB1D82"/>
    <w:rsid w:val="00BC0C0D"/>
    <w:rsid w:val="00BC217E"/>
    <w:rsid w:val="00BD51C5"/>
    <w:rsid w:val="00BF26E7"/>
    <w:rsid w:val="00C1305F"/>
    <w:rsid w:val="00C25064"/>
    <w:rsid w:val="00C53FCA"/>
    <w:rsid w:val="00C71DEB"/>
    <w:rsid w:val="00C76BAF"/>
    <w:rsid w:val="00C814B9"/>
    <w:rsid w:val="00C83F0C"/>
    <w:rsid w:val="00CB5EC8"/>
    <w:rsid w:val="00CB685A"/>
    <w:rsid w:val="00CD516F"/>
    <w:rsid w:val="00CD764E"/>
    <w:rsid w:val="00D119A7"/>
    <w:rsid w:val="00D25476"/>
    <w:rsid w:val="00D25FBA"/>
    <w:rsid w:val="00D32B28"/>
    <w:rsid w:val="00D3426F"/>
    <w:rsid w:val="00D42954"/>
    <w:rsid w:val="00D66EAC"/>
    <w:rsid w:val="00D730DF"/>
    <w:rsid w:val="00D772F0"/>
    <w:rsid w:val="00D77BDC"/>
    <w:rsid w:val="00D91EE3"/>
    <w:rsid w:val="00DC402B"/>
    <w:rsid w:val="00DE0932"/>
    <w:rsid w:val="00DF15E8"/>
    <w:rsid w:val="00E03A27"/>
    <w:rsid w:val="00E049F1"/>
    <w:rsid w:val="00E1281B"/>
    <w:rsid w:val="00E37A25"/>
    <w:rsid w:val="00E537FF"/>
    <w:rsid w:val="00E601F9"/>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90B33"/>
    <w:rsid w:val="00F9647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A69CE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8B04C4"/>
  </w:style>
  <w:style w:type="character" w:styleId="FollowedHyperlink">
    <w:name w:val="FollowedHyperlink"/>
    <w:basedOn w:val="DefaultParagraphFont"/>
    <w:semiHidden/>
    <w:unhideWhenUsed/>
    <w:rsid w:val="00116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CPM23.2-C-0001/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08E0E-46F9-443E-9362-B651A6728C6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B631C20-2F68-4860-B448-8D10375CF2ED}">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92CE8D8-4CAD-4B5B-BE0E-B8FB12FE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1284</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R23-WRC23-C-0111!A8!MSW-F</vt:lpstr>
    </vt:vector>
  </TitlesOfParts>
  <Manager>Secrétariat général - Pool</Manager>
  <Company>Union internationale des télécommunications (UIT)</Company>
  <LinksUpToDate>false</LinksUpToDate>
  <CharactersWithSpaces>8255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R23-WRC23-C-0111!A8!MSW-F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2023-11-16T13:51:00Z</dcterms:created>
  <dcterms:modified xsi:type="dcterms:W3CDTF">2023-11-16T18:55:00Z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