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332FFB" w14:paraId="03FDE1D8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DA5D505" w14:textId="77777777" w:rsidR="00752552" w:rsidRPr="00332FFB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332FFB">
              <w:rPr>
                <w:noProof/>
                <w:lang w:val="en-GB" w:bidi="ar-EG"/>
              </w:rPr>
              <w:drawing>
                <wp:inline distT="0" distB="0" distL="0" distR="0" wp14:anchorId="4BB721F6" wp14:editId="4B9EAB8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DE9D1AB" w14:textId="77777777" w:rsidR="00752552" w:rsidRPr="00332FFB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332FFB">
              <w:rPr>
                <w:rtl/>
              </w:rPr>
              <w:t xml:space="preserve">المؤتمر العالمي للاتصالات الراديوية </w:t>
            </w:r>
            <w:r w:rsidRPr="00332FFB">
              <w:t>(WRC-23)</w:t>
            </w:r>
          </w:p>
          <w:p w14:paraId="0E1D7773" w14:textId="77777777" w:rsidR="00752552" w:rsidRPr="00332FFB" w:rsidRDefault="00752552" w:rsidP="00752552">
            <w:pPr>
              <w:rPr>
                <w:b/>
                <w:bCs/>
                <w:rtl/>
                <w:lang w:bidi="ar-EG"/>
              </w:rPr>
            </w:pPr>
            <w:r w:rsidRPr="00332FFB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332FFB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332FFB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332FFB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332FFB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332FFB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B7C20AA" w14:textId="77777777" w:rsidR="00752552" w:rsidRPr="00332FFB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332FFB">
              <w:rPr>
                <w:noProof/>
              </w:rPr>
              <w:drawing>
                <wp:inline distT="0" distB="0" distL="0" distR="0" wp14:anchorId="2126B5EE" wp14:editId="651E302B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332FFB" w14:paraId="35E7458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DCDC4E8" w14:textId="77777777" w:rsidR="000D1EE4" w:rsidRPr="00332FFB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A07BCEB" w14:textId="77777777" w:rsidR="000D1EE4" w:rsidRPr="00332FFB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332FFB" w14:paraId="6DD33D9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4635B29" w14:textId="77777777" w:rsidR="000D1EE4" w:rsidRPr="00332FFB" w:rsidRDefault="000D1EE4" w:rsidP="000D1EE4">
            <w:pPr>
              <w:rPr>
                <w:b/>
                <w:bCs/>
                <w:u w:val="double"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2ACE4D2" w14:textId="77777777" w:rsidR="000D1EE4" w:rsidRPr="00332FFB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332FFB" w14:paraId="729AB194" w14:textId="77777777" w:rsidTr="00752552">
        <w:trPr>
          <w:cantSplit/>
        </w:trPr>
        <w:tc>
          <w:tcPr>
            <w:tcW w:w="6696" w:type="dxa"/>
            <w:gridSpan w:val="2"/>
          </w:tcPr>
          <w:p w14:paraId="5BEE492E" w14:textId="77777777" w:rsidR="000D1EE4" w:rsidRPr="00332FFB" w:rsidRDefault="00E50850" w:rsidP="00C31D0F">
            <w:pPr>
              <w:pStyle w:val="Committee"/>
              <w:bidi/>
              <w:rPr>
                <w:rtl/>
                <w:lang w:bidi="ar-EG"/>
              </w:rPr>
            </w:pPr>
            <w:r w:rsidRPr="00332FFB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F7A51A3" w14:textId="77777777" w:rsidR="000D1EE4" w:rsidRPr="00332FFB" w:rsidRDefault="00E50850" w:rsidP="00C31D0F">
            <w:pPr>
              <w:jc w:val="left"/>
              <w:rPr>
                <w:b/>
                <w:bCs/>
                <w:rtl/>
                <w:lang w:bidi="ar-EG"/>
              </w:rPr>
            </w:pPr>
            <w:r w:rsidRPr="00332FFB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332FFB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332FFB">
              <w:rPr>
                <w:rFonts w:eastAsia="SimSun"/>
                <w:b/>
                <w:bCs/>
              </w:rPr>
              <w:t>111-A</w:t>
            </w:r>
          </w:p>
        </w:tc>
      </w:tr>
      <w:tr w:rsidR="000D1EE4" w:rsidRPr="00332FFB" w14:paraId="1294390E" w14:textId="77777777" w:rsidTr="00752552">
        <w:trPr>
          <w:cantSplit/>
        </w:trPr>
        <w:tc>
          <w:tcPr>
            <w:tcW w:w="6696" w:type="dxa"/>
            <w:gridSpan w:val="2"/>
          </w:tcPr>
          <w:p w14:paraId="339B7307" w14:textId="77777777" w:rsidR="000D1EE4" w:rsidRPr="00332FFB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D989B8C" w14:textId="77777777" w:rsidR="000D1EE4" w:rsidRPr="00332FFB" w:rsidRDefault="00E50850" w:rsidP="00C31D0F">
            <w:pPr>
              <w:jc w:val="left"/>
              <w:rPr>
                <w:b/>
                <w:bCs/>
                <w:rtl/>
                <w:lang w:bidi="ar-EG"/>
              </w:rPr>
            </w:pPr>
            <w:r w:rsidRPr="00332FFB">
              <w:rPr>
                <w:rFonts w:eastAsia="SimSun"/>
                <w:b/>
                <w:bCs/>
              </w:rPr>
              <w:t>29</w:t>
            </w:r>
            <w:r w:rsidRPr="00332FFB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32FFB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332FFB" w14:paraId="6B740FE2" w14:textId="77777777" w:rsidTr="00752552">
        <w:trPr>
          <w:cantSplit/>
        </w:trPr>
        <w:tc>
          <w:tcPr>
            <w:tcW w:w="6696" w:type="dxa"/>
            <w:gridSpan w:val="2"/>
          </w:tcPr>
          <w:p w14:paraId="5B5D96D7" w14:textId="77777777" w:rsidR="000D1EE4" w:rsidRPr="00332FFB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0709E42" w14:textId="77777777" w:rsidR="000D1EE4" w:rsidRPr="00332FFB" w:rsidRDefault="00E50850" w:rsidP="00C31D0F">
            <w:pPr>
              <w:jc w:val="left"/>
              <w:rPr>
                <w:b/>
                <w:bCs/>
                <w:lang w:bidi="ar-EG"/>
              </w:rPr>
            </w:pPr>
            <w:r w:rsidRPr="00332FFB">
              <w:rPr>
                <w:b/>
                <w:bCs/>
                <w:rtl/>
                <w:lang w:bidi="ar-EG"/>
              </w:rPr>
              <w:t>الأصل: بالصينية</w:t>
            </w:r>
          </w:p>
        </w:tc>
      </w:tr>
      <w:tr w:rsidR="000D1EE4" w:rsidRPr="00332FFB" w14:paraId="2B3AF20F" w14:textId="77777777" w:rsidTr="00752552">
        <w:trPr>
          <w:cantSplit/>
        </w:trPr>
        <w:tc>
          <w:tcPr>
            <w:tcW w:w="9666" w:type="dxa"/>
            <w:gridSpan w:val="4"/>
          </w:tcPr>
          <w:p w14:paraId="5E923CFF" w14:textId="77777777" w:rsidR="000D1EE4" w:rsidRPr="00332FFB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332FFB" w14:paraId="2C0EDB2D" w14:textId="77777777" w:rsidTr="00752552">
        <w:trPr>
          <w:cantSplit/>
        </w:trPr>
        <w:tc>
          <w:tcPr>
            <w:tcW w:w="9666" w:type="dxa"/>
            <w:gridSpan w:val="4"/>
          </w:tcPr>
          <w:p w14:paraId="0F64E0C0" w14:textId="77777777" w:rsidR="000D1EE4" w:rsidRPr="00332FFB" w:rsidRDefault="000D1EE4" w:rsidP="000D1EE4">
            <w:pPr>
              <w:pStyle w:val="Source"/>
              <w:rPr>
                <w:rtl/>
                <w:lang w:bidi="ar-SA"/>
              </w:rPr>
            </w:pPr>
            <w:r w:rsidRPr="00332FFB">
              <w:rPr>
                <w:rtl/>
              </w:rPr>
              <w:t>جمهورية الصين الشعبية</w:t>
            </w:r>
          </w:p>
        </w:tc>
      </w:tr>
      <w:tr w:rsidR="000D1EE4" w:rsidRPr="00332FFB" w14:paraId="4B49AE92" w14:textId="77777777" w:rsidTr="00752552">
        <w:trPr>
          <w:cantSplit/>
        </w:trPr>
        <w:tc>
          <w:tcPr>
            <w:tcW w:w="9666" w:type="dxa"/>
            <w:gridSpan w:val="4"/>
          </w:tcPr>
          <w:p w14:paraId="50FB1461" w14:textId="7F574F88" w:rsidR="000D1EE4" w:rsidRPr="00332FFB" w:rsidRDefault="00C31D0F" w:rsidP="00C31D0F">
            <w:pPr>
              <w:pStyle w:val="Title1"/>
              <w:rPr>
                <w:rtl/>
              </w:rPr>
            </w:pPr>
            <w:r w:rsidRPr="00332FFB">
              <w:rPr>
                <w:rtl/>
              </w:rPr>
              <w:t>مقترحات بشأن أعمال المؤتمر</w:t>
            </w:r>
          </w:p>
        </w:tc>
      </w:tr>
      <w:tr w:rsidR="000D1EE4" w:rsidRPr="00332FFB" w14:paraId="726FDCA4" w14:textId="77777777" w:rsidTr="00752552">
        <w:trPr>
          <w:cantSplit/>
        </w:trPr>
        <w:tc>
          <w:tcPr>
            <w:tcW w:w="9666" w:type="dxa"/>
            <w:gridSpan w:val="4"/>
          </w:tcPr>
          <w:p w14:paraId="64BAEF01" w14:textId="77777777" w:rsidR="000D1EE4" w:rsidRPr="00332FFB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332FFB" w14:paraId="1D02E2EE" w14:textId="77777777" w:rsidTr="00752552">
        <w:trPr>
          <w:cantSplit/>
        </w:trPr>
        <w:tc>
          <w:tcPr>
            <w:tcW w:w="9666" w:type="dxa"/>
            <w:gridSpan w:val="4"/>
          </w:tcPr>
          <w:p w14:paraId="48707344" w14:textId="2D76E1F7" w:rsidR="00E50850" w:rsidRPr="00332FFB" w:rsidRDefault="00E50850" w:rsidP="00C31D0F">
            <w:pPr>
              <w:pStyle w:val="Agendaitem"/>
            </w:pPr>
            <w:r w:rsidRPr="00332FFB">
              <w:rPr>
                <w:rtl/>
              </w:rPr>
              <w:t>بند جدول الأعمال</w:t>
            </w:r>
            <w:r w:rsidR="00C31D0F" w:rsidRPr="00332FFB">
              <w:rPr>
                <w:rtl/>
              </w:rPr>
              <w:t xml:space="preserve"> 3.1</w:t>
            </w:r>
          </w:p>
        </w:tc>
      </w:tr>
    </w:tbl>
    <w:p w14:paraId="12C8752B" w14:textId="77777777" w:rsidR="00B842E5" w:rsidRPr="00332FFB" w:rsidRDefault="00B842E5" w:rsidP="00861905">
      <w:pPr>
        <w:spacing w:line="185" w:lineRule="auto"/>
        <w:rPr>
          <w:b/>
          <w:rtl/>
          <w:lang w:val="es-ES" w:bidi="ar-EG"/>
        </w:rPr>
      </w:pPr>
      <w:r w:rsidRPr="00332FFB">
        <w:t>3.1</w:t>
      </w:r>
      <w:r w:rsidRPr="00332FFB">
        <w:tab/>
      </w:r>
      <w:r w:rsidRPr="00332FFB">
        <w:rPr>
          <w:rtl/>
          <w:lang w:val="es-ES" w:bidi="ar-EG"/>
        </w:rPr>
        <w:t xml:space="preserve">أن ينظر في توزيع نطاق التردد </w:t>
      </w:r>
      <w:r w:rsidRPr="00332FFB">
        <w:rPr>
          <w:lang w:bidi="ar-EG"/>
        </w:rPr>
        <w:t>MHz </w:t>
      </w:r>
      <w:r w:rsidRPr="00332FFB">
        <w:rPr>
          <w:lang w:val="fr-CH" w:bidi="ar-EG"/>
        </w:rPr>
        <w:t>3 800-3 600</w:t>
      </w:r>
      <w:r w:rsidRPr="00332FFB">
        <w:rPr>
          <w:rtl/>
          <w:lang w:val="es-ES" w:bidi="ar-SY"/>
        </w:rPr>
        <w:t xml:space="preserve"> </w:t>
      </w:r>
      <w:r w:rsidRPr="00332FFB">
        <w:rPr>
          <w:rtl/>
          <w:lang w:bidi="ar-SY"/>
        </w:rPr>
        <w:t xml:space="preserve">على أساس أولي للخدمة المتنقلة في الإقليم </w:t>
      </w:r>
      <w:r w:rsidRPr="00332FFB">
        <w:rPr>
          <w:lang w:val="fr-CH" w:bidi="ar-SY"/>
        </w:rPr>
        <w:t>1</w:t>
      </w:r>
      <w:r w:rsidRPr="00332FFB">
        <w:rPr>
          <w:rtl/>
          <w:lang w:bidi="ar-SY"/>
        </w:rPr>
        <w:t xml:space="preserve"> واتخاذ التدابير التنظيمية اللازمة بهذا الشأن،</w:t>
      </w:r>
      <w:r w:rsidRPr="00332FFB">
        <w:rPr>
          <w:rtl/>
          <w:lang w:val="es-ES" w:bidi="ar-EG"/>
        </w:rPr>
        <w:t xml:space="preserve"> وفقاً للقرار </w:t>
      </w:r>
      <w:r w:rsidRPr="00332FFB">
        <w:rPr>
          <w:b/>
          <w:bCs/>
          <w:lang w:bidi="ar-EG"/>
        </w:rPr>
        <w:t>246 (WRC-19)</w:t>
      </w:r>
      <w:r w:rsidRPr="00332FFB">
        <w:rPr>
          <w:b/>
          <w:rtl/>
          <w:lang w:val="es-ES" w:bidi="ar-EG"/>
        </w:rPr>
        <w:t xml:space="preserve">؛ </w:t>
      </w:r>
    </w:p>
    <w:p w14:paraId="2F43A8A5" w14:textId="4CF98845" w:rsidR="00B842E5" w:rsidRPr="00332FFB" w:rsidRDefault="00C31D0F" w:rsidP="00C31D0F">
      <w:pPr>
        <w:pStyle w:val="Headingb"/>
        <w:rPr>
          <w:rtl/>
        </w:rPr>
      </w:pPr>
      <w:r w:rsidRPr="00332FFB">
        <w:rPr>
          <w:rtl/>
        </w:rPr>
        <w:t>مقدمة</w:t>
      </w:r>
    </w:p>
    <w:p w14:paraId="6176C276" w14:textId="77777777" w:rsidR="00920361" w:rsidRDefault="005076E2" w:rsidP="00030614">
      <w:r w:rsidRPr="00332FFB">
        <w:rPr>
          <w:rtl/>
        </w:rPr>
        <w:t xml:space="preserve">تُقترح في القسم </w:t>
      </w:r>
      <w:r w:rsidRPr="00332FFB">
        <w:t>4/3.1/1</w:t>
      </w:r>
      <w:r w:rsidRPr="00332FFB">
        <w:rPr>
          <w:rtl/>
        </w:rPr>
        <w:t xml:space="preserve"> </w:t>
      </w:r>
      <w:r w:rsidR="00030614" w:rsidRPr="00030614">
        <w:rPr>
          <w:rtl/>
        </w:rPr>
        <w:t xml:space="preserve">من تقرير الاجتماع التحضيري للمؤتمر الأساليب الخمسة التالية </w:t>
      </w:r>
      <w:r w:rsidRPr="00332FFB">
        <w:rPr>
          <w:rtl/>
        </w:rPr>
        <w:t>للوفاء بهذا البند من جدول الأعمال:</w:t>
      </w:r>
      <w:r w:rsidR="00030614">
        <w:rPr>
          <w:rFonts w:hint="cs"/>
          <w:rtl/>
        </w:rPr>
        <w:t xml:space="preserve"> </w:t>
      </w:r>
    </w:p>
    <w:p w14:paraId="20FA8559" w14:textId="72311EC8" w:rsidR="005076E2" w:rsidRPr="00332FFB" w:rsidRDefault="005076E2" w:rsidP="00920361">
      <w:pPr>
        <w:pStyle w:val="enumlev1"/>
        <w:rPr>
          <w:rtl/>
        </w:rPr>
      </w:pPr>
      <w:r w:rsidRPr="00332FFB">
        <w:t>•</w:t>
      </w:r>
      <w:r w:rsidRPr="00332FFB">
        <w:rPr>
          <w:rtl/>
        </w:rPr>
        <w:tab/>
      </w:r>
      <w:r w:rsidRPr="00332FFB">
        <w:rPr>
          <w:b/>
          <w:bCs/>
          <w:rtl/>
        </w:rPr>
        <w:t xml:space="preserve">الأسلوب </w:t>
      </w:r>
      <w:r w:rsidRPr="00332FFB">
        <w:rPr>
          <w:b/>
          <w:bCs/>
        </w:rPr>
        <w:t>A</w:t>
      </w:r>
      <w:r w:rsidRPr="00332FFB">
        <w:rPr>
          <w:rtl/>
        </w:rPr>
        <w:t>: لا تغيير؛</w:t>
      </w:r>
    </w:p>
    <w:p w14:paraId="45DA5F74" w14:textId="2969F76C" w:rsidR="005076E2" w:rsidRPr="00332FFB" w:rsidRDefault="005076E2" w:rsidP="005076E2">
      <w:pPr>
        <w:pStyle w:val="enumlev1"/>
        <w:rPr>
          <w:rtl/>
        </w:rPr>
      </w:pPr>
      <w:r w:rsidRPr="00332FFB">
        <w:t>•</w:t>
      </w:r>
      <w:r w:rsidRPr="00332FFB">
        <w:rPr>
          <w:rtl/>
        </w:rPr>
        <w:tab/>
      </w:r>
      <w:r w:rsidRPr="00332FFB">
        <w:rPr>
          <w:b/>
          <w:bCs/>
          <w:rtl/>
        </w:rPr>
        <w:t xml:space="preserve">الأسلوب </w:t>
      </w:r>
      <w:r w:rsidRPr="00332FFB">
        <w:rPr>
          <w:b/>
          <w:bCs/>
        </w:rPr>
        <w:t>B</w:t>
      </w:r>
      <w:r w:rsidRPr="00332FFB">
        <w:rPr>
          <w:rtl/>
        </w:rPr>
        <w:t xml:space="preserve">: رفع توزيع نطاق التردد </w:t>
      </w:r>
      <w:r w:rsidRPr="00332FFB">
        <w:t>MHz 3 800</w:t>
      </w:r>
      <w:r w:rsidRPr="00332FFB">
        <w:noBreakHyphen/>
        <w:t>3 600</w:t>
      </w:r>
      <w:r w:rsidRPr="00332FFB">
        <w:rPr>
          <w:rtl/>
        </w:rPr>
        <w:t xml:space="preserve"> للخدمة المتنقلة، باستثناء المتنقلة للطيران، إلى توزيع على</w:t>
      </w:r>
      <w:r w:rsidR="00E02576" w:rsidRPr="00332FFB">
        <w:rPr>
          <w:rtl/>
          <w:lang w:bidi="ar-EG"/>
        </w:rPr>
        <w:t> </w:t>
      </w:r>
      <w:r w:rsidRPr="00332FFB">
        <w:rPr>
          <w:rtl/>
        </w:rPr>
        <w:t xml:space="preserve">أساس أولي في الإقليم </w:t>
      </w:r>
      <w:r w:rsidRPr="00332FFB">
        <w:t>1</w:t>
      </w:r>
      <w:r w:rsidRPr="00332FFB">
        <w:rPr>
          <w:rtl/>
        </w:rPr>
        <w:t>، دون شروط</w:t>
      </w:r>
    </w:p>
    <w:p w14:paraId="24F18626" w14:textId="7360B8AB" w:rsidR="005076E2" w:rsidRPr="00332FFB" w:rsidRDefault="005076E2" w:rsidP="005076E2">
      <w:pPr>
        <w:pStyle w:val="enumlev1"/>
        <w:rPr>
          <w:rtl/>
        </w:rPr>
      </w:pPr>
      <w:r w:rsidRPr="00332FFB">
        <w:t>•</w:t>
      </w:r>
      <w:r w:rsidRPr="00332FFB">
        <w:rPr>
          <w:rtl/>
        </w:rPr>
        <w:tab/>
      </w:r>
      <w:r w:rsidRPr="00332FFB">
        <w:rPr>
          <w:b/>
          <w:bCs/>
          <w:rtl/>
        </w:rPr>
        <w:t xml:space="preserve">الأسلوب </w:t>
      </w:r>
      <w:r w:rsidRPr="00332FFB">
        <w:rPr>
          <w:b/>
          <w:bCs/>
        </w:rPr>
        <w:t>C</w:t>
      </w:r>
      <w:r w:rsidRPr="00332FFB">
        <w:rPr>
          <w:rtl/>
        </w:rPr>
        <w:t>:</w:t>
      </w:r>
      <w:r w:rsidRPr="00332FFB">
        <w:rPr>
          <w:i/>
          <w:iCs/>
          <w:rtl/>
        </w:rPr>
        <w:t xml:space="preserve"> </w:t>
      </w:r>
      <w:r w:rsidRPr="00332FFB">
        <w:rPr>
          <w:rtl/>
        </w:rPr>
        <w:t xml:space="preserve">رفع التوزيع للخدمة المتنقلة، باستثناء المتنقلة للطيران، إلى توزيع على أساس أولي في الإقليم </w:t>
      </w:r>
      <w:r w:rsidRPr="00332FFB">
        <w:t>1</w:t>
      </w:r>
      <w:r w:rsidRPr="00332FFB">
        <w:rPr>
          <w:rtl/>
        </w:rPr>
        <w:t>، بشروط</w:t>
      </w:r>
      <w:r w:rsidR="00E02576" w:rsidRPr="00332FFB">
        <w:rPr>
          <w:rtl/>
        </w:rPr>
        <w:t> </w:t>
      </w:r>
      <w:r w:rsidRPr="00332FFB">
        <w:rPr>
          <w:rtl/>
        </w:rPr>
        <w:t xml:space="preserve">تنظيمية و/أو تقنية وإلغاء القرار </w:t>
      </w:r>
      <w:r w:rsidRPr="001D1CB8">
        <w:rPr>
          <w:b/>
          <w:bCs/>
        </w:rPr>
        <w:t>246 (WRC-19)</w:t>
      </w:r>
    </w:p>
    <w:p w14:paraId="62D9172A" w14:textId="61FFCB87" w:rsidR="005076E2" w:rsidRPr="00332FFB" w:rsidRDefault="005076E2" w:rsidP="005076E2">
      <w:pPr>
        <w:pStyle w:val="enumlev1"/>
        <w:rPr>
          <w:rtl/>
        </w:rPr>
      </w:pPr>
      <w:r w:rsidRPr="00332FFB">
        <w:t>•</w:t>
      </w:r>
      <w:r w:rsidRPr="00332FFB">
        <w:rPr>
          <w:rtl/>
        </w:rPr>
        <w:tab/>
      </w:r>
      <w:r w:rsidRPr="00332FFB">
        <w:rPr>
          <w:b/>
          <w:bCs/>
          <w:rtl/>
        </w:rPr>
        <w:t xml:space="preserve">الأسلوب </w:t>
      </w:r>
      <w:r w:rsidRPr="00332FFB">
        <w:rPr>
          <w:b/>
          <w:bCs/>
        </w:rPr>
        <w:t>D</w:t>
      </w:r>
      <w:r w:rsidRPr="00332FFB">
        <w:rPr>
          <w:rtl/>
        </w:rPr>
        <w:t xml:space="preserve">: رفع توزيع نطاق التردد </w:t>
      </w:r>
      <w:r w:rsidRPr="00332FFB">
        <w:t>MHz 3 800</w:t>
      </w:r>
      <w:r w:rsidRPr="00332FFB">
        <w:noBreakHyphen/>
        <w:t>3 600</w:t>
      </w:r>
      <w:r w:rsidRPr="00332FFB">
        <w:rPr>
          <w:rtl/>
        </w:rPr>
        <w:t xml:space="preserve"> للخدمة المتنقلة إلى توزيع على أساس أولي في الإقليم </w:t>
      </w:r>
      <w:r w:rsidRPr="00332FFB">
        <w:t>1</w:t>
      </w:r>
      <w:r w:rsidRPr="00332FFB">
        <w:rPr>
          <w:rtl/>
        </w:rPr>
        <w:t>، دون شروط وبتحديد للاتصالات المتنقلة الدولية</w:t>
      </w:r>
    </w:p>
    <w:p w14:paraId="51A99A5B" w14:textId="3426B08D" w:rsidR="00417E14" w:rsidRPr="00332FFB" w:rsidRDefault="005076E2" w:rsidP="005076E2">
      <w:pPr>
        <w:pStyle w:val="enumlev1"/>
        <w:rPr>
          <w:rtl/>
          <w:lang w:bidi="ar-EG"/>
        </w:rPr>
      </w:pPr>
      <w:r w:rsidRPr="00332FFB">
        <w:t>•</w:t>
      </w:r>
      <w:r w:rsidRPr="00332FFB">
        <w:rPr>
          <w:rtl/>
        </w:rPr>
        <w:tab/>
      </w:r>
      <w:r w:rsidRPr="00332FFB">
        <w:rPr>
          <w:b/>
          <w:bCs/>
          <w:rtl/>
        </w:rPr>
        <w:t xml:space="preserve">الأسلوب </w:t>
      </w:r>
      <w:r w:rsidRPr="00332FFB">
        <w:rPr>
          <w:b/>
          <w:bCs/>
          <w:lang w:val="en-GB"/>
        </w:rPr>
        <w:t>E</w:t>
      </w:r>
      <w:r w:rsidRPr="00332FFB">
        <w:rPr>
          <w:b/>
          <w:bCs/>
          <w:rtl/>
        </w:rPr>
        <w:t>:</w:t>
      </w:r>
      <w:r w:rsidRPr="00332FFB">
        <w:rPr>
          <w:rtl/>
        </w:rPr>
        <w:t xml:space="preserve"> رفع توزيع نطاق التردد </w:t>
      </w:r>
      <w:r w:rsidRPr="00332FFB">
        <w:t>MHz 3 800-3 600</w:t>
      </w:r>
      <w:r w:rsidRPr="00332FFB">
        <w:rPr>
          <w:rtl/>
        </w:rPr>
        <w:t xml:space="preserve"> أو أجزاء منه للخدمة المتنقلة، باستثناء المتنقلة للطيران، إلى توزيع على أساس أولي في الإقليم 1 بشروط تنظيمية و/أو تقنية، وتحديد الاتصالات المتنقلة الدولية.</w:t>
      </w:r>
    </w:p>
    <w:p w14:paraId="01F917B3" w14:textId="2E3DA260" w:rsidR="005076E2" w:rsidRPr="00332FFB" w:rsidRDefault="005076E2" w:rsidP="005076E2">
      <w:pPr>
        <w:rPr>
          <w:rtl/>
        </w:rPr>
      </w:pPr>
      <w:r w:rsidRPr="00332FFB">
        <w:rPr>
          <w:rtl/>
        </w:rPr>
        <w:t>وتقترح الأساليب الخمسة</w:t>
      </w:r>
      <w:r w:rsidRPr="00332FFB">
        <w:t xml:space="preserve"> </w:t>
      </w:r>
      <w:r w:rsidR="00030614">
        <w:rPr>
          <w:rFonts w:hint="cs"/>
          <w:rtl/>
        </w:rPr>
        <w:t>أعلاه</w:t>
      </w:r>
      <w:r w:rsidRPr="00332FFB">
        <w:rPr>
          <w:rtl/>
        </w:rPr>
        <w:t xml:space="preserve"> أيضاً إلغاء القرار </w:t>
      </w:r>
      <w:r w:rsidRPr="00332FFB">
        <w:rPr>
          <w:b/>
          <w:bCs/>
        </w:rPr>
        <w:t>246 (WRC</w:t>
      </w:r>
      <w:r w:rsidRPr="00332FFB">
        <w:rPr>
          <w:b/>
          <w:bCs/>
        </w:rPr>
        <w:noBreakHyphen/>
        <w:t>19)</w:t>
      </w:r>
      <w:r w:rsidRPr="00332FFB">
        <w:rPr>
          <w:rtl/>
        </w:rPr>
        <w:t>.</w:t>
      </w:r>
    </w:p>
    <w:p w14:paraId="72937BC8" w14:textId="413B34A3" w:rsidR="00B24B17" w:rsidRPr="00332FFB" w:rsidRDefault="005076E2" w:rsidP="005076E2">
      <w:pPr>
        <w:pStyle w:val="Headingb"/>
        <w:rPr>
          <w:rtl/>
        </w:rPr>
      </w:pPr>
      <w:r w:rsidRPr="00332FFB">
        <w:rPr>
          <w:rtl/>
        </w:rPr>
        <w:t>المقترح</w:t>
      </w:r>
    </w:p>
    <w:p w14:paraId="004D3CA5" w14:textId="5AD83B81" w:rsidR="00E02576" w:rsidRPr="00332FFB" w:rsidRDefault="00E02576" w:rsidP="00030614">
      <w:pPr>
        <w:rPr>
          <w:rtl/>
          <w:lang w:bidi="ar-EG"/>
        </w:rPr>
      </w:pPr>
      <w:r w:rsidRPr="00332FFB">
        <w:rPr>
          <w:rtl/>
          <w:lang w:bidi="ar-EG"/>
        </w:rPr>
        <w:t>ترى الصين أن التوزيع الأولي للخدمة المتنقلة في النطاق</w:t>
      </w:r>
      <w:r w:rsidR="00030614">
        <w:rPr>
          <w:rFonts w:hint="cs"/>
          <w:rtl/>
          <w:lang w:bidi="ar-EG"/>
        </w:rPr>
        <w:t xml:space="preserve"> الترددي</w:t>
      </w:r>
      <w:r w:rsidRPr="00332FFB">
        <w:rPr>
          <w:rtl/>
          <w:lang w:bidi="ar-EG"/>
        </w:rPr>
        <w:t xml:space="preserve"> </w:t>
      </w:r>
      <w:r w:rsidRPr="00332FFB">
        <w:rPr>
          <w:lang w:bidi="ar-EG"/>
        </w:rPr>
        <w:t>MHz 3 800-3 600</w:t>
      </w:r>
      <w:r w:rsidRPr="00332FFB">
        <w:rPr>
          <w:rtl/>
          <w:lang w:bidi="ar-EG"/>
        </w:rPr>
        <w:t xml:space="preserve"> في الإقليم 1 ينبغي أن يراعي نتائج الدراسات التي أجريت في إطار فرقة العمل </w:t>
      </w:r>
      <w:r w:rsidRPr="00332FFB">
        <w:t>5A</w:t>
      </w:r>
      <w:r w:rsidRPr="00332FFB">
        <w:rPr>
          <w:rtl/>
        </w:rPr>
        <w:t xml:space="preserve"> </w:t>
      </w:r>
      <w:r w:rsidRPr="00332FFB">
        <w:rPr>
          <w:rtl/>
          <w:lang w:bidi="ar-EG"/>
        </w:rPr>
        <w:t xml:space="preserve">لقطاع الاتصالات الراديوية، وأن </w:t>
      </w:r>
      <w:r w:rsidR="00030614">
        <w:rPr>
          <w:rFonts w:hint="cs"/>
          <w:rtl/>
          <w:lang w:bidi="ar-EG"/>
        </w:rPr>
        <w:t>يستعمل</w:t>
      </w:r>
      <w:r w:rsidRPr="00332FFB">
        <w:rPr>
          <w:rtl/>
          <w:lang w:bidi="ar-EG"/>
        </w:rPr>
        <w:t xml:space="preserve"> الشروط التنظيمية والتقنية المناسبة </w:t>
      </w:r>
      <w:r w:rsidRPr="00332FFB">
        <w:rPr>
          <w:rtl/>
          <w:lang w:bidi="ar-EG"/>
        </w:rPr>
        <w:lastRenderedPageBreak/>
        <w:t xml:space="preserve">لضمان </w:t>
      </w:r>
      <w:r w:rsidR="00030614" w:rsidRPr="00030614">
        <w:rPr>
          <w:rtl/>
          <w:lang w:bidi="ar-EG"/>
        </w:rPr>
        <w:t xml:space="preserve">الحماية الكاملة للخدمات </w:t>
      </w:r>
      <w:r w:rsidRPr="00332FFB">
        <w:rPr>
          <w:rtl/>
        </w:rPr>
        <w:t>الموزع عليها نطاق التردد</w:t>
      </w:r>
      <w:r w:rsidR="00030614">
        <w:rPr>
          <w:rFonts w:hint="cs"/>
          <w:rtl/>
        </w:rPr>
        <w:t>ات</w:t>
      </w:r>
      <w:r w:rsidRPr="00332FFB">
        <w:rPr>
          <w:rtl/>
        </w:rPr>
        <w:t xml:space="preserve"> على أساس أولي</w:t>
      </w:r>
      <w:r w:rsidRPr="00332FFB">
        <w:rPr>
          <w:rtl/>
          <w:lang w:bidi="ar-EG"/>
        </w:rPr>
        <w:t xml:space="preserve"> (والخدمات في النطاقات المجاورة، </w:t>
      </w:r>
      <w:r w:rsidR="00030614" w:rsidRPr="00030614">
        <w:rPr>
          <w:rtl/>
          <w:lang w:bidi="ar-EG"/>
        </w:rPr>
        <w:t>إذا وجدت هذه النطاقات</w:t>
      </w:r>
      <w:r w:rsidRPr="00332FFB">
        <w:rPr>
          <w:rtl/>
          <w:lang w:bidi="ar-EG"/>
        </w:rPr>
        <w:t>) في الإقليم 3.</w:t>
      </w:r>
    </w:p>
    <w:p w14:paraId="1F00A8FC" w14:textId="409991DB" w:rsidR="00C45930" w:rsidRPr="00332FFB" w:rsidRDefault="00A62203" w:rsidP="00E56BD6">
      <w:pPr>
        <w:rPr>
          <w:lang w:bidi="ar-EG"/>
        </w:rPr>
      </w:pPr>
      <w:r w:rsidRPr="00A62203">
        <w:rPr>
          <w:rtl/>
          <w:lang w:bidi="ar-EG"/>
        </w:rPr>
        <w:t xml:space="preserve">‏وتعرب الصين عن قلقها إزاء شروط التشارك والتوافق بين الخدمة الثابتة الساتلية والخدمة المتنقلة بمجرد رفع مكانة توزيع نطاق التردد </w:t>
      </w:r>
      <w:r w:rsidRPr="00A62203">
        <w:rPr>
          <w:cs/>
          <w:lang w:bidi="ar-EG"/>
        </w:rPr>
        <w:t>‎</w:t>
      </w:r>
      <w:r w:rsidRPr="00A62203">
        <w:rPr>
          <w:lang w:bidi="ar-EG"/>
        </w:rPr>
        <w:t>MHz 3 800-3 600</w:t>
      </w:r>
      <w:r w:rsidRPr="00A62203">
        <w:rPr>
          <w:rtl/>
          <w:lang w:bidi="ar-EG"/>
        </w:rPr>
        <w:t xml:space="preserve"> ‏للخدمة المتنقلة (باستثناء المتنقلة للطيران) إلى توزيع أولي في الإقليم </w:t>
      </w:r>
      <w:r w:rsidRPr="00A62203">
        <w:rPr>
          <w:cs/>
          <w:lang w:bidi="ar-EG"/>
        </w:rPr>
        <w:t>‎</w:t>
      </w:r>
      <w:r w:rsidRPr="00A62203">
        <w:rPr>
          <w:lang w:bidi="ar-EG"/>
        </w:rPr>
        <w:t>1</w:t>
      </w:r>
      <w:r w:rsidRPr="00A62203">
        <w:rPr>
          <w:rtl/>
          <w:lang w:bidi="ar-EG"/>
        </w:rPr>
        <w:t xml:space="preserve">. فلا يزال عدد كبير من المحطات الأرضية للخدمة الثابتة الساتلية منشوراً في نطاق التردد </w:t>
      </w:r>
      <w:r w:rsidRPr="00A62203">
        <w:rPr>
          <w:cs/>
          <w:lang w:bidi="ar-EG"/>
        </w:rPr>
        <w:t>‎</w:t>
      </w:r>
      <w:r w:rsidRPr="00A62203">
        <w:rPr>
          <w:lang w:bidi="ar-EG"/>
        </w:rPr>
        <w:t>MHz 3 800-3 600</w:t>
      </w:r>
      <w:r w:rsidRPr="00A62203">
        <w:rPr>
          <w:rtl/>
          <w:lang w:bidi="ar-EG"/>
        </w:rPr>
        <w:t>‏، في حين تبين نتائج الدراسة الحالية أن دراسات التشارك والتوافق ليست كافية</w:t>
      </w:r>
      <w:r w:rsidR="00203585">
        <w:rPr>
          <w:rFonts w:hint="cs"/>
          <w:rtl/>
          <w:lang w:bidi="ar-EG"/>
        </w:rPr>
        <w:t>ً</w:t>
      </w:r>
      <w:r w:rsidRPr="00A62203">
        <w:rPr>
          <w:rtl/>
          <w:lang w:bidi="ar-EG"/>
        </w:rPr>
        <w:t xml:space="preserve"> لحماية الخدمات القائمة وتطو</w:t>
      </w:r>
      <w:r w:rsidR="007602DB">
        <w:rPr>
          <w:rFonts w:hint="cs"/>
          <w:rtl/>
          <w:lang w:bidi="ar-EG"/>
        </w:rPr>
        <w:t>ي</w:t>
      </w:r>
      <w:r w:rsidRPr="00A62203">
        <w:rPr>
          <w:rtl/>
          <w:lang w:bidi="ar-EG"/>
        </w:rPr>
        <w:t xml:space="preserve">رها في المستقبل. ولذلك تؤيد الصين الأسلوب </w:t>
      </w:r>
      <w:r w:rsidRPr="00A62203">
        <w:rPr>
          <w:cs/>
          <w:lang w:bidi="ar-EG"/>
        </w:rPr>
        <w:t>‎</w:t>
      </w:r>
      <w:r w:rsidRPr="00A62203">
        <w:rPr>
          <w:lang w:bidi="ar-EG"/>
        </w:rPr>
        <w:t>A</w:t>
      </w:r>
      <w:r w:rsidRPr="00A62203">
        <w:rPr>
          <w:rtl/>
          <w:lang w:bidi="ar-EG"/>
        </w:rPr>
        <w:t xml:space="preserve"> (‏لا تغيير).</w:t>
      </w:r>
      <w:r w:rsidRPr="00A62203">
        <w:rPr>
          <w:cs/>
          <w:lang w:bidi="ar-EG"/>
        </w:rPr>
        <w:t>‎</w:t>
      </w:r>
    </w:p>
    <w:p w14:paraId="775F92CD" w14:textId="77777777" w:rsidR="004C67F1" w:rsidRPr="00332FFB" w:rsidRDefault="004C67F1" w:rsidP="00B22F7E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332FFB">
        <w:rPr>
          <w:rtl/>
          <w:lang w:val="en-GB" w:bidi="ar-EG"/>
        </w:rPr>
        <w:br w:type="page"/>
      </w:r>
    </w:p>
    <w:p w14:paraId="279159CB" w14:textId="77777777" w:rsidR="003E10AD" w:rsidRPr="00332FFB" w:rsidRDefault="00B842E5">
      <w:pPr>
        <w:pStyle w:val="Proposal"/>
      </w:pPr>
      <w:r w:rsidRPr="00332FFB">
        <w:lastRenderedPageBreak/>
        <w:t>SUP</w:t>
      </w:r>
      <w:r w:rsidRPr="00332FFB">
        <w:tab/>
        <w:t>CHN/111A3/1</w:t>
      </w:r>
    </w:p>
    <w:p w14:paraId="0E2E9545" w14:textId="77777777" w:rsidR="00B842E5" w:rsidRPr="00332FFB" w:rsidRDefault="00B842E5" w:rsidP="00CC2AA9">
      <w:pPr>
        <w:pStyle w:val="ResNo"/>
      </w:pPr>
      <w:bookmarkStart w:id="1" w:name="_Toc36038361"/>
      <w:bookmarkStart w:id="2" w:name="_Toc40075814"/>
      <w:r w:rsidRPr="00332FFB">
        <w:rPr>
          <w:rtl/>
        </w:rPr>
        <w:t xml:space="preserve">القرار </w:t>
      </w:r>
      <w:r w:rsidRPr="00332FFB">
        <w:rPr>
          <w:rStyle w:val="href"/>
        </w:rPr>
        <w:t>246</w:t>
      </w:r>
      <w:r w:rsidRPr="00332FFB">
        <w:t xml:space="preserve"> (WRC-19)</w:t>
      </w:r>
      <w:bookmarkEnd w:id="1"/>
      <w:bookmarkEnd w:id="2"/>
    </w:p>
    <w:p w14:paraId="2C212759" w14:textId="0928FB2F" w:rsidR="00B842E5" w:rsidRPr="00332FFB" w:rsidRDefault="00B842E5" w:rsidP="00CC2AA9">
      <w:pPr>
        <w:pStyle w:val="Restitle"/>
        <w:rPr>
          <w:rtl/>
          <w:lang w:bidi="ar-EG"/>
        </w:rPr>
      </w:pPr>
      <w:bookmarkStart w:id="3" w:name="_Toc36038362"/>
      <w:bookmarkStart w:id="4" w:name="_Toc40075815"/>
      <w:r w:rsidRPr="00332FFB">
        <w:rPr>
          <w:rtl/>
        </w:rPr>
        <w:t xml:space="preserve">دراسات للنظر في إمكانية توزيع نطاق التردد </w:t>
      </w:r>
      <w:r w:rsidR="000E6463" w:rsidRPr="00332FFB">
        <w:rPr>
          <w:rtl/>
        </w:rPr>
        <w:br/>
      </w:r>
      <w:r w:rsidRPr="00332FFB">
        <w:t>MHz 3 800-3 600</w:t>
      </w:r>
      <w:r w:rsidRPr="00332FFB">
        <w:rPr>
          <w:rtl/>
        </w:rPr>
        <w:t xml:space="preserve">للخدمة المتنقلة، باستثناء المتنقلة للطيران، </w:t>
      </w:r>
      <w:r w:rsidR="000E6463" w:rsidRPr="00332FFB">
        <w:rPr>
          <w:rtl/>
        </w:rPr>
        <w:br/>
      </w:r>
      <w:r w:rsidRPr="00332FFB">
        <w:rPr>
          <w:rtl/>
        </w:rPr>
        <w:t xml:space="preserve">على أساس أولي في الإقليم </w:t>
      </w:r>
      <w:r w:rsidRPr="00332FFB">
        <w:t>1</w:t>
      </w:r>
      <w:bookmarkEnd w:id="3"/>
      <w:bookmarkEnd w:id="4"/>
    </w:p>
    <w:p w14:paraId="0D533223" w14:textId="77777777" w:rsidR="003E10AD" w:rsidRPr="00332FFB" w:rsidRDefault="003E10AD">
      <w:pPr>
        <w:pStyle w:val="Reasons"/>
        <w:rPr>
          <w:rtl/>
        </w:rPr>
      </w:pPr>
    </w:p>
    <w:p w14:paraId="15B93A83" w14:textId="5AECA461" w:rsidR="000E6463" w:rsidRPr="00332FFB" w:rsidRDefault="000E6463" w:rsidP="000E6463">
      <w:pPr>
        <w:spacing w:before="600" w:line="240" w:lineRule="auto"/>
        <w:jc w:val="center"/>
      </w:pPr>
      <w:r w:rsidRPr="00332FFB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E6463" w:rsidRPr="00332FFB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0007" w14:textId="77777777" w:rsidR="005A4450" w:rsidRDefault="005A4450" w:rsidP="002919E1">
      <w:r>
        <w:separator/>
      </w:r>
    </w:p>
    <w:p w14:paraId="56D3D1DA" w14:textId="77777777" w:rsidR="005A4450" w:rsidRDefault="005A4450" w:rsidP="002919E1"/>
    <w:p w14:paraId="172672B6" w14:textId="77777777" w:rsidR="005A4450" w:rsidRDefault="005A4450" w:rsidP="002919E1"/>
    <w:p w14:paraId="390B73C7" w14:textId="77777777" w:rsidR="005A4450" w:rsidRDefault="005A4450"/>
    <w:p w14:paraId="076573F6" w14:textId="77777777" w:rsidR="005A4450" w:rsidRDefault="005A4450"/>
  </w:endnote>
  <w:endnote w:type="continuationSeparator" w:id="0">
    <w:p w14:paraId="57E0995E" w14:textId="77777777" w:rsidR="005A4450" w:rsidRDefault="005A4450" w:rsidP="002919E1">
      <w:r>
        <w:continuationSeparator/>
      </w:r>
    </w:p>
    <w:p w14:paraId="5E687D7E" w14:textId="77777777" w:rsidR="005A4450" w:rsidRDefault="005A4450" w:rsidP="002919E1"/>
    <w:p w14:paraId="69A33C83" w14:textId="77777777" w:rsidR="005A4450" w:rsidRDefault="005A4450" w:rsidP="002919E1"/>
    <w:p w14:paraId="36556374" w14:textId="77777777" w:rsidR="005A4450" w:rsidRDefault="005A4450"/>
    <w:p w14:paraId="04D52845" w14:textId="77777777" w:rsidR="005A4450" w:rsidRDefault="005A4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8D97" w14:textId="4AA78A41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20361">
      <w:rPr>
        <w:noProof/>
        <w:sz w:val="16"/>
        <w:szCs w:val="16"/>
        <w:lang w:val="fr-FR"/>
      </w:rPr>
      <w:t>P:\ARA\ITU-R\CONF-R\CMR23\100\111ADD03A.docx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C31D0F" w:rsidRPr="00C31D0F">
      <w:rPr>
        <w:sz w:val="16"/>
        <w:szCs w:val="16"/>
        <w:lang w:val="fr-FR"/>
      </w:rPr>
      <w:t>530244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489D" w14:textId="1F60669A" w:rsidR="000E6463" w:rsidRPr="000E6463" w:rsidRDefault="000E6463" w:rsidP="000E646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20361">
      <w:rPr>
        <w:noProof/>
        <w:sz w:val="16"/>
        <w:szCs w:val="16"/>
        <w:lang w:val="fr-FR"/>
      </w:rPr>
      <w:t>P:\ARA\ITU-R\CONF-R\CMR23\100\111ADD03A.docx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C31D0F">
      <w:rPr>
        <w:sz w:val="16"/>
        <w:szCs w:val="16"/>
        <w:lang w:val="fr-FR"/>
      </w:rPr>
      <w:t>530244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FEEE" w14:textId="073824B9" w:rsidR="00C31D0F" w:rsidRPr="00C31D0F" w:rsidRDefault="00C31D0F" w:rsidP="00C31D0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20361">
      <w:rPr>
        <w:noProof/>
        <w:sz w:val="16"/>
        <w:szCs w:val="16"/>
        <w:lang w:val="fr-FR"/>
      </w:rPr>
      <w:t>P:\ARA\ITU-R\CONF-R\CMR23\100\111ADD03A.docx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C31D0F">
      <w:rPr>
        <w:sz w:val="16"/>
        <w:szCs w:val="16"/>
        <w:lang w:val="fr-FR"/>
      </w:rPr>
      <w:t>530244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0D2D" w14:textId="77777777" w:rsidR="005A4450" w:rsidRDefault="005A4450" w:rsidP="00C45930">
      <w:r>
        <w:separator/>
      </w:r>
    </w:p>
  </w:footnote>
  <w:footnote w:type="continuationSeparator" w:id="0">
    <w:p w14:paraId="49F0B175" w14:textId="77777777" w:rsidR="005A4450" w:rsidRDefault="005A4450" w:rsidP="002919E1">
      <w:r>
        <w:continuationSeparator/>
      </w:r>
    </w:p>
    <w:p w14:paraId="31D4C3BA" w14:textId="77777777" w:rsidR="005A4450" w:rsidRDefault="005A4450" w:rsidP="002919E1"/>
    <w:p w14:paraId="4A657177" w14:textId="77777777" w:rsidR="005A4450" w:rsidRDefault="005A4450" w:rsidP="002919E1"/>
    <w:p w14:paraId="30BEB33B" w14:textId="77777777" w:rsidR="005A4450" w:rsidRDefault="005A4450"/>
    <w:p w14:paraId="1EEE9F79" w14:textId="77777777" w:rsidR="005A4450" w:rsidRDefault="005A44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7298" w14:textId="666176B0" w:rsidR="00D63A6F" w:rsidRPr="00C31D0F" w:rsidRDefault="005E5F16" w:rsidP="00C31D0F">
    <w:pPr>
      <w:bidi w:val="0"/>
      <w:spacing w:after="360" w:line="240" w:lineRule="auto"/>
      <w:jc w:val="center"/>
      <w:rPr>
        <w:sz w:val="20"/>
        <w:szCs w:val="20"/>
      </w:rPr>
    </w:pPr>
    <w:r w:rsidRPr="00C31D0F">
      <w:rPr>
        <w:rStyle w:val="PageNumber"/>
        <w:rFonts w:ascii="Dubai" w:hAnsi="Dubai" w:cs="Dubai"/>
      </w:rPr>
      <w:fldChar w:fldCharType="begin"/>
    </w:r>
    <w:r w:rsidRPr="00C31D0F">
      <w:rPr>
        <w:rStyle w:val="PageNumber"/>
        <w:rFonts w:ascii="Dubai" w:hAnsi="Dubai" w:cs="Dubai"/>
      </w:rPr>
      <w:instrText xml:space="preserve"> PAGE </w:instrText>
    </w:r>
    <w:r w:rsidRPr="00C31D0F">
      <w:rPr>
        <w:rStyle w:val="PageNumber"/>
        <w:rFonts w:ascii="Dubai" w:hAnsi="Dubai" w:cs="Dubai"/>
      </w:rPr>
      <w:fldChar w:fldCharType="separate"/>
    </w:r>
    <w:r w:rsidRPr="00C31D0F">
      <w:rPr>
        <w:rStyle w:val="PageNumber"/>
        <w:rFonts w:ascii="Dubai" w:hAnsi="Dubai" w:cs="Dubai"/>
      </w:rPr>
      <w:t>2</w:t>
    </w:r>
    <w:r w:rsidRPr="00C31D0F">
      <w:rPr>
        <w:rStyle w:val="PageNumber"/>
        <w:rFonts w:ascii="Dubai" w:hAnsi="Dubai" w:cs="Dubai"/>
      </w:rPr>
      <w:fldChar w:fldCharType="end"/>
    </w:r>
    <w:r w:rsidRPr="00C31D0F">
      <w:rPr>
        <w:rStyle w:val="PageNumber"/>
        <w:rFonts w:ascii="Dubai" w:hAnsi="Dubai" w:cs="Dubai"/>
        <w:rtl/>
      </w:rPr>
      <w:br/>
    </w:r>
    <w:r w:rsidR="004F5F29" w:rsidRPr="00C31D0F">
      <w:rPr>
        <w:rStyle w:val="PageNumber"/>
        <w:rFonts w:ascii="Dubai" w:hAnsi="Dubai" w:cs="Dubai"/>
      </w:rPr>
      <w:t>WRC</w:t>
    </w:r>
    <w:r w:rsidRPr="00C31D0F">
      <w:rPr>
        <w:rStyle w:val="PageNumber"/>
        <w:rFonts w:ascii="Dubai" w:hAnsi="Dubai" w:cs="Dubai"/>
      </w:rPr>
      <w:t>23/111(Add.3)-A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5470" w14:textId="10339307" w:rsidR="000E6463" w:rsidRPr="000E6463" w:rsidRDefault="000E6463" w:rsidP="000E6463">
    <w:pPr>
      <w:bidi w:val="0"/>
      <w:spacing w:after="360" w:line="240" w:lineRule="auto"/>
      <w:jc w:val="center"/>
      <w:rPr>
        <w:sz w:val="20"/>
        <w:szCs w:val="20"/>
      </w:rPr>
    </w:pPr>
    <w:r w:rsidRPr="00C31D0F">
      <w:rPr>
        <w:rStyle w:val="PageNumber"/>
        <w:rFonts w:ascii="Dubai" w:hAnsi="Dubai" w:cs="Dubai"/>
      </w:rPr>
      <w:fldChar w:fldCharType="begin"/>
    </w:r>
    <w:r w:rsidRPr="00C31D0F">
      <w:rPr>
        <w:rStyle w:val="PageNumber"/>
        <w:rFonts w:ascii="Dubai" w:hAnsi="Dubai" w:cs="Dubai"/>
      </w:rPr>
      <w:instrText xml:space="preserve"> PAGE </w:instrText>
    </w:r>
    <w:r w:rsidRPr="00C31D0F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C31D0F">
      <w:rPr>
        <w:rStyle w:val="PageNumber"/>
        <w:rFonts w:ascii="Dubai" w:hAnsi="Dubai" w:cs="Dubai"/>
      </w:rPr>
      <w:fldChar w:fldCharType="end"/>
    </w:r>
    <w:r w:rsidRPr="00C31D0F">
      <w:rPr>
        <w:rStyle w:val="PageNumber"/>
        <w:rFonts w:ascii="Dubai" w:hAnsi="Dubai" w:cs="Dubai"/>
        <w:rtl/>
      </w:rPr>
      <w:br/>
    </w:r>
    <w:r w:rsidRPr="00C31D0F">
      <w:rPr>
        <w:rStyle w:val="PageNumber"/>
        <w:rFonts w:ascii="Dubai" w:hAnsi="Dubai" w:cs="Dubai"/>
      </w:rPr>
      <w:t>WRC23/111(Add.3)-A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5EE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2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AF0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250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1244082">
    <w:abstractNumId w:val="9"/>
  </w:num>
  <w:num w:numId="2" w16cid:durableId="1247954878">
    <w:abstractNumId w:val="13"/>
  </w:num>
  <w:num w:numId="3" w16cid:durableId="1309633913">
    <w:abstractNumId w:val="11"/>
  </w:num>
  <w:num w:numId="4" w16cid:durableId="645282249">
    <w:abstractNumId w:val="14"/>
  </w:num>
  <w:num w:numId="5" w16cid:durableId="122388193">
    <w:abstractNumId w:val="7"/>
  </w:num>
  <w:num w:numId="6" w16cid:durableId="1630436534">
    <w:abstractNumId w:val="6"/>
  </w:num>
  <w:num w:numId="7" w16cid:durableId="1997537536">
    <w:abstractNumId w:val="5"/>
  </w:num>
  <w:num w:numId="8" w16cid:durableId="1291714647">
    <w:abstractNumId w:val="4"/>
  </w:num>
  <w:num w:numId="9" w16cid:durableId="1378554736">
    <w:abstractNumId w:val="8"/>
  </w:num>
  <w:num w:numId="10" w16cid:durableId="1189417488">
    <w:abstractNumId w:val="3"/>
  </w:num>
  <w:num w:numId="11" w16cid:durableId="488332206">
    <w:abstractNumId w:val="2"/>
  </w:num>
  <w:num w:numId="12" w16cid:durableId="1353654861">
    <w:abstractNumId w:val="1"/>
  </w:num>
  <w:num w:numId="13" w16cid:durableId="2043676244">
    <w:abstractNumId w:val="0"/>
  </w:num>
  <w:num w:numId="14" w16cid:durableId="1879900642">
    <w:abstractNumId w:val="10"/>
  </w:num>
  <w:num w:numId="15" w16cid:durableId="559286739">
    <w:abstractNumId w:val="15"/>
  </w:num>
  <w:num w:numId="16" w16cid:durableId="2013987798">
    <w:abstractNumId w:val="12"/>
  </w:num>
  <w:num w:numId="17" w16cid:durableId="1526864098">
    <w:abstractNumId w:val="6"/>
  </w:num>
  <w:num w:numId="18" w16cid:durableId="677079584">
    <w:abstractNumId w:val="5"/>
  </w:num>
  <w:num w:numId="19" w16cid:durableId="937711963">
    <w:abstractNumId w:val="3"/>
  </w:num>
  <w:num w:numId="20" w16cid:durableId="1477801062">
    <w:abstractNumId w:val="2"/>
  </w:num>
  <w:num w:numId="21" w16cid:durableId="1673558865">
    <w:abstractNumId w:val="6"/>
  </w:num>
  <w:num w:numId="22" w16cid:durableId="923563414">
    <w:abstractNumId w:val="5"/>
  </w:num>
  <w:num w:numId="23" w16cid:durableId="1513228769">
    <w:abstractNumId w:val="3"/>
  </w:num>
  <w:num w:numId="24" w16cid:durableId="1755128505">
    <w:abstractNumId w:val="2"/>
  </w:num>
  <w:num w:numId="25" w16cid:durableId="13920279">
    <w:abstractNumId w:val="6"/>
  </w:num>
  <w:num w:numId="26" w16cid:durableId="63072010">
    <w:abstractNumId w:val="5"/>
  </w:num>
  <w:num w:numId="27" w16cid:durableId="71002674">
    <w:abstractNumId w:val="3"/>
  </w:num>
  <w:num w:numId="28" w16cid:durableId="466969270">
    <w:abstractNumId w:val="2"/>
  </w:num>
  <w:num w:numId="29" w16cid:durableId="494881413">
    <w:abstractNumId w:val="6"/>
  </w:num>
  <w:num w:numId="30" w16cid:durableId="67268789">
    <w:abstractNumId w:val="5"/>
  </w:num>
  <w:num w:numId="31" w16cid:durableId="415521739">
    <w:abstractNumId w:val="3"/>
  </w:num>
  <w:num w:numId="32" w16cid:durableId="199472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0614"/>
    <w:rsid w:val="00034B65"/>
    <w:rsid w:val="00037AB5"/>
    <w:rsid w:val="00040C94"/>
    <w:rsid w:val="000425FC"/>
    <w:rsid w:val="00044D43"/>
    <w:rsid w:val="00046042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463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1CB8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3585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40C3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2FFB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0AD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076E2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A4450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02DB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425B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0361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203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2F7E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42E5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1D0F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87B47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2576"/>
    <w:rsid w:val="00E05253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0DDC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39575ab-c5cc-45c4-8979-cecb8bc616ef" targetNamespace="http://schemas.microsoft.com/office/2006/metadata/properties" ma:root="true" ma:fieldsID="d41af5c836d734370eb92e7ee5f83852" ns2:_="" ns3:_="">
    <xsd:import namespace="996b2e75-67fd-4955-a3b0-5ab9934cb50b"/>
    <xsd:import namespace="239575ab-c5cc-45c4-8979-cecb8bc616e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75ab-c5cc-45c4-8979-cecb8bc616e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39575ab-c5cc-45c4-8979-cecb8bc616ef">DPM</DPM_x0020_Author>
    <DPM_x0020_File_x0020_name xmlns="239575ab-c5cc-45c4-8979-cecb8bc616ef">R23-WRC23-C-0111!A3!MSW-A</DPM_x0020_File_x0020_name>
    <DPM_x0020_Version xmlns="239575ab-c5cc-45c4-8979-cecb8bc616ef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39575ab-c5cc-45c4-8979-cecb8bc61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39575ab-c5cc-45c4-8979-cecb8bc616ef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370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R23-WRC23-C-0111!A3!MSW-A</vt:lpstr>
    </vt:vector>
  </TitlesOfParts>
  <Manager>General Secretariat - Pool</Manager>
  <Company>International Telecommunication Union (ITU)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R23-WRC23-C-0111!A3!MSW-A</dc:title>
  <dc:creator>Documents Proposals Manager (DPM)</dc:creator>
  <cp:keywords>DPM_v2023.11.6.1_prod</cp:keywords>
  <cp:lastModifiedBy>Arabic_HD</cp:lastModifiedBy>
  <cp:revision>5</cp:revision>
  <cp:lastPrinted>2020-08-11T14:28:00Z</cp:lastPrinted>
  <dcterms:created xsi:type="dcterms:W3CDTF">2023-11-18T20:18:00Z</dcterms:created>
  <dcterms:modified xsi:type="dcterms:W3CDTF">2023-11-18T20:31:00Z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