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00E78" w14:paraId="12907D3B" w14:textId="77777777" w:rsidTr="00C1305F">
        <w:trPr>
          <w:cantSplit/>
        </w:trPr>
        <w:tc>
          <w:tcPr>
            <w:tcW w:w="1418" w:type="dxa"/>
            <w:vAlign w:val="center"/>
          </w:tcPr>
          <w:p w14:paraId="7DB6DFD6" w14:textId="77777777" w:rsidR="00C1305F" w:rsidRPr="00700E78" w:rsidRDefault="00C1305F" w:rsidP="00F46BB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00E78">
              <w:drawing>
                <wp:inline distT="0" distB="0" distL="0" distR="0" wp14:anchorId="67B99B89" wp14:editId="5690CFD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BB609B4" w14:textId="79EEE29E" w:rsidR="00C1305F" w:rsidRPr="00700E78" w:rsidRDefault="00C1305F" w:rsidP="00F46BB3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700E7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00E78">
              <w:rPr>
                <w:rFonts w:ascii="Verdana" w:hAnsi="Verdana"/>
                <w:b/>
                <w:bCs/>
                <w:sz w:val="20"/>
              </w:rPr>
              <w:br/>
            </w:r>
            <w:r w:rsidRPr="00700E7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1E4C78" w:rsidRPr="00700E7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00E7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19F2D0F" w14:textId="77777777" w:rsidR="00C1305F" w:rsidRPr="00700E78" w:rsidRDefault="00C1305F" w:rsidP="00F46BB3">
            <w:pPr>
              <w:spacing w:before="0"/>
            </w:pPr>
            <w:bookmarkStart w:id="0" w:name="ditulogo"/>
            <w:bookmarkEnd w:id="0"/>
            <w:r w:rsidRPr="00700E78">
              <w:drawing>
                <wp:inline distT="0" distB="0" distL="0" distR="0" wp14:anchorId="0C82CC6B" wp14:editId="10E8DFC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00E78" w14:paraId="18CD04A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C20FFAC" w14:textId="77777777" w:rsidR="00BB1D82" w:rsidRPr="00700E78" w:rsidRDefault="00BB1D82" w:rsidP="00F46BB3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8FD4F04" w14:textId="77777777" w:rsidR="00BB1D82" w:rsidRPr="00700E78" w:rsidRDefault="00BB1D82" w:rsidP="00F46BB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700E78" w14:paraId="6311E80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3836FD" w14:textId="77777777" w:rsidR="00BB1D82" w:rsidRPr="00700E78" w:rsidRDefault="00BB1D82" w:rsidP="00F46BB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3A243DA" w14:textId="77777777" w:rsidR="00BB1D82" w:rsidRPr="00700E78" w:rsidRDefault="00BB1D82" w:rsidP="00F46BB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700E78" w14:paraId="108AB039" w14:textId="77777777" w:rsidTr="00BB1D82">
        <w:trPr>
          <w:cantSplit/>
        </w:trPr>
        <w:tc>
          <w:tcPr>
            <w:tcW w:w="6911" w:type="dxa"/>
            <w:gridSpan w:val="2"/>
          </w:tcPr>
          <w:p w14:paraId="40FF0240" w14:textId="77777777" w:rsidR="00BB1D82" w:rsidRPr="00700E78" w:rsidRDefault="006D4724" w:rsidP="00F46BB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0E7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2062373" w14:textId="77777777" w:rsidR="00BB1D82" w:rsidRPr="00700E78" w:rsidRDefault="006D4724" w:rsidP="00F46BB3">
            <w:pPr>
              <w:spacing w:before="0"/>
              <w:rPr>
                <w:rFonts w:ascii="Verdana" w:hAnsi="Verdana"/>
                <w:sz w:val="20"/>
              </w:rPr>
            </w:pPr>
            <w:r w:rsidRPr="00700E78">
              <w:rPr>
                <w:rFonts w:ascii="Verdana" w:hAnsi="Verdana"/>
                <w:b/>
                <w:sz w:val="20"/>
              </w:rPr>
              <w:t>Addendum 5 au</w:t>
            </w:r>
            <w:r w:rsidRPr="00700E78">
              <w:rPr>
                <w:rFonts w:ascii="Verdana" w:hAnsi="Verdana"/>
                <w:b/>
                <w:sz w:val="20"/>
              </w:rPr>
              <w:br/>
              <w:t>Document 111(Add.25)</w:t>
            </w:r>
            <w:r w:rsidR="00BB1D82" w:rsidRPr="00700E78">
              <w:rPr>
                <w:rFonts w:ascii="Verdana" w:hAnsi="Verdana"/>
                <w:b/>
                <w:sz w:val="20"/>
              </w:rPr>
              <w:t>-</w:t>
            </w:r>
            <w:r w:rsidRPr="00700E7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700E78" w14:paraId="44FDEDD6" w14:textId="77777777" w:rsidTr="00BB1D82">
        <w:trPr>
          <w:cantSplit/>
        </w:trPr>
        <w:tc>
          <w:tcPr>
            <w:tcW w:w="6911" w:type="dxa"/>
            <w:gridSpan w:val="2"/>
          </w:tcPr>
          <w:p w14:paraId="33972C16" w14:textId="77777777" w:rsidR="00690C7B" w:rsidRPr="00700E78" w:rsidRDefault="00690C7B" w:rsidP="00F46BB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983165E" w14:textId="77777777" w:rsidR="00690C7B" w:rsidRPr="00700E78" w:rsidRDefault="00690C7B" w:rsidP="00F46BB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0E78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700E78" w14:paraId="0DFEE924" w14:textId="77777777" w:rsidTr="00BB1D82">
        <w:trPr>
          <w:cantSplit/>
        </w:trPr>
        <w:tc>
          <w:tcPr>
            <w:tcW w:w="6911" w:type="dxa"/>
            <w:gridSpan w:val="2"/>
          </w:tcPr>
          <w:p w14:paraId="5C9A14D7" w14:textId="77777777" w:rsidR="00690C7B" w:rsidRPr="00700E78" w:rsidRDefault="00690C7B" w:rsidP="00F46BB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E1E5DBD" w14:textId="77777777" w:rsidR="00690C7B" w:rsidRPr="00700E78" w:rsidRDefault="00690C7B" w:rsidP="00F46BB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0E78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700E78" w14:paraId="25608E6B" w14:textId="77777777" w:rsidTr="00C11970">
        <w:trPr>
          <w:cantSplit/>
        </w:trPr>
        <w:tc>
          <w:tcPr>
            <w:tcW w:w="10031" w:type="dxa"/>
            <w:gridSpan w:val="4"/>
          </w:tcPr>
          <w:p w14:paraId="0742B684" w14:textId="77777777" w:rsidR="00690C7B" w:rsidRPr="00700E78" w:rsidRDefault="00690C7B" w:rsidP="00F46BB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00E78" w14:paraId="4C966C50" w14:textId="77777777" w:rsidTr="0050008E">
        <w:trPr>
          <w:cantSplit/>
        </w:trPr>
        <w:tc>
          <w:tcPr>
            <w:tcW w:w="10031" w:type="dxa"/>
            <w:gridSpan w:val="4"/>
          </w:tcPr>
          <w:p w14:paraId="044455A6" w14:textId="77777777" w:rsidR="00690C7B" w:rsidRPr="00700E78" w:rsidRDefault="00690C7B" w:rsidP="00F46BB3">
            <w:pPr>
              <w:pStyle w:val="Source"/>
            </w:pPr>
            <w:bookmarkStart w:id="2" w:name="dsource" w:colFirst="0" w:colLast="0"/>
            <w:r w:rsidRPr="00700E78">
              <w:t>Chine (République populaire de)</w:t>
            </w:r>
          </w:p>
        </w:tc>
      </w:tr>
      <w:tr w:rsidR="00690C7B" w:rsidRPr="00700E78" w14:paraId="68512842" w14:textId="77777777" w:rsidTr="0050008E">
        <w:trPr>
          <w:cantSplit/>
        </w:trPr>
        <w:tc>
          <w:tcPr>
            <w:tcW w:w="10031" w:type="dxa"/>
            <w:gridSpan w:val="4"/>
          </w:tcPr>
          <w:p w14:paraId="41C61CF1" w14:textId="39791664" w:rsidR="00690C7B" w:rsidRPr="00700E78" w:rsidRDefault="000514CF" w:rsidP="00F46BB3">
            <w:pPr>
              <w:pStyle w:val="Title1"/>
            </w:pPr>
            <w:bookmarkStart w:id="3" w:name="dtitle1" w:colFirst="0" w:colLast="0"/>
            <w:bookmarkEnd w:id="2"/>
            <w:r w:rsidRPr="00700E78">
              <w:t>Propositions pour les travaux de la conférence</w:t>
            </w:r>
          </w:p>
        </w:tc>
      </w:tr>
      <w:tr w:rsidR="00690C7B" w:rsidRPr="00700E78" w14:paraId="00270D49" w14:textId="77777777" w:rsidTr="0050008E">
        <w:trPr>
          <w:cantSplit/>
        </w:trPr>
        <w:tc>
          <w:tcPr>
            <w:tcW w:w="10031" w:type="dxa"/>
            <w:gridSpan w:val="4"/>
          </w:tcPr>
          <w:p w14:paraId="0C825C99" w14:textId="77777777" w:rsidR="00690C7B" w:rsidRPr="00700E78" w:rsidRDefault="00690C7B" w:rsidP="00F46BB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700E78" w14:paraId="1D261E54" w14:textId="77777777" w:rsidTr="0050008E">
        <w:trPr>
          <w:cantSplit/>
        </w:trPr>
        <w:tc>
          <w:tcPr>
            <w:tcW w:w="10031" w:type="dxa"/>
            <w:gridSpan w:val="4"/>
          </w:tcPr>
          <w:p w14:paraId="753569BB" w14:textId="77777777" w:rsidR="00690C7B" w:rsidRPr="00700E78" w:rsidRDefault="00690C7B" w:rsidP="00F46BB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00E78">
              <w:rPr>
                <w:lang w:val="fr-FR"/>
              </w:rPr>
              <w:t>Point 9.2 de l'ordre du jour</w:t>
            </w:r>
          </w:p>
        </w:tc>
      </w:tr>
    </w:tbl>
    <w:bookmarkEnd w:id="5"/>
    <w:p w14:paraId="5A6633E3" w14:textId="77777777" w:rsidR="00D84D02" w:rsidRPr="00700E78" w:rsidRDefault="006466DB" w:rsidP="00F46BB3">
      <w:r w:rsidRPr="00700E78">
        <w:t>9</w:t>
      </w:r>
      <w:r w:rsidRPr="00700E78">
        <w:tab/>
        <w:t>examiner et approuver le rapport du Directeur du Bureau des radiocommunications, conformément à l'article 7 de la Convention de l'UIT:</w:t>
      </w:r>
    </w:p>
    <w:p w14:paraId="1DE16E39" w14:textId="77777777" w:rsidR="00D84D02" w:rsidRPr="00700E78" w:rsidRDefault="006466DB" w:rsidP="00F46BB3">
      <w:r w:rsidRPr="00700E78">
        <w:t>9.2</w:t>
      </w:r>
      <w:r w:rsidRPr="00700E78">
        <w:tab/>
        <w:t>sur les difficultés rencontrées ou les incohérences constatées dans l'application du Règlement des radiocommunications</w:t>
      </w:r>
      <w:r w:rsidRPr="00700E78">
        <w:rPr>
          <w:rStyle w:val="FootnoteReference"/>
        </w:rPr>
        <w:footnoteReference w:customMarkFollows="1" w:id="1"/>
        <w:t>1</w:t>
      </w:r>
      <w:r w:rsidRPr="00700E78">
        <w:t>; et</w:t>
      </w:r>
    </w:p>
    <w:p w14:paraId="6C4E439E" w14:textId="5494F266" w:rsidR="003A583E" w:rsidRPr="00700E78" w:rsidRDefault="00921217" w:rsidP="00F46BB3">
      <w:pPr>
        <w:pStyle w:val="Title4"/>
      </w:pPr>
      <w:r w:rsidRPr="00700E78">
        <w:t>Résultats obtenus dans l'application des procédures réglementaires prévues dans le Règlement des radiocommunications</w:t>
      </w:r>
      <w:r w:rsidRPr="00700E78">
        <w:br/>
        <w:t>Section 3.3 – Résolutions</w:t>
      </w:r>
    </w:p>
    <w:p w14:paraId="3C734676" w14:textId="749F9448" w:rsidR="000514CF" w:rsidRPr="00700E78" w:rsidRDefault="000514CF" w:rsidP="00F46BB3">
      <w:pPr>
        <w:pStyle w:val="Headingb"/>
      </w:pPr>
      <w:r w:rsidRPr="00700E78">
        <w:t>Introduction</w:t>
      </w:r>
    </w:p>
    <w:p w14:paraId="2908873E" w14:textId="4985990F" w:rsidR="000514CF" w:rsidRPr="00700E78" w:rsidRDefault="00D4362D" w:rsidP="00F46BB3">
      <w:r w:rsidRPr="00700E78">
        <w:t>Compte tenu d</w:t>
      </w:r>
      <w:r w:rsidR="006133F5" w:rsidRPr="00700E78">
        <w:t xml:space="preserve">es difficultés rencontrées </w:t>
      </w:r>
      <w:r w:rsidRPr="00700E78">
        <w:t>et d</w:t>
      </w:r>
      <w:r w:rsidR="006133F5" w:rsidRPr="00700E78">
        <w:t>es incohérences constatées dans l</w:t>
      </w:r>
      <w:r w:rsidR="00484F53" w:rsidRPr="00700E78">
        <w:t>'</w:t>
      </w:r>
      <w:r w:rsidR="006133F5" w:rsidRPr="00700E78">
        <w:t>application des dispositions pertinentes</w:t>
      </w:r>
      <w:r w:rsidRPr="00700E78">
        <w:t>,</w:t>
      </w:r>
      <w:r w:rsidR="006133F5" w:rsidRPr="00700E78">
        <w:t xml:space="preserve"> </w:t>
      </w:r>
      <w:r w:rsidRPr="00700E78">
        <w:t xml:space="preserve">qui </w:t>
      </w:r>
      <w:r w:rsidR="006133F5" w:rsidRPr="00700E78">
        <w:t>sont rassemblées et analysées dans la Partie</w:t>
      </w:r>
      <w:r w:rsidRPr="00700E78">
        <w:t> </w:t>
      </w:r>
      <w:r w:rsidR="006133F5" w:rsidRPr="00700E78">
        <w:t>2 du Rapport du Directeur du Bureau des radiocommunications (</w:t>
      </w:r>
      <w:hyperlink r:id="rId13" w:history="1">
        <w:r w:rsidR="006133F5" w:rsidRPr="00700E78">
          <w:rPr>
            <w:rStyle w:val="Hyperlink"/>
          </w:rPr>
          <w:t>Document</w:t>
        </w:r>
        <w:r w:rsidRPr="00700E78">
          <w:rPr>
            <w:rStyle w:val="Hyperlink"/>
          </w:rPr>
          <w:t> </w:t>
        </w:r>
        <w:r w:rsidR="006133F5" w:rsidRPr="00700E78">
          <w:rPr>
            <w:rStyle w:val="Hyperlink"/>
          </w:rPr>
          <w:t>4 (Add.2)</w:t>
        </w:r>
      </w:hyperlink>
      <w:r w:rsidR="006133F5" w:rsidRPr="00700E78">
        <w:t xml:space="preserve">), </w:t>
      </w:r>
      <w:r w:rsidR="00F46BB3" w:rsidRPr="00700E78">
        <w:t>les vues et</w:t>
      </w:r>
      <w:r w:rsidR="006133F5" w:rsidRPr="00700E78">
        <w:t xml:space="preserve"> propositions</w:t>
      </w:r>
      <w:r w:rsidR="00F46BB3" w:rsidRPr="00700E78">
        <w:t xml:space="preserve"> de la Chine</w:t>
      </w:r>
      <w:r w:rsidR="006133F5" w:rsidRPr="00700E78">
        <w:t xml:space="preserve"> concernant un certain nombre de points</w:t>
      </w:r>
      <w:r w:rsidR="00F46BB3" w:rsidRPr="00700E78">
        <w:t xml:space="preserve"> sont résumés dans le présent document</w:t>
      </w:r>
      <w:r w:rsidR="006133F5" w:rsidRPr="00700E78">
        <w:t>, qui traite des résultats obtenus dans l</w:t>
      </w:r>
      <w:r w:rsidR="00484F53" w:rsidRPr="00700E78">
        <w:t>'</w:t>
      </w:r>
      <w:r w:rsidR="006133F5" w:rsidRPr="00700E78">
        <w:t>application des procédures du Règlement des radiocommunications au titre de la Section</w:t>
      </w:r>
      <w:r w:rsidR="006C0748" w:rsidRPr="00700E78">
        <w:t xml:space="preserve"> </w:t>
      </w:r>
      <w:r w:rsidR="006133F5" w:rsidRPr="00700E78">
        <w:t>3.3</w:t>
      </w:r>
      <w:r w:rsidR="006C0748" w:rsidRPr="00700E78">
        <w:t xml:space="preserve"> – </w:t>
      </w:r>
      <w:r w:rsidR="006133F5" w:rsidRPr="00700E78">
        <w:t>Résolutions</w:t>
      </w:r>
      <w:r w:rsidR="000514CF" w:rsidRPr="00700E78">
        <w:t>.</w:t>
      </w:r>
    </w:p>
    <w:p w14:paraId="3F122022" w14:textId="562A4E5E" w:rsidR="000514CF" w:rsidRPr="00700E78" w:rsidRDefault="000514CF" w:rsidP="00F46BB3">
      <w:pPr>
        <w:pStyle w:val="Headingb"/>
      </w:pPr>
      <w:r w:rsidRPr="00700E78">
        <w:t>Propositions</w:t>
      </w:r>
    </w:p>
    <w:p w14:paraId="03FA682A" w14:textId="504DF00A" w:rsidR="000514CF" w:rsidRPr="00700E78" w:rsidRDefault="00C00DD5" w:rsidP="00F46BB3">
      <w:r w:rsidRPr="00700E78">
        <w:t>L'Administration de la Chine fait part de</w:t>
      </w:r>
      <w:r w:rsidR="00F46BB3" w:rsidRPr="00700E78">
        <w:t xml:space="preserve"> ses</w:t>
      </w:r>
      <w:r w:rsidR="00871A24" w:rsidRPr="00700E78">
        <w:t xml:space="preserve"> </w:t>
      </w:r>
      <w:r w:rsidRPr="00700E78">
        <w:t>vue</w:t>
      </w:r>
      <w:r w:rsidR="00F46BB3" w:rsidRPr="00700E78">
        <w:t>s</w:t>
      </w:r>
      <w:r w:rsidRPr="00700E78">
        <w:t xml:space="preserve"> et ses propositions concernant un certain nombre de points</w:t>
      </w:r>
      <w:r w:rsidR="00F46BB3" w:rsidRPr="00700E78">
        <w:t>, pour examen</w:t>
      </w:r>
      <w:r w:rsidRPr="00700E78">
        <w:t xml:space="preserve"> par la Conférence</w:t>
      </w:r>
      <w:r w:rsidR="000514CF" w:rsidRPr="00700E78">
        <w:t>.</w:t>
      </w:r>
    </w:p>
    <w:p w14:paraId="1184E61C" w14:textId="77777777" w:rsidR="0015203F" w:rsidRPr="00700E78" w:rsidRDefault="0015203F" w:rsidP="00F46B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00E78">
        <w:br w:type="page"/>
      </w:r>
    </w:p>
    <w:p w14:paraId="6A9E8249" w14:textId="77777777" w:rsidR="00980385" w:rsidRPr="00700E78" w:rsidRDefault="006466DB" w:rsidP="00F46BB3">
      <w:pPr>
        <w:pStyle w:val="Proposal"/>
      </w:pPr>
      <w:r w:rsidRPr="00700E78">
        <w:lastRenderedPageBreak/>
        <w:tab/>
        <w:t>CHN/111A25A5/1</w:t>
      </w:r>
    </w:p>
    <w:p w14:paraId="6DD9693C" w14:textId="12F8E734" w:rsidR="000514CF" w:rsidRPr="00700E78" w:rsidRDefault="000514CF" w:rsidP="00F46BB3">
      <w:pPr>
        <w:pStyle w:val="Heading3"/>
      </w:pPr>
      <w:r w:rsidRPr="00700E78">
        <w:t>3.3.3</w:t>
      </w:r>
      <w:r w:rsidRPr="00700E78">
        <w:tab/>
        <w:t>Résolution 35 (CMR-19)</w:t>
      </w:r>
    </w:p>
    <w:p w14:paraId="32A91D33" w14:textId="3E2F54B8" w:rsidR="000514CF" w:rsidRPr="00700E78" w:rsidRDefault="000514CF" w:rsidP="00F46BB3">
      <w:pPr>
        <w:pStyle w:val="Heading4"/>
      </w:pPr>
      <w:r w:rsidRPr="00700E78">
        <w:t>3.3.3.1</w:t>
      </w:r>
      <w:r w:rsidRPr="00700E78">
        <w:tab/>
        <w:t xml:space="preserve">Ajout dans le Tableau du point 1 du </w:t>
      </w:r>
      <w:r w:rsidRPr="00700E78">
        <w:rPr>
          <w:i/>
          <w:iCs/>
        </w:rPr>
        <w:t>décide</w:t>
      </w:r>
    </w:p>
    <w:p w14:paraId="39B52CBB" w14:textId="49DEF499" w:rsidR="000514CF" w:rsidRPr="00700E78" w:rsidRDefault="000514CF" w:rsidP="00F4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E78">
        <w:t>La Conférence est invitée à confirmer l'approche ci-dessus ou, à défaut, à déterminer s'il convient d'ajouter le service mobile par satellite pour les bandes de fréquences 19,7-20,1</w:t>
      </w:r>
      <w:r w:rsidR="005C5A35" w:rsidRPr="00700E78">
        <w:t> </w:t>
      </w:r>
      <w:r w:rsidRPr="00700E78">
        <w:t>GHz et</w:t>
      </w:r>
      <w:r w:rsidR="001C1037" w:rsidRPr="00700E78">
        <w:t xml:space="preserve"> </w:t>
      </w:r>
      <w:r w:rsidRPr="00700E78">
        <w:t>29,5</w:t>
      </w:r>
      <w:r w:rsidR="00484F53" w:rsidRPr="00700E78">
        <w:noBreakHyphen/>
      </w:r>
      <w:r w:rsidRPr="00700E78">
        <w:t>29,9</w:t>
      </w:r>
      <w:r w:rsidR="005C5A35" w:rsidRPr="00700E78">
        <w:t> </w:t>
      </w:r>
      <w:r w:rsidRPr="00700E78">
        <w:t>GHz</w:t>
      </w:r>
      <w:r w:rsidR="001C1037" w:rsidRPr="00700E78">
        <w:t xml:space="preserve"> </w:t>
      </w:r>
      <w:r w:rsidRPr="00700E78">
        <w:t>dans les Régions</w:t>
      </w:r>
      <w:r w:rsidR="005C5A35" w:rsidRPr="00700E78">
        <w:t> </w:t>
      </w:r>
      <w:r w:rsidRPr="00700E78">
        <w:t>1 et 3 dans le Tableau du point</w:t>
      </w:r>
      <w:r w:rsidR="00420EB9" w:rsidRPr="00700E78">
        <w:t> </w:t>
      </w:r>
      <w:r w:rsidRPr="00700E78">
        <w:t xml:space="preserve">1 du </w:t>
      </w:r>
      <w:r w:rsidRPr="00700E78">
        <w:rPr>
          <w:i/>
          <w:iCs/>
        </w:rPr>
        <w:t>décide</w:t>
      </w:r>
      <w:r w:rsidRPr="00700E78">
        <w:t xml:space="preserve"> de la Résolution</w:t>
      </w:r>
      <w:r w:rsidR="00E71474" w:rsidRPr="00700E78">
        <w:t> </w:t>
      </w:r>
      <w:r w:rsidRPr="00700E78">
        <w:rPr>
          <w:b/>
          <w:bCs/>
        </w:rPr>
        <w:t>35</w:t>
      </w:r>
      <w:r w:rsidR="00DE5762" w:rsidRPr="00700E78">
        <w:rPr>
          <w:b/>
          <w:bCs/>
        </w:rPr>
        <w:t> </w:t>
      </w:r>
      <w:r w:rsidRPr="00700E78">
        <w:rPr>
          <w:b/>
          <w:bCs/>
        </w:rPr>
        <w:t>(CMR-19)</w:t>
      </w:r>
      <w:r w:rsidRPr="00700E78">
        <w:t>.</w:t>
      </w:r>
    </w:p>
    <w:p w14:paraId="00578C89" w14:textId="2EC84E34" w:rsidR="000514CF" w:rsidRPr="00700E78" w:rsidRDefault="00147BBC" w:rsidP="00F46BB3">
      <w:r w:rsidRPr="00700E78">
        <w:rPr>
          <w:b/>
          <w:bCs/>
        </w:rPr>
        <w:t>Point</w:t>
      </w:r>
      <w:r w:rsidR="007715CE" w:rsidRPr="00700E78">
        <w:rPr>
          <w:b/>
          <w:bCs/>
        </w:rPr>
        <w:t>s</w:t>
      </w:r>
      <w:r w:rsidRPr="00700E78">
        <w:rPr>
          <w:b/>
          <w:bCs/>
        </w:rPr>
        <w:t xml:space="preserve"> de vue et proposition</w:t>
      </w:r>
      <w:r w:rsidRPr="00700E78">
        <w:t xml:space="preserve">: </w:t>
      </w:r>
      <w:r w:rsidR="006C0748" w:rsidRPr="00700E78">
        <w:t>n</w:t>
      </w:r>
      <w:r w:rsidRPr="00700E78">
        <w:t xml:space="preserve">ous avons pris connaissance des informations fournies par le Directeur du BR, mais </w:t>
      </w:r>
      <w:r w:rsidR="00B03DD1" w:rsidRPr="00700E78">
        <w:t xml:space="preserve">estimons </w:t>
      </w:r>
      <w:r w:rsidRPr="00700E78">
        <w:t>que l'approche actuelle présente des problèmes. Nous sommes d'avis que le service mobile par satellite devrait être ajouté pour les bandes de fréquences</w:t>
      </w:r>
      <w:r w:rsidR="00484F53" w:rsidRPr="00700E78">
        <w:t xml:space="preserve"> </w:t>
      </w:r>
      <w:r w:rsidRPr="00700E78">
        <w:t>19,7</w:t>
      </w:r>
      <w:r w:rsidR="00DE5762" w:rsidRPr="00700E78">
        <w:noBreakHyphen/>
      </w:r>
      <w:r w:rsidRPr="00700E78">
        <w:t>20,1</w:t>
      </w:r>
      <w:r w:rsidR="00484F53" w:rsidRPr="00700E78">
        <w:t> </w:t>
      </w:r>
      <w:r w:rsidRPr="00700E78">
        <w:t xml:space="preserve">GHz et 29,5-29,9 GHz dans les Régions 1 et 3 dans le Tableau du point 1 du </w:t>
      </w:r>
      <w:r w:rsidRPr="00700E78">
        <w:rPr>
          <w:i/>
          <w:iCs/>
        </w:rPr>
        <w:t>décide</w:t>
      </w:r>
      <w:r w:rsidRPr="00700E78">
        <w:t xml:space="preserve"> de la Résolution </w:t>
      </w:r>
      <w:r w:rsidRPr="00700E78">
        <w:rPr>
          <w:b/>
          <w:bCs/>
        </w:rPr>
        <w:t>35 (CMR-19)</w:t>
      </w:r>
      <w:r w:rsidR="000514CF" w:rsidRPr="00700E78">
        <w:t>.</w:t>
      </w:r>
    </w:p>
    <w:p w14:paraId="0CC6E332" w14:textId="52648512" w:rsidR="000514CF" w:rsidRPr="00700E78" w:rsidRDefault="000514CF" w:rsidP="00F46BB3">
      <w:pPr>
        <w:pStyle w:val="Reasons"/>
      </w:pPr>
      <w:r w:rsidRPr="00700E78">
        <w:rPr>
          <w:b/>
          <w:bCs/>
        </w:rPr>
        <w:t>Motifs:</w:t>
      </w:r>
      <w:r w:rsidRPr="00700E78">
        <w:rPr>
          <w:b/>
          <w:bCs/>
        </w:rPr>
        <w:tab/>
      </w:r>
      <w:r w:rsidR="002E40FF" w:rsidRPr="00700E78">
        <w:t>Cela réduira la complexité des travaux des administrations et du BR.</w:t>
      </w:r>
    </w:p>
    <w:p w14:paraId="64F9F0A7" w14:textId="75EDCA24" w:rsidR="00980385" w:rsidRPr="00700E78" w:rsidRDefault="006466DB" w:rsidP="00F46BB3">
      <w:pPr>
        <w:pStyle w:val="Proposal"/>
      </w:pPr>
      <w:r w:rsidRPr="00700E78">
        <w:tab/>
        <w:t>CHN/111A25A5/2</w:t>
      </w:r>
    </w:p>
    <w:p w14:paraId="3E70AEC8" w14:textId="09CEBD4A" w:rsidR="000514CF" w:rsidRPr="00700E78" w:rsidRDefault="000514CF" w:rsidP="00F46BB3">
      <w:pPr>
        <w:pStyle w:val="Heading4"/>
        <w:rPr>
          <w:i/>
          <w:iCs/>
        </w:rPr>
      </w:pPr>
      <w:r w:rsidRPr="00700E78">
        <w:t>3.3.3.2</w:t>
      </w:r>
      <w:r w:rsidRPr="00700E78">
        <w:tab/>
        <w:t xml:space="preserve">Modifications apportées aux caractéristiques notifiées conformément au point 11 du </w:t>
      </w:r>
      <w:r w:rsidRPr="00700E78">
        <w:rPr>
          <w:i/>
          <w:iCs/>
        </w:rPr>
        <w:t>décide</w:t>
      </w:r>
    </w:p>
    <w:p w14:paraId="227803EE" w14:textId="713B814C" w:rsidR="000514CF" w:rsidRPr="00700E78" w:rsidRDefault="000514CF" w:rsidP="007715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000000"/>
          <w:szCs w:val="24"/>
        </w:rPr>
      </w:pPr>
      <w:r w:rsidRPr="00700E78">
        <w:rPr>
          <w:color w:val="000000"/>
          <w:szCs w:val="24"/>
        </w:rPr>
        <w:t xml:space="preserve">La Conférence est invitée à prendre note de cet aspect de la mise en œuvre du point 11 du </w:t>
      </w:r>
      <w:r w:rsidRPr="00700E78">
        <w:rPr>
          <w:i/>
          <w:iCs/>
          <w:color w:val="000000"/>
          <w:szCs w:val="24"/>
        </w:rPr>
        <w:t>décide</w:t>
      </w:r>
      <w:r w:rsidRPr="00700E78">
        <w:rPr>
          <w:color w:val="000000"/>
          <w:szCs w:val="24"/>
        </w:rPr>
        <w:t xml:space="preserve"> de la Résolution </w:t>
      </w:r>
      <w:r w:rsidRPr="00700E78">
        <w:rPr>
          <w:b/>
          <w:bCs/>
          <w:color w:val="000000"/>
          <w:szCs w:val="24"/>
        </w:rPr>
        <w:t>35 (CMR-19)</w:t>
      </w:r>
      <w:r w:rsidRPr="00700E78">
        <w:rPr>
          <w:color w:val="000000"/>
          <w:szCs w:val="24"/>
        </w:rPr>
        <w:t>.</w:t>
      </w:r>
    </w:p>
    <w:p w14:paraId="7DE43E12" w14:textId="646192C4" w:rsidR="000514CF" w:rsidRPr="00700E78" w:rsidRDefault="007F14CB" w:rsidP="00F46BB3">
      <w:r w:rsidRPr="00700E78">
        <w:rPr>
          <w:b/>
          <w:bCs/>
        </w:rPr>
        <w:t>Point</w:t>
      </w:r>
      <w:r w:rsidR="007715CE" w:rsidRPr="00700E78">
        <w:rPr>
          <w:b/>
          <w:bCs/>
        </w:rPr>
        <w:t>s</w:t>
      </w:r>
      <w:r w:rsidRPr="00700E78">
        <w:rPr>
          <w:b/>
          <w:bCs/>
        </w:rPr>
        <w:t xml:space="preserve"> de vue et proposition</w:t>
      </w:r>
      <w:r w:rsidRPr="00700E78">
        <w:t xml:space="preserve">: </w:t>
      </w:r>
      <w:r w:rsidR="006C0748" w:rsidRPr="00700E78">
        <w:t>n</w:t>
      </w:r>
      <w:r w:rsidR="006717D8" w:rsidRPr="00700E78">
        <w:t xml:space="preserve">ous avons pris note </w:t>
      </w:r>
      <w:r w:rsidR="00F46BB3" w:rsidRPr="00700E78">
        <w:t>des précisions du</w:t>
      </w:r>
      <w:r w:rsidR="006717D8" w:rsidRPr="00700E78">
        <w:t xml:space="preserve"> BR </w:t>
      </w:r>
      <w:r w:rsidR="00F46BB3" w:rsidRPr="00700E78">
        <w:t xml:space="preserve">concernant la mise en </w:t>
      </w:r>
      <w:r w:rsidR="00700E78" w:rsidRPr="00700E78">
        <w:t>œuvre</w:t>
      </w:r>
      <w:r w:rsidR="00F46BB3" w:rsidRPr="00700E78">
        <w:t xml:space="preserve"> </w:t>
      </w:r>
      <w:r w:rsidR="006717D8" w:rsidRPr="00700E78">
        <w:t>et appuyons</w:t>
      </w:r>
      <w:r w:rsidR="00F46BB3" w:rsidRPr="00700E78">
        <w:t xml:space="preserve"> cette méthode</w:t>
      </w:r>
      <w:r w:rsidR="000514CF" w:rsidRPr="00700E78">
        <w:t>.</w:t>
      </w:r>
    </w:p>
    <w:p w14:paraId="77592855" w14:textId="6B926FBC" w:rsidR="00980385" w:rsidRPr="00700E78" w:rsidRDefault="006466DB" w:rsidP="00F46BB3">
      <w:pPr>
        <w:pStyle w:val="Reasons"/>
      </w:pPr>
      <w:r w:rsidRPr="00700E78">
        <w:rPr>
          <w:b/>
        </w:rPr>
        <w:t>Motifs:</w:t>
      </w:r>
      <w:r w:rsidRPr="00700E78">
        <w:tab/>
      </w:r>
      <w:r w:rsidR="00DB52C2" w:rsidRPr="00700E78">
        <w:t xml:space="preserve">Nous estimons que la mise en œuvre </w:t>
      </w:r>
      <w:r w:rsidR="00F46BB3" w:rsidRPr="00700E78">
        <w:t>est conforme à l'exploitation effective</w:t>
      </w:r>
      <w:r w:rsidR="00DB52C2" w:rsidRPr="00700E78">
        <w:t xml:space="preserve"> des constellations. Si les satellites utilisés pour la mise en service ou l</w:t>
      </w:r>
      <w:r w:rsidR="00484F53" w:rsidRPr="00700E78">
        <w:t>'</w:t>
      </w:r>
      <w:r w:rsidR="00DB52C2" w:rsidRPr="00700E78">
        <w:t>achèvement d</w:t>
      </w:r>
      <w:r w:rsidR="00484F53" w:rsidRPr="00700E78">
        <w:t>'</w:t>
      </w:r>
      <w:r w:rsidR="00DB52C2" w:rsidRPr="00700E78">
        <w:t>une étape précédente sont toujours opérationnels, ils seront positionnés ou repositionnés dans la nouvelle configuration de la constellation. En pareil cas, ils seront compt</w:t>
      </w:r>
      <w:r w:rsidR="00B03DD1" w:rsidRPr="00700E78">
        <w:t>abilis</w:t>
      </w:r>
      <w:r w:rsidR="00DB52C2" w:rsidRPr="00700E78">
        <w:t>és lors des étapes suivantes de la Résolution </w:t>
      </w:r>
      <w:r w:rsidR="00DB52C2" w:rsidRPr="00700E78">
        <w:rPr>
          <w:b/>
          <w:bCs/>
        </w:rPr>
        <w:t>35 (CMR-19)</w:t>
      </w:r>
      <w:r w:rsidR="00DB52C2" w:rsidRPr="00700E78">
        <w:t>. S</w:t>
      </w:r>
      <w:r w:rsidR="00484F53" w:rsidRPr="00700E78">
        <w:t>'</w:t>
      </w:r>
      <w:r w:rsidR="00DB52C2" w:rsidRPr="00700E78">
        <w:t>ils ne sont pas opérationnels, ils ne devraient pas être comptabilisés</w:t>
      </w:r>
      <w:r w:rsidR="000514CF" w:rsidRPr="00700E78">
        <w:t>.</w:t>
      </w:r>
    </w:p>
    <w:p w14:paraId="326D4190" w14:textId="77777777" w:rsidR="00980385" w:rsidRPr="00700E78" w:rsidRDefault="006466DB" w:rsidP="00F46BB3">
      <w:pPr>
        <w:pStyle w:val="Proposal"/>
      </w:pPr>
      <w:r w:rsidRPr="00700E78">
        <w:tab/>
        <w:t>CHN/111A25A5/3</w:t>
      </w:r>
    </w:p>
    <w:p w14:paraId="7C38F9DB" w14:textId="79D96E5C" w:rsidR="000514CF" w:rsidRPr="00700E78" w:rsidRDefault="000514CF" w:rsidP="00F46BB3">
      <w:pPr>
        <w:pStyle w:val="Heading4"/>
        <w:rPr>
          <w:i/>
          <w:iCs/>
        </w:rPr>
      </w:pPr>
      <w:r w:rsidRPr="00700E78">
        <w:t>3.3.3.3</w:t>
      </w:r>
      <w:r w:rsidRPr="00700E78">
        <w:tab/>
        <w:t xml:space="preserve">Modifications apportées aux paramètres orbitaux conformément au point 14 du </w:t>
      </w:r>
      <w:r w:rsidRPr="00700E78">
        <w:rPr>
          <w:i/>
          <w:iCs/>
        </w:rPr>
        <w:t>décide</w:t>
      </w:r>
    </w:p>
    <w:p w14:paraId="256BC552" w14:textId="30B80C0F" w:rsidR="000514CF" w:rsidRPr="00700E78" w:rsidRDefault="007D0D58" w:rsidP="00F4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E78">
        <w:t>La Conférence est invitée à préciser si, en application du point</w:t>
      </w:r>
      <w:r w:rsidR="00472A14" w:rsidRPr="00700E78">
        <w:t> </w:t>
      </w:r>
      <w:r w:rsidRPr="00700E78">
        <w:t xml:space="preserve">14 du </w:t>
      </w:r>
      <w:r w:rsidRPr="00700E78">
        <w:rPr>
          <w:i/>
          <w:iCs/>
        </w:rPr>
        <w:t>décide</w:t>
      </w:r>
      <w:r w:rsidRPr="00700E78">
        <w:t>, les modifications de l'ascension droite du nœud ascendant se limitent à la position de départ de chaque plan tout en conservant l'espacement initial entre des plans orbitaux consécutifs, ou si ces modifications pourraient également viser à modifier ledit espacement.</w:t>
      </w:r>
    </w:p>
    <w:p w14:paraId="19317110" w14:textId="706E985B" w:rsidR="000514CF" w:rsidRPr="00700E78" w:rsidRDefault="00EA1CCE" w:rsidP="00F46BB3">
      <w:r w:rsidRPr="00700E78">
        <w:rPr>
          <w:b/>
          <w:bCs/>
        </w:rPr>
        <w:t>Point</w:t>
      </w:r>
      <w:r w:rsidR="007715CE" w:rsidRPr="00700E78">
        <w:rPr>
          <w:b/>
          <w:bCs/>
        </w:rPr>
        <w:t>s</w:t>
      </w:r>
      <w:r w:rsidRPr="00700E78">
        <w:rPr>
          <w:b/>
          <w:bCs/>
        </w:rPr>
        <w:t xml:space="preserve"> de vue et proposition</w:t>
      </w:r>
      <w:r w:rsidRPr="00700E78">
        <w:t xml:space="preserve">: </w:t>
      </w:r>
      <w:r w:rsidR="006C0748" w:rsidRPr="00700E78">
        <w:t xml:space="preserve">nous </w:t>
      </w:r>
      <w:r w:rsidR="00370FA2" w:rsidRPr="00700E78">
        <w:t>avons pris note du problème soulevé par le BR et sommes d</w:t>
      </w:r>
      <w:r w:rsidR="00484F53" w:rsidRPr="00700E78">
        <w:t>'</w:t>
      </w:r>
      <w:r w:rsidR="00370FA2" w:rsidRPr="00700E78">
        <w:t xml:space="preserve">avis que les modifications apportées </w:t>
      </w:r>
      <w:r w:rsidR="00E755BD" w:rsidRPr="00700E78">
        <w:t>à l'</w:t>
      </w:r>
      <w:r w:rsidR="00370FA2" w:rsidRPr="00700E78">
        <w:t xml:space="preserve">ascension droite du nœud ascendant devraient </w:t>
      </w:r>
      <w:r w:rsidR="00247662" w:rsidRPr="00700E78">
        <w:t xml:space="preserve">porter sur </w:t>
      </w:r>
      <w:r w:rsidR="00370FA2" w:rsidRPr="00700E78">
        <w:t xml:space="preserve">la position de départ de chaque plan ainsi que </w:t>
      </w:r>
      <w:r w:rsidR="00247662" w:rsidRPr="00700E78">
        <w:t xml:space="preserve">sur </w:t>
      </w:r>
      <w:r w:rsidR="00370FA2" w:rsidRPr="00700E78">
        <w:t>l</w:t>
      </w:r>
      <w:r w:rsidR="00484F53" w:rsidRPr="00700E78">
        <w:t>'</w:t>
      </w:r>
      <w:r w:rsidR="00370FA2" w:rsidRPr="00700E78">
        <w:t>espacement entre les plans orbitaux consécutifs</w:t>
      </w:r>
      <w:r w:rsidR="007D0D58" w:rsidRPr="00700E78">
        <w:t>.</w:t>
      </w:r>
    </w:p>
    <w:p w14:paraId="4E5DDA80" w14:textId="40D944BE" w:rsidR="00980385" w:rsidRPr="00700E78" w:rsidRDefault="006466DB" w:rsidP="00F46BB3">
      <w:pPr>
        <w:pStyle w:val="Reasons"/>
      </w:pPr>
      <w:r w:rsidRPr="00700E78">
        <w:rPr>
          <w:b/>
        </w:rPr>
        <w:t>Motifs:</w:t>
      </w:r>
      <w:r w:rsidRPr="00700E78">
        <w:tab/>
      </w:r>
      <w:r w:rsidR="00577E78" w:rsidRPr="00700E78">
        <w:t xml:space="preserve">La </w:t>
      </w:r>
      <w:r w:rsidR="00E30AE6" w:rsidRPr="00700E78">
        <w:t>réduction du nombre de plans orbitaux</w:t>
      </w:r>
      <w:r w:rsidR="00577E78" w:rsidRPr="00700E78">
        <w:t xml:space="preserve"> </w:t>
      </w:r>
      <w:r w:rsidR="00E30AE6" w:rsidRPr="00700E78">
        <w:t>conduit souvent à des changements dans l</w:t>
      </w:r>
      <w:r w:rsidR="00484F53" w:rsidRPr="00700E78">
        <w:t>'</w:t>
      </w:r>
      <w:r w:rsidR="00E30AE6" w:rsidRPr="00700E78">
        <w:t>espacement des zones d</w:t>
      </w:r>
      <w:r w:rsidR="007048BA" w:rsidRPr="00700E78">
        <w:t>'ascension droite du nœud ascendant</w:t>
      </w:r>
      <w:r w:rsidR="00E30AE6" w:rsidRPr="00700E78">
        <w:t xml:space="preserve"> entre les plans orbitaux consécutifs.</w:t>
      </w:r>
    </w:p>
    <w:p w14:paraId="0194437C" w14:textId="2A1FB59A" w:rsidR="00980385" w:rsidRPr="00700E78" w:rsidRDefault="006466DB" w:rsidP="00F46BB3">
      <w:pPr>
        <w:pStyle w:val="Proposal"/>
      </w:pPr>
      <w:r w:rsidRPr="00700E78">
        <w:lastRenderedPageBreak/>
        <w:tab/>
        <w:t>CHN/111A25A5/4</w:t>
      </w:r>
    </w:p>
    <w:p w14:paraId="1D86B12F" w14:textId="6A342ABA" w:rsidR="007D0D58" w:rsidRPr="00700E78" w:rsidRDefault="007D0D58" w:rsidP="00F46BB3">
      <w:pPr>
        <w:pStyle w:val="Heading4"/>
      </w:pPr>
      <w:r w:rsidRPr="00700E78">
        <w:t>3.3.3.4</w:t>
      </w:r>
      <w:r w:rsidRPr="00700E78">
        <w:tab/>
        <w:t xml:space="preserve">Application du point 17 </w:t>
      </w:r>
      <w:r w:rsidRPr="00700E78">
        <w:rPr>
          <w:i/>
          <w:iCs/>
        </w:rPr>
        <w:t>b)</w:t>
      </w:r>
      <w:r w:rsidRPr="00700E78">
        <w:t xml:space="preserve"> du </w:t>
      </w:r>
      <w:r w:rsidRPr="00700E78">
        <w:rPr>
          <w:i/>
          <w:iCs/>
        </w:rPr>
        <w:t>décide</w:t>
      </w:r>
    </w:p>
    <w:p w14:paraId="11626A32" w14:textId="551D8D3F" w:rsidR="007D0D58" w:rsidRPr="00700E78" w:rsidRDefault="007D0D58" w:rsidP="00F4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E78">
        <w:t xml:space="preserve">La Conférence est invitée à prendre note de la manière de procéder appliquée par le Bureau en ce qui concerne la mise en œuvre du point 17 du </w:t>
      </w:r>
      <w:r w:rsidRPr="00700E78">
        <w:rPr>
          <w:i/>
          <w:iCs/>
        </w:rPr>
        <w:t>décide</w:t>
      </w:r>
      <w:r w:rsidRPr="00700E78">
        <w:t xml:space="preserve"> de la Résolution </w:t>
      </w:r>
      <w:r w:rsidRPr="00700E78">
        <w:rPr>
          <w:b/>
          <w:bCs/>
        </w:rPr>
        <w:t>35 (CMR-19)</w:t>
      </w:r>
      <w:r w:rsidRPr="00700E78">
        <w:t>.</w:t>
      </w:r>
    </w:p>
    <w:p w14:paraId="42D2E01B" w14:textId="7CCA95CF" w:rsidR="007D0D58" w:rsidRPr="00700E78" w:rsidRDefault="00E30AE6" w:rsidP="00F46BB3">
      <w:r w:rsidRPr="00700E78">
        <w:rPr>
          <w:b/>
          <w:bCs/>
        </w:rPr>
        <w:t>Point</w:t>
      </w:r>
      <w:r w:rsidR="005C2C35" w:rsidRPr="00700E78">
        <w:rPr>
          <w:b/>
          <w:bCs/>
        </w:rPr>
        <w:t>s</w:t>
      </w:r>
      <w:r w:rsidRPr="00700E78">
        <w:rPr>
          <w:b/>
          <w:bCs/>
        </w:rPr>
        <w:t xml:space="preserve"> de vue et proposition</w:t>
      </w:r>
      <w:r w:rsidRPr="00700E78">
        <w:t xml:space="preserve">: </w:t>
      </w:r>
      <w:r w:rsidR="00391FBC" w:rsidRPr="00700E78">
        <w:t>n</w:t>
      </w:r>
      <w:r w:rsidR="002A0029" w:rsidRPr="00700E78">
        <w:t xml:space="preserve">ous avons pris note de la manière de procéder appliquée par le Bureau en ce qui concerne la mise en œuvre du point susmentionné du </w:t>
      </w:r>
      <w:r w:rsidR="002A0029" w:rsidRPr="00700E78">
        <w:rPr>
          <w:i/>
          <w:iCs/>
        </w:rPr>
        <w:t>décide</w:t>
      </w:r>
      <w:r w:rsidR="002A0029" w:rsidRPr="00700E78">
        <w:t xml:space="preserve"> et l'appuyons</w:t>
      </w:r>
      <w:r w:rsidR="007D0D58" w:rsidRPr="00700E78">
        <w:t>.</w:t>
      </w:r>
    </w:p>
    <w:p w14:paraId="49C00CD8" w14:textId="435CDDCE" w:rsidR="00980385" w:rsidRPr="00700E78" w:rsidRDefault="006466DB" w:rsidP="00F46BB3">
      <w:pPr>
        <w:pStyle w:val="Reasons"/>
      </w:pPr>
      <w:r w:rsidRPr="00700E78">
        <w:rPr>
          <w:b/>
        </w:rPr>
        <w:t>Motifs:</w:t>
      </w:r>
      <w:r w:rsidRPr="00700E78">
        <w:tab/>
      </w:r>
      <w:r w:rsidR="00680AC2" w:rsidRPr="00700E78">
        <w:t>Cette manière de procéder est logique et judicieuse</w:t>
      </w:r>
      <w:r w:rsidR="00B431DA" w:rsidRPr="00700E78">
        <w:t>.</w:t>
      </w:r>
    </w:p>
    <w:p w14:paraId="585A070C" w14:textId="77777777" w:rsidR="007D0D58" w:rsidRPr="00700E78" w:rsidRDefault="007D0D58" w:rsidP="00F46BB3">
      <w:pPr>
        <w:jc w:val="center"/>
      </w:pPr>
      <w:r w:rsidRPr="00700E78">
        <w:t>______________</w:t>
      </w:r>
    </w:p>
    <w:sectPr w:rsidR="007D0D58" w:rsidRPr="00700E7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8545" w14:textId="77777777" w:rsidR="0041229E" w:rsidRDefault="0041229E">
      <w:r>
        <w:separator/>
      </w:r>
    </w:p>
  </w:endnote>
  <w:endnote w:type="continuationSeparator" w:id="0">
    <w:p w14:paraId="104F16A6" w14:textId="77777777" w:rsidR="0041229E" w:rsidRDefault="0041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9F83" w14:textId="78C9ECD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48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E95D" w14:textId="1C64DAB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C2C35">
      <w:rPr>
        <w:lang w:val="en-US"/>
      </w:rPr>
      <w:t>P:\FRA\ITU-R\CONF-R\CMR23\100\111ADD25ADD05F.docx</w:t>
    </w:r>
    <w:r>
      <w:fldChar w:fldCharType="end"/>
    </w:r>
    <w:r w:rsidR="007D0D58" w:rsidRPr="00921217">
      <w:rPr>
        <w:lang w:val="en-US"/>
      </w:rPr>
      <w:t xml:space="preserve"> (530549)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C1AF" w14:textId="691B01A6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715CE">
      <w:rPr>
        <w:lang w:val="en-US"/>
      </w:rPr>
      <w:t>P:\FRA\ITU-R\CONF-R\CMR23\100\111ADD25ADD05F.docx</w:t>
    </w:r>
    <w:r>
      <w:fldChar w:fldCharType="end"/>
    </w:r>
    <w:r w:rsidR="000514CF" w:rsidRPr="00921217">
      <w:rPr>
        <w:lang w:val="en-US"/>
      </w:rPr>
      <w:t xml:space="preserve"> (530549)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8D04" w14:textId="77777777" w:rsidR="0041229E" w:rsidRDefault="0041229E">
      <w:r>
        <w:rPr>
          <w:b/>
        </w:rPr>
        <w:t>_______________</w:t>
      </w:r>
    </w:p>
  </w:footnote>
  <w:footnote w:type="continuationSeparator" w:id="0">
    <w:p w14:paraId="269CA6DB" w14:textId="77777777" w:rsidR="0041229E" w:rsidRDefault="0041229E">
      <w:r>
        <w:continuationSeparator/>
      </w:r>
    </w:p>
  </w:footnote>
  <w:footnote w:id="1">
    <w:p w14:paraId="2BA3670A" w14:textId="77777777" w:rsidR="00D84D02" w:rsidRPr="00815FAF" w:rsidRDefault="006466DB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 xml:space="preserve">dans </w:t>
      </w:r>
      <w:r w:rsidRPr="00DE5762">
        <w:t>l'application</w:t>
      </w:r>
      <w:r>
        <w:rPr>
          <w:lang w:val="fr-CH"/>
        </w:rPr>
        <w:t xml:space="preserve">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57F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C8E65A4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111(Add.25)(Add.5)-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53821543">
    <w:abstractNumId w:val="0"/>
  </w:num>
  <w:num w:numId="2" w16cid:durableId="7471932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46CF"/>
    <w:rsid w:val="00007EC7"/>
    <w:rsid w:val="00010B43"/>
    <w:rsid w:val="00016648"/>
    <w:rsid w:val="0003522F"/>
    <w:rsid w:val="000514CF"/>
    <w:rsid w:val="00063A1F"/>
    <w:rsid w:val="00080E2C"/>
    <w:rsid w:val="00081366"/>
    <w:rsid w:val="000863B3"/>
    <w:rsid w:val="000A4755"/>
    <w:rsid w:val="000A55AE"/>
    <w:rsid w:val="000B2E0C"/>
    <w:rsid w:val="000B3D0C"/>
    <w:rsid w:val="001140F0"/>
    <w:rsid w:val="001167B9"/>
    <w:rsid w:val="001267A0"/>
    <w:rsid w:val="00147BBC"/>
    <w:rsid w:val="0015203F"/>
    <w:rsid w:val="00160C64"/>
    <w:rsid w:val="0018169B"/>
    <w:rsid w:val="0019352B"/>
    <w:rsid w:val="001960D0"/>
    <w:rsid w:val="001A11F6"/>
    <w:rsid w:val="001C1037"/>
    <w:rsid w:val="001C19EB"/>
    <w:rsid w:val="001E4C78"/>
    <w:rsid w:val="001F17E8"/>
    <w:rsid w:val="00204306"/>
    <w:rsid w:val="00215F96"/>
    <w:rsid w:val="00225CF2"/>
    <w:rsid w:val="00232FD2"/>
    <w:rsid w:val="00247662"/>
    <w:rsid w:val="0026554E"/>
    <w:rsid w:val="002A0029"/>
    <w:rsid w:val="002A4622"/>
    <w:rsid w:val="002A6F8F"/>
    <w:rsid w:val="002B17E5"/>
    <w:rsid w:val="002C0EBF"/>
    <w:rsid w:val="002C28A4"/>
    <w:rsid w:val="002D7E0A"/>
    <w:rsid w:val="002E40FF"/>
    <w:rsid w:val="00315AFE"/>
    <w:rsid w:val="003411F6"/>
    <w:rsid w:val="003606A6"/>
    <w:rsid w:val="0036650C"/>
    <w:rsid w:val="00367170"/>
    <w:rsid w:val="00370FA2"/>
    <w:rsid w:val="00391FBC"/>
    <w:rsid w:val="00393ACD"/>
    <w:rsid w:val="003A583E"/>
    <w:rsid w:val="003C5975"/>
    <w:rsid w:val="003E112B"/>
    <w:rsid w:val="003E1D1C"/>
    <w:rsid w:val="003E7B05"/>
    <w:rsid w:val="003F3719"/>
    <w:rsid w:val="003F6F2D"/>
    <w:rsid w:val="0040706E"/>
    <w:rsid w:val="0041229E"/>
    <w:rsid w:val="00420EB9"/>
    <w:rsid w:val="00466211"/>
    <w:rsid w:val="00472A14"/>
    <w:rsid w:val="00483196"/>
    <w:rsid w:val="004834A9"/>
    <w:rsid w:val="00484F53"/>
    <w:rsid w:val="004D01FC"/>
    <w:rsid w:val="004E28C3"/>
    <w:rsid w:val="004F1F8E"/>
    <w:rsid w:val="00512A32"/>
    <w:rsid w:val="005343DA"/>
    <w:rsid w:val="00560874"/>
    <w:rsid w:val="00577E78"/>
    <w:rsid w:val="00586CF2"/>
    <w:rsid w:val="005A7C75"/>
    <w:rsid w:val="005C2C35"/>
    <w:rsid w:val="005C3768"/>
    <w:rsid w:val="005C5A35"/>
    <w:rsid w:val="005C6C3F"/>
    <w:rsid w:val="006133F5"/>
    <w:rsid w:val="00613635"/>
    <w:rsid w:val="0062093D"/>
    <w:rsid w:val="00637ECF"/>
    <w:rsid w:val="006466DB"/>
    <w:rsid w:val="00647B59"/>
    <w:rsid w:val="006717D8"/>
    <w:rsid w:val="00680AC2"/>
    <w:rsid w:val="00690C7B"/>
    <w:rsid w:val="006A4B45"/>
    <w:rsid w:val="006C0748"/>
    <w:rsid w:val="006D4724"/>
    <w:rsid w:val="006F5FA2"/>
    <w:rsid w:val="0070076C"/>
    <w:rsid w:val="00700E78"/>
    <w:rsid w:val="00701BAE"/>
    <w:rsid w:val="007048BA"/>
    <w:rsid w:val="00721F04"/>
    <w:rsid w:val="00730E95"/>
    <w:rsid w:val="007426B9"/>
    <w:rsid w:val="00764342"/>
    <w:rsid w:val="007715CE"/>
    <w:rsid w:val="00774362"/>
    <w:rsid w:val="00786598"/>
    <w:rsid w:val="00790C74"/>
    <w:rsid w:val="007A04E8"/>
    <w:rsid w:val="007B2C34"/>
    <w:rsid w:val="007D0D58"/>
    <w:rsid w:val="007F14CB"/>
    <w:rsid w:val="007F282B"/>
    <w:rsid w:val="00830086"/>
    <w:rsid w:val="00851625"/>
    <w:rsid w:val="00863C0A"/>
    <w:rsid w:val="00871A24"/>
    <w:rsid w:val="008A3120"/>
    <w:rsid w:val="008A4B97"/>
    <w:rsid w:val="008C5B8E"/>
    <w:rsid w:val="008C5DD5"/>
    <w:rsid w:val="008C7123"/>
    <w:rsid w:val="008D41BE"/>
    <w:rsid w:val="008D58D3"/>
    <w:rsid w:val="008E3BC9"/>
    <w:rsid w:val="00921217"/>
    <w:rsid w:val="00923064"/>
    <w:rsid w:val="00930FFD"/>
    <w:rsid w:val="00936D25"/>
    <w:rsid w:val="00941EA5"/>
    <w:rsid w:val="00964700"/>
    <w:rsid w:val="00966C16"/>
    <w:rsid w:val="00980385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24FE"/>
    <w:rsid w:val="00AE36A0"/>
    <w:rsid w:val="00B00294"/>
    <w:rsid w:val="00B03DD1"/>
    <w:rsid w:val="00B3749C"/>
    <w:rsid w:val="00B431DA"/>
    <w:rsid w:val="00B565DE"/>
    <w:rsid w:val="00B64FD0"/>
    <w:rsid w:val="00BA5BD0"/>
    <w:rsid w:val="00BB1D82"/>
    <w:rsid w:val="00BC217E"/>
    <w:rsid w:val="00BD51C5"/>
    <w:rsid w:val="00BF26E7"/>
    <w:rsid w:val="00C00DD5"/>
    <w:rsid w:val="00C11D33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4362D"/>
    <w:rsid w:val="00D66EAC"/>
    <w:rsid w:val="00D730DF"/>
    <w:rsid w:val="00D772F0"/>
    <w:rsid w:val="00D77BDC"/>
    <w:rsid w:val="00D84D02"/>
    <w:rsid w:val="00DB52C2"/>
    <w:rsid w:val="00DC402B"/>
    <w:rsid w:val="00DE0932"/>
    <w:rsid w:val="00DE5762"/>
    <w:rsid w:val="00DF15E8"/>
    <w:rsid w:val="00E03A27"/>
    <w:rsid w:val="00E049F1"/>
    <w:rsid w:val="00E15301"/>
    <w:rsid w:val="00E30AE6"/>
    <w:rsid w:val="00E37A25"/>
    <w:rsid w:val="00E537FF"/>
    <w:rsid w:val="00E60CB2"/>
    <w:rsid w:val="00E6539B"/>
    <w:rsid w:val="00E70A31"/>
    <w:rsid w:val="00E71474"/>
    <w:rsid w:val="00E723A7"/>
    <w:rsid w:val="00E755BD"/>
    <w:rsid w:val="00EA1CCE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46BB3"/>
    <w:rsid w:val="00F711A7"/>
    <w:rsid w:val="00FA3BBF"/>
    <w:rsid w:val="00FC41F8"/>
    <w:rsid w:val="00FD2912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6F08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3F5"/>
    <w:rPr>
      <w:rFonts w:ascii="Times New Roman" w:hAnsi="Times New Roman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D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47B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7B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7BB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7BBC"/>
    <w:rPr>
      <w:rFonts w:ascii="Times New Roman" w:hAnsi="Times New Roman"/>
      <w:b/>
      <w:bCs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71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B7014-51D5-4848-B954-2274BC91F6CF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E33B49-B65C-4721-B0CD-04298E3690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F0FD73-688A-43D8-A553-4ADBEFE5C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690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R23-WRC23-C-0111!A25-A5!MSW-F</vt:lpstr>
      <vt:lpstr>R23-WRC23-C-0111!A25-A5!MSW-F</vt:lpstr>
    </vt:vector>
  </TitlesOfParts>
  <Manager>Secrétariat général - Pool</Manager>
  <Company>Union internationale des télécommunications (UIT)</Company>
  <LinksUpToDate>false</LinksUpToDate>
  <CharactersWithSpaces>4596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R23-WRC23-C-0111!A25-A5!MSW-F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9</cp:revision>
  <cp:lastPrinted>2003-06-05T19:34:00Z</cp:lastPrinted>
  <dcterms:created xsi:type="dcterms:W3CDTF">2023-11-17T08:08:00Z</dcterms:created>
  <dcterms:modified xsi:type="dcterms:W3CDTF">2023-11-18T21:28:00Z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